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BC50">
      <w:pPr>
        <w:widowControl/>
        <w:spacing w:before="312" w:beforeLines="100"/>
        <w:ind w:firstLine="0" w:firstLineChars="0"/>
        <w:jc w:val="center"/>
        <w:rPr>
          <w:rFonts w:hint="default" w:ascii="Times New Roman" w:hAnsi="Times New Roman" w:eastAsia="方正小标宋简体" w:cs="Times New Roman"/>
          <w:color w:val="000000"/>
          <w:kern w:val="0"/>
          <w:sz w:val="56"/>
          <w:szCs w:val="56"/>
          <w:lang w:val="en-US" w:eastAsia="zh-CN" w:bidi="ar"/>
        </w:rPr>
      </w:pPr>
    </w:p>
    <w:p w14:paraId="6F442CCA">
      <w:pPr>
        <w:widowControl/>
        <w:spacing w:before="312" w:beforeLines="100"/>
        <w:ind w:firstLine="0" w:firstLineChars="0"/>
        <w:jc w:val="center"/>
        <w:rPr>
          <w:rFonts w:hint="default" w:ascii="Times New Roman" w:hAnsi="Times New Roman" w:eastAsia="方正小标宋简体" w:cs="Times New Roman"/>
          <w:color w:val="000000"/>
          <w:kern w:val="0"/>
          <w:sz w:val="56"/>
          <w:szCs w:val="56"/>
          <w:lang w:bidi="ar"/>
        </w:rPr>
      </w:pPr>
    </w:p>
    <w:p w14:paraId="74662F17">
      <w:pPr>
        <w:keepNext w:val="0"/>
        <w:keepLines w:val="0"/>
        <w:pageBreakBefore w:val="0"/>
        <w:widowControl/>
        <w:kinsoku/>
        <w:wordWrap/>
        <w:overflowPunct/>
        <w:topLinePunct w:val="0"/>
        <w:autoSpaceDE/>
        <w:autoSpaceDN/>
        <w:bidi w:val="0"/>
        <w:adjustRightInd/>
        <w:snapToGrid/>
        <w:spacing w:before="312" w:beforeLines="100" w:line="240" w:lineRule="auto"/>
        <w:ind w:firstLine="0" w:firstLineChars="0"/>
        <w:jc w:val="center"/>
        <w:textAlignment w:val="auto"/>
        <w:rPr>
          <w:rFonts w:hint="default" w:ascii="Times New Roman" w:hAnsi="Times New Roman" w:eastAsia="方正小标宋简体" w:cs="Times New Roman"/>
          <w:color w:val="000000"/>
          <w:kern w:val="0"/>
          <w:sz w:val="56"/>
          <w:szCs w:val="56"/>
          <w:lang w:bidi="ar"/>
        </w:rPr>
      </w:pPr>
      <w:r>
        <w:rPr>
          <w:rFonts w:hint="default" w:ascii="Times New Roman" w:hAnsi="Times New Roman" w:eastAsia="方正小标宋简体" w:cs="Times New Roman"/>
          <w:color w:val="000000"/>
          <w:kern w:val="0"/>
          <w:sz w:val="56"/>
          <w:szCs w:val="56"/>
          <w:lang w:val="en-US" w:eastAsia="zh-CN" w:bidi="ar"/>
        </w:rPr>
        <w:t>咸宁市能源发展“十五五”规划</w:t>
      </w:r>
      <w:bookmarkStart w:id="136" w:name="_GoBack"/>
      <w:bookmarkEnd w:id="136"/>
    </w:p>
    <w:p w14:paraId="1C6D90F9">
      <w:pPr>
        <w:widowControl/>
        <w:spacing w:before="312" w:beforeLines="100"/>
        <w:ind w:firstLine="0" w:firstLineChars="0"/>
        <w:jc w:val="center"/>
        <w:rPr>
          <w:rFonts w:hint="default" w:ascii="Times New Roman" w:hAnsi="Times New Roman" w:cs="Times New Roman"/>
          <w:sz w:val="44"/>
          <w:szCs w:val="44"/>
        </w:rPr>
      </w:pPr>
    </w:p>
    <w:p w14:paraId="6352D3C4">
      <w:pPr>
        <w:ind w:firstLine="0" w:firstLineChars="0"/>
        <w:jc w:val="center"/>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w:t>
      </w:r>
      <w:r>
        <w:rPr>
          <w:rFonts w:hint="eastAsia" w:ascii="楷体_GB2312" w:hAnsi="楷体_GB2312" w:eastAsia="楷体_GB2312" w:cs="楷体_GB2312"/>
          <w:sz w:val="44"/>
          <w:szCs w:val="44"/>
          <w:lang w:val="en-US" w:eastAsia="zh-CN"/>
        </w:rPr>
        <w:t>征求意见稿</w:t>
      </w:r>
      <w:r>
        <w:rPr>
          <w:rFonts w:hint="eastAsia" w:ascii="楷体_GB2312" w:hAnsi="楷体_GB2312" w:eastAsia="楷体_GB2312" w:cs="楷体_GB2312"/>
          <w:sz w:val="44"/>
          <w:szCs w:val="44"/>
        </w:rPr>
        <w:t>）</w:t>
      </w:r>
    </w:p>
    <w:p w14:paraId="1662588C">
      <w:pPr>
        <w:ind w:firstLine="640"/>
        <w:rPr>
          <w:rFonts w:hint="default" w:ascii="Times New Roman" w:hAnsi="Times New Roman" w:cs="Times New Roman"/>
        </w:rPr>
      </w:pPr>
    </w:p>
    <w:p w14:paraId="482BF4F5">
      <w:pPr>
        <w:ind w:firstLine="640"/>
        <w:rPr>
          <w:rFonts w:hint="default" w:ascii="Times New Roman" w:hAnsi="Times New Roman" w:cs="Times New Roman"/>
        </w:rPr>
      </w:pPr>
    </w:p>
    <w:p w14:paraId="7BE335DC">
      <w:pPr>
        <w:ind w:firstLine="640"/>
        <w:rPr>
          <w:rFonts w:hint="default" w:ascii="Times New Roman" w:hAnsi="Times New Roman" w:cs="Times New Roman"/>
        </w:rPr>
      </w:pPr>
    </w:p>
    <w:p w14:paraId="1573F884">
      <w:pPr>
        <w:ind w:firstLine="640"/>
        <w:rPr>
          <w:rFonts w:hint="default" w:ascii="Times New Roman" w:hAnsi="Times New Roman" w:cs="Times New Roman"/>
        </w:rPr>
      </w:pPr>
    </w:p>
    <w:p w14:paraId="559C8234">
      <w:pPr>
        <w:ind w:firstLine="640"/>
        <w:rPr>
          <w:rFonts w:hint="default" w:ascii="Times New Roman" w:hAnsi="Times New Roman" w:cs="Times New Roman"/>
        </w:rPr>
      </w:pPr>
    </w:p>
    <w:p w14:paraId="43E8580C">
      <w:pPr>
        <w:ind w:firstLine="640"/>
        <w:rPr>
          <w:rFonts w:hint="default" w:ascii="Times New Roman" w:hAnsi="Times New Roman" w:cs="Times New Roman"/>
        </w:rPr>
      </w:pPr>
    </w:p>
    <w:p w14:paraId="2E94F045">
      <w:pPr>
        <w:ind w:firstLine="640"/>
        <w:rPr>
          <w:rFonts w:hint="default" w:ascii="Times New Roman" w:hAnsi="Times New Roman" w:cs="Times New Roman"/>
        </w:rPr>
      </w:pPr>
    </w:p>
    <w:p w14:paraId="416DB0D9">
      <w:pPr>
        <w:ind w:firstLine="640"/>
        <w:rPr>
          <w:rFonts w:hint="default" w:ascii="Times New Roman" w:hAnsi="Times New Roman" w:cs="Times New Roman"/>
        </w:rPr>
      </w:pPr>
    </w:p>
    <w:p w14:paraId="1214AD40">
      <w:pPr>
        <w:ind w:firstLine="640"/>
        <w:rPr>
          <w:rFonts w:hint="default" w:ascii="Times New Roman" w:hAnsi="Times New Roman" w:cs="Times New Roman"/>
        </w:rPr>
      </w:pPr>
    </w:p>
    <w:p w14:paraId="22503F07">
      <w:pPr>
        <w:ind w:firstLine="640"/>
        <w:rPr>
          <w:rFonts w:hint="default" w:ascii="Times New Roman" w:hAnsi="Times New Roman" w:cs="Times New Roman"/>
        </w:rPr>
      </w:pPr>
    </w:p>
    <w:p w14:paraId="6ACDC90C">
      <w:pPr>
        <w:ind w:firstLine="640"/>
        <w:rPr>
          <w:rFonts w:hint="default" w:ascii="Times New Roman" w:hAnsi="Times New Roman" w:cs="Times New Roman"/>
        </w:rPr>
      </w:pPr>
    </w:p>
    <w:p w14:paraId="0DFBE2B0">
      <w:pPr>
        <w:ind w:firstLine="640"/>
        <w:rPr>
          <w:rFonts w:hint="default" w:ascii="Times New Roman" w:hAnsi="Times New Roman" w:cs="Times New Roman"/>
        </w:rPr>
      </w:pPr>
    </w:p>
    <w:p w14:paraId="5E1A5899">
      <w:pPr>
        <w:ind w:firstLine="640"/>
        <w:rPr>
          <w:rFonts w:hint="default" w:ascii="Times New Roman" w:hAnsi="Times New Roman" w:cs="Times New Roman"/>
        </w:rPr>
      </w:pPr>
    </w:p>
    <w:p w14:paraId="7DA206DB">
      <w:pPr>
        <w:ind w:firstLine="0" w:firstLineChars="0"/>
        <w:jc w:val="center"/>
        <w:rPr>
          <w:rFonts w:hint="default" w:ascii="Times New Roman" w:hAnsi="Times New Roman" w:cs="Times New Roman"/>
        </w:rPr>
      </w:pPr>
      <w:r>
        <w:rPr>
          <w:rFonts w:hint="default" w:ascii="Times New Roman" w:hAnsi="Times New Roman" w:cs="Times New Roman"/>
        </w:rPr>
        <w:t>咸宁市发展和改革委员会</w:t>
      </w:r>
    </w:p>
    <w:p w14:paraId="16D6118F">
      <w:pPr>
        <w:ind w:firstLine="0" w:firstLineChars="0"/>
        <w:jc w:val="center"/>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p>
    <w:p w14:paraId="3074BA19">
      <w:pPr>
        <w:pStyle w:val="31"/>
        <w:ind w:firstLine="640"/>
        <w:jc w:val="center"/>
        <w:rPr>
          <w:rFonts w:hint="default" w:ascii="Times New Roman" w:hAnsi="Times New Roman" w:eastAsia="黑体" w:cs="Times New Roman"/>
          <w:color w:val="auto"/>
          <w:kern w:val="2"/>
          <w:sz w:val="48"/>
          <w:szCs w:val="48"/>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12" w:charSpace="0"/>
        </w:sectPr>
      </w:pPr>
    </w:p>
    <w:sdt>
      <w:sdtPr>
        <w:rPr>
          <w:rFonts w:hint="default" w:ascii="Times New Roman" w:hAnsi="Times New Roman" w:eastAsia="黑体" w:cs="Times New Roman"/>
          <w:color w:val="auto"/>
          <w:kern w:val="2"/>
          <w:sz w:val="48"/>
          <w:szCs w:val="48"/>
          <w:lang w:val="zh-CN"/>
        </w:rPr>
        <w:id w:val="-1"/>
        <w:docPartObj>
          <w:docPartGallery w:val="Table of Contents"/>
          <w:docPartUnique/>
        </w:docPartObj>
      </w:sdtPr>
      <w:sdtEndPr>
        <w:rPr>
          <w:rFonts w:hint="default" w:ascii="Times New Roman" w:hAnsi="Times New Roman" w:eastAsia="仿宋_GB2312" w:cs="Times New Roman"/>
          <w:b/>
          <w:bCs/>
          <w:color w:val="auto"/>
          <w:kern w:val="2"/>
          <w:sz w:val="32"/>
          <w:szCs w:val="22"/>
          <w:lang w:val="zh-CN"/>
        </w:rPr>
      </w:sdtEndPr>
      <w:sdtContent>
        <w:p w14:paraId="5E218FC2">
          <w:pPr>
            <w:pStyle w:val="31"/>
            <w:keepNext/>
            <w:keepLines/>
            <w:widowControl/>
            <w:spacing w:line="260" w:lineRule="auto"/>
            <w:ind w:firstLine="0"/>
            <w:jc w:val="center"/>
            <w:rPr>
              <w:rFonts w:hint="default"/>
            </w:rPr>
          </w:pPr>
          <w:r>
            <w:rPr>
              <w:rFonts w:hint="default" w:ascii="Times New Roman" w:hAnsi="Times New Roman" w:eastAsia="黑体" w:cs="Times New Roman"/>
              <w:color w:val="auto"/>
              <w:sz w:val="48"/>
              <w:szCs w:val="48"/>
              <w:lang w:val="zh-CN"/>
            </w:rPr>
            <w:t>目</w:t>
          </w:r>
          <w:r>
            <w:rPr>
              <w:rFonts w:hint="eastAsia" w:ascii="Times New Roman" w:hAnsi="Times New Roman" w:eastAsia="黑体" w:cs="Times New Roman"/>
              <w:color w:val="auto"/>
              <w:sz w:val="48"/>
              <w:szCs w:val="48"/>
              <w:lang w:val="en-US" w:eastAsia="zh-CN"/>
            </w:rPr>
            <w:t xml:space="preserve">  </w:t>
          </w:r>
          <w:r>
            <w:rPr>
              <w:rFonts w:hint="default" w:ascii="Times New Roman" w:hAnsi="Times New Roman" w:eastAsia="黑体" w:cs="Times New Roman"/>
              <w:color w:val="auto"/>
              <w:sz w:val="48"/>
              <w:szCs w:val="48"/>
              <w:lang w:val="zh-CN"/>
            </w:rPr>
            <w:t>录</w:t>
          </w:r>
        </w:p>
        <w:p w14:paraId="17B48275">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TOC \u \o "1-3" \z \h \tdkey v5pidb</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_Toc20624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一、 </w:t>
          </w:r>
          <w:r>
            <w:rPr>
              <w:rFonts w:hint="default" w:ascii="Times New Roman" w:hAnsi="Times New Roman" w:cs="Times New Roman"/>
              <w:sz w:val="28"/>
              <w:szCs w:val="21"/>
            </w:rPr>
            <w:t>发展基础</w:t>
          </w:r>
          <w:r>
            <w:rPr>
              <w:rFonts w:hint="default" w:ascii="Times New Roman" w:hAnsi="Times New Roman" w:cs="Times New Roman"/>
              <w:sz w:val="28"/>
              <w:szCs w:val="21"/>
              <w:lang w:val="en-US" w:eastAsia="zh-CN"/>
            </w:rPr>
            <w:t>与总体要求</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_Toc20624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362BF133">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_Toc13750 </w:instrText>
          </w:r>
          <w:r>
            <w:rPr>
              <w:rFonts w:hint="default" w:ascii="Times New Roman" w:hAnsi="Times New Roman" w:cs="Times New Roman"/>
              <w:sz w:val="28"/>
              <w:szCs w:val="21"/>
            </w:rPr>
            <w:fldChar w:fldCharType="separate"/>
          </w:r>
          <w:r>
            <w:rPr>
              <w:rFonts w:hint="default" w:ascii="Times New Roman" w:hAnsi="Times New Roman" w:eastAsia="楷体_GB2312" w:cs="Times New Roman"/>
              <w:bCs w:val="0"/>
              <w:sz w:val="28"/>
              <w:szCs w:val="21"/>
              <w:lang w:val="en-US"/>
            </w:rPr>
            <w:t xml:space="preserve">（一） </w:t>
          </w:r>
          <w:r>
            <w:rPr>
              <w:rFonts w:hint="default" w:ascii="Times New Roman" w:hAnsi="Times New Roman" w:cs="Times New Roman"/>
              <w:bCs w:val="0"/>
              <w:sz w:val="28"/>
              <w:szCs w:val="21"/>
            </w:rPr>
            <w:t>“十四五”能源发展成效</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_Toc13750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D300DD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_Toc1358 </w:instrText>
          </w:r>
          <w:r>
            <w:rPr>
              <w:rFonts w:hint="default" w:ascii="Times New Roman" w:hAnsi="Times New Roman" w:cs="Times New Roman"/>
              <w:sz w:val="28"/>
              <w:szCs w:val="21"/>
            </w:rPr>
            <w:fldChar w:fldCharType="separate"/>
          </w:r>
          <w:r>
            <w:rPr>
              <w:rFonts w:hint="default" w:ascii="Times New Roman" w:hAnsi="Times New Roman" w:eastAsia="楷体_GB2312" w:cs="Times New Roman"/>
              <w:bCs w:val="0"/>
              <w:sz w:val="28"/>
              <w:szCs w:val="21"/>
              <w:lang w:val="en-US"/>
            </w:rPr>
            <w:t xml:space="preserve">（二） </w:t>
          </w:r>
          <w:r>
            <w:rPr>
              <w:rFonts w:hint="default" w:ascii="Times New Roman" w:hAnsi="Times New Roman" w:cs="Times New Roman"/>
              <w:bCs w:val="0"/>
              <w:sz w:val="28"/>
              <w:szCs w:val="21"/>
            </w:rPr>
            <w:t>面临的形势</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_Toc1358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4</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3155E2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_Toc3356 </w:instrText>
          </w:r>
          <w:r>
            <w:rPr>
              <w:rFonts w:hint="default" w:ascii="Times New Roman" w:hAnsi="Times New Roman" w:cs="Times New Roman"/>
              <w:sz w:val="28"/>
              <w:szCs w:val="21"/>
            </w:rPr>
            <w:fldChar w:fldCharType="separate"/>
          </w:r>
          <w:r>
            <w:rPr>
              <w:rFonts w:hint="default" w:ascii="Times New Roman" w:hAnsi="Times New Roman" w:eastAsia="楷体_GB2312" w:cs="Times New Roman"/>
              <w:bCs w:val="0"/>
              <w:sz w:val="28"/>
              <w:szCs w:val="21"/>
              <w:lang w:val="en-US"/>
            </w:rPr>
            <w:t xml:space="preserve">（三） </w:t>
          </w:r>
          <w:r>
            <w:rPr>
              <w:rFonts w:hint="default" w:ascii="Times New Roman" w:hAnsi="Times New Roman" w:cs="Times New Roman"/>
              <w:bCs w:val="0"/>
              <w:sz w:val="28"/>
              <w:szCs w:val="21"/>
              <w:lang w:val="en-US" w:eastAsia="zh-CN"/>
            </w:rPr>
            <w:t>目标要求</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_Toc3356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7</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F9568B5">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_Toc11351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二、 </w:t>
          </w:r>
          <w:r>
            <w:rPr>
              <w:rFonts w:hint="default" w:ascii="Times New Roman" w:hAnsi="Times New Roman" w:cs="Times New Roman"/>
              <w:sz w:val="28"/>
              <w:szCs w:val="21"/>
            </w:rPr>
            <w:t>加快构建新型电力系统</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_Toc11351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ED2164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_Toc10466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建设内陆核电创新中心</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_Toc10466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3F7E85F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_Toc30929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大力推动新能源发展</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_Toc30929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DEBCE9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_Toc10752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（三） 建设坚强韧性输配电网络</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_Toc10752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14</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6DFC9FB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_Toc7786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（四） 提升电力系统灵活调节能力</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_Toc7786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16</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3A6CF27B">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_Toc10361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lang w:val="en-US" w:eastAsia="zh-CN"/>
            </w:rPr>
            <w:t xml:space="preserve">三、 </w:t>
          </w:r>
          <w:r>
            <w:rPr>
              <w:rFonts w:hint="default" w:ascii="Times New Roman" w:hAnsi="Times New Roman" w:cs="Times New Roman"/>
              <w:sz w:val="28"/>
              <w:szCs w:val="21"/>
              <w:lang w:val="en-US" w:eastAsia="zh-CN"/>
            </w:rPr>
            <w:t>强化化石能源兜底保障</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_Toc10361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17</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638CE633">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_Toc5843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强化传统能源供应链</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_Toc5843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17</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646B83C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_Toc7905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保障化石能源储备能力</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_Toc7905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18</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791593B8">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_Toc25425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四、 </w:t>
          </w:r>
          <w:r>
            <w:rPr>
              <w:rFonts w:hint="default" w:ascii="Times New Roman" w:hAnsi="Times New Roman" w:cs="Times New Roman"/>
              <w:sz w:val="28"/>
              <w:szCs w:val="21"/>
              <w:lang w:val="en-US" w:eastAsia="zh-CN"/>
            </w:rPr>
            <w:t>推动能源消费绿色低碳转型</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_Toc25425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19</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9ED2E7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_Toc15972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推动工商业领域节能降碳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_Toc15972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19</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ED2214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_Toc14709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深化交通领域低碳转型</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_Toc14709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20</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5FCAA93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_Toc21272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（三） 加快建筑领域能效提升</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_Toc21272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7FCBFCC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_Toc5784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（四） 倡导全民绿色低碳生活</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_Toc5784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4AD6344">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_Toc18443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五、 </w:t>
          </w:r>
          <w:r>
            <w:rPr>
              <w:rFonts w:hint="default" w:ascii="Times New Roman" w:hAnsi="Times New Roman" w:cs="Times New Roman"/>
              <w:sz w:val="28"/>
              <w:szCs w:val="21"/>
            </w:rPr>
            <w:t>加速培育能源</w:t>
          </w:r>
          <w:r>
            <w:rPr>
              <w:rFonts w:hint="default" w:ascii="Times New Roman" w:hAnsi="Times New Roman" w:cs="Times New Roman"/>
              <w:sz w:val="28"/>
              <w:szCs w:val="21"/>
              <w:lang w:val="en-US" w:eastAsia="zh-CN"/>
            </w:rPr>
            <w:t>领域</w:t>
          </w:r>
          <w:r>
            <w:rPr>
              <w:rFonts w:hint="default" w:ascii="Times New Roman" w:hAnsi="Times New Roman" w:cs="Times New Roman"/>
              <w:sz w:val="28"/>
              <w:szCs w:val="21"/>
            </w:rPr>
            <w:t>新质生产力</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_Toc18443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6A5BE86E">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_Toc30793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着力提升能源科技创新水平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_Toc30793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0CF872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_Toc12412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提档升级能源装备制造产业</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_Toc12412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23</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35265F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_Toc10506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（三） 大力支持新模式新业态发展</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_Toc10506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25</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F29D0A0">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_Toc10273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六、 </w:t>
          </w:r>
          <w:r>
            <w:rPr>
              <w:rFonts w:hint="default" w:ascii="Times New Roman" w:hAnsi="Times New Roman" w:cs="Times New Roman"/>
              <w:sz w:val="28"/>
              <w:szCs w:val="21"/>
            </w:rPr>
            <w:t>提升</w:t>
          </w:r>
          <w:r>
            <w:rPr>
              <w:rFonts w:hint="default" w:ascii="Times New Roman" w:hAnsi="Times New Roman" w:cs="Times New Roman"/>
              <w:sz w:val="28"/>
              <w:szCs w:val="21"/>
              <w:lang w:val="en-US" w:eastAsia="zh-CN"/>
            </w:rPr>
            <w:t>能源</w:t>
          </w:r>
          <w:r>
            <w:rPr>
              <w:rFonts w:hint="default" w:ascii="Times New Roman" w:hAnsi="Times New Roman" w:cs="Times New Roman"/>
              <w:sz w:val="28"/>
              <w:szCs w:val="21"/>
            </w:rPr>
            <w:t>惠企利民服务</w:t>
          </w:r>
          <w:r>
            <w:rPr>
              <w:rFonts w:hint="default" w:ascii="Times New Roman" w:hAnsi="Times New Roman" w:cs="Times New Roman"/>
              <w:sz w:val="28"/>
              <w:szCs w:val="21"/>
              <w:lang w:val="en-US" w:eastAsia="zh-CN"/>
            </w:rPr>
            <w:t>水平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_Toc10273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26</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61CF45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_Toc19467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优化企业营商环境</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_Toc19467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26</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110AACD3">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_Toc10862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提升用能服务水平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_Toc10862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27</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B90CC1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_Toc26576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（三） 完善充电基础设施</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_Toc26576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28</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5C755E5D">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_Toc16692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（四） 提升居民用能水平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_Toc16692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29</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3FB4872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_Toc28382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（五） 强化能源监管能力</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_Toc28382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30</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8D44A27">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_Toc11535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七、 </w:t>
          </w:r>
          <w:r>
            <w:rPr>
              <w:rFonts w:hint="default" w:ascii="Times New Roman" w:hAnsi="Times New Roman" w:cs="Times New Roman"/>
              <w:sz w:val="28"/>
              <w:szCs w:val="21"/>
              <w:lang w:val="en-US" w:eastAsia="zh-CN"/>
            </w:rPr>
            <w:t>加强规划实施与管理</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_Toc11535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78CF4CF">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_Toc32477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rPr>
            <w:t xml:space="preserve">（一） </w:t>
          </w:r>
          <w:r>
            <w:rPr>
              <w:rFonts w:hint="default" w:ascii="Times New Roman" w:hAnsi="Times New Roman" w:cs="Times New Roman"/>
              <w:sz w:val="28"/>
              <w:szCs w:val="21"/>
              <w:lang w:val="zh-CN"/>
            </w:rPr>
            <w:t>强化组织实施</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_Toc32477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66F0A0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_Toc32386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rPr>
            <w:t xml:space="preserve">（二） </w:t>
          </w:r>
          <w:r>
            <w:rPr>
              <w:rFonts w:hint="default" w:ascii="Times New Roman" w:hAnsi="Times New Roman" w:cs="Times New Roman"/>
              <w:sz w:val="28"/>
              <w:szCs w:val="21"/>
              <w:lang w:val="zh-CN"/>
            </w:rPr>
            <w:t>加强要素保障</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_Toc32386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31</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79C7F24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_Toc4568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rPr>
            <w:t xml:space="preserve">（三） </w:t>
          </w:r>
          <w:r>
            <w:rPr>
              <w:rFonts w:hint="default" w:ascii="Times New Roman" w:hAnsi="Times New Roman" w:cs="Times New Roman"/>
              <w:sz w:val="28"/>
              <w:szCs w:val="21"/>
              <w:lang w:val="zh-CN"/>
            </w:rPr>
            <w:t>提升管理水平</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_Toc4568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6CEBFB6">
          <w:pPr>
            <w:pStyle w:val="12"/>
            <w:tabs>
              <w:tab w:val="right" w:leader="dot" w:pos="8306"/>
              <w:tab w:val="clear" w:pos="8296"/>
            </w:tabs>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_Toc3249 </w:instrText>
          </w:r>
          <w:r>
            <w:rPr>
              <w:rFonts w:hint="default" w:ascii="Times New Roman" w:hAnsi="Times New Roman" w:cs="Times New Roman"/>
              <w:sz w:val="28"/>
              <w:szCs w:val="21"/>
            </w:rPr>
            <w:fldChar w:fldCharType="separate"/>
          </w:r>
          <w:r>
            <w:rPr>
              <w:rFonts w:hint="default" w:ascii="Times New Roman" w:hAnsi="Times New Roman" w:eastAsia="黑体" w:cs="Times New Roman"/>
              <w:sz w:val="28"/>
              <w:szCs w:val="21"/>
            </w:rPr>
            <w:t xml:space="preserve">八、 </w:t>
          </w:r>
          <w:r>
            <w:rPr>
              <w:rFonts w:hint="default" w:ascii="Times New Roman" w:hAnsi="Times New Roman" w:cs="Times New Roman"/>
              <w:sz w:val="28"/>
              <w:szCs w:val="21"/>
            </w:rPr>
            <w:t>环境影响评价</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_Toc3249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099100C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_Toc31369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（一） 强化规划与项目环评制度联动</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_Toc31369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143B7ED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_Toc24335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（二） 严格能源开发生产环节环境保护</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_Toc24335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32</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4EF6B66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_Toc3009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（三） 加强能源运输储备环节环境保护</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_Toc3009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33</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6163094F">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ind w:firstLine="560" w:firstLineChars="200"/>
            <w:textAlignment w:val="auto"/>
            <w:rPr>
              <w:sz w:val="28"/>
              <w:szCs w:val="21"/>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HYPERLINK \l _Toc2443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lang w:val="en-US" w:eastAsia="zh-CN"/>
            </w:rPr>
            <w:t>（四） 强化能源消费利用环节环境保护</w:t>
          </w:r>
          <w:r>
            <w:rPr>
              <w:rFonts w:hint="default" w:ascii="Times New Roman" w:hAnsi="Times New Roman" w:cs="Times New Roman"/>
              <w:sz w:val="28"/>
              <w:szCs w:val="21"/>
            </w:rPr>
            <w:tab/>
          </w: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PAGEREF _Toc2443 \h </w:instrText>
          </w:r>
          <w:r>
            <w:rPr>
              <w:rFonts w:hint="default" w:ascii="Times New Roman" w:hAnsi="Times New Roman" w:cs="Times New Roman"/>
              <w:sz w:val="28"/>
              <w:szCs w:val="21"/>
            </w:rPr>
            <w:fldChar w:fldCharType="separate"/>
          </w:r>
          <w:r>
            <w:rPr>
              <w:rFonts w:hint="default" w:ascii="Times New Roman" w:hAnsi="Times New Roman" w:cs="Times New Roman"/>
              <w:sz w:val="28"/>
              <w:szCs w:val="21"/>
            </w:rPr>
            <w:t>33</w:t>
          </w:r>
          <w:r>
            <w:rPr>
              <w:rFonts w:hint="default" w:ascii="Times New Roman" w:hAnsi="Times New Roman" w:cs="Times New Roman"/>
              <w:sz w:val="28"/>
              <w:szCs w:val="21"/>
            </w:rPr>
            <w:fldChar w:fldCharType="end"/>
          </w:r>
          <w:r>
            <w:rPr>
              <w:rFonts w:hint="default" w:ascii="Times New Roman" w:hAnsi="Times New Roman" w:cs="Times New Roman"/>
              <w:sz w:val="28"/>
              <w:szCs w:val="21"/>
            </w:rPr>
            <w:fldChar w:fldCharType="end"/>
          </w:r>
        </w:p>
        <w:p w14:paraId="2780DC60">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sz w:val="28"/>
              <w:szCs w:val="21"/>
            </w:rPr>
            <w:fldChar w:fldCharType="end"/>
          </w:r>
        </w:p>
      </w:sdtContent>
    </w:sdt>
    <w:p w14:paraId="3D3C2089">
      <w:pPr>
        <w:ind w:firstLine="640"/>
        <w:rPr>
          <w:rFonts w:hint="default" w:ascii="Times New Roman" w:hAnsi="Times New Roman" w:cs="Times New Roman"/>
          <w:lang w:val="zh-CN"/>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1D5C5595">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bookmarkStart w:id="0" w:name="_Toc20624"/>
      <w:r>
        <w:rPr>
          <w:rFonts w:hint="default" w:ascii="Times New Roman" w:hAnsi="Times New Roman" w:cs="Times New Roman"/>
        </w:rPr>
        <w:t>发展基础</w:t>
      </w:r>
      <w:r>
        <w:rPr>
          <w:rFonts w:hint="eastAsia" w:ascii="Times New Roman" w:hAnsi="Times New Roman" w:cs="Times New Roman"/>
          <w:lang w:val="en-US" w:eastAsia="zh-CN"/>
        </w:rPr>
        <w:t>与总体要求</w:t>
      </w:r>
      <w:bookmarkEnd w:id="0"/>
    </w:p>
    <w:p w14:paraId="649366EF">
      <w:pPr>
        <w:rPr>
          <w:rFonts w:hint="default"/>
        </w:rPr>
      </w:pPr>
    </w:p>
    <w:p w14:paraId="5BFA65ED">
      <w:pPr>
        <w:pStyle w:val="3"/>
        <w:ind w:firstLine="643" w:firstLineChars="200"/>
        <w:rPr>
          <w:rFonts w:hint="default" w:ascii="Times New Roman" w:hAnsi="Times New Roman" w:cs="Times New Roman"/>
          <w:b/>
          <w:bCs w:val="0"/>
        </w:rPr>
      </w:pPr>
      <w:bookmarkStart w:id="1" w:name="_Toc13750"/>
      <w:r>
        <w:rPr>
          <w:rFonts w:hint="default" w:ascii="Times New Roman" w:hAnsi="Times New Roman" w:cs="Times New Roman"/>
          <w:b/>
          <w:bCs w:val="0"/>
        </w:rPr>
        <w:t>“十四五”能源发展成效</w:t>
      </w:r>
      <w:bookmarkEnd w:id="1"/>
    </w:p>
    <w:p w14:paraId="108D6E74">
      <w:pPr>
        <w:ind w:firstLine="640"/>
        <w:rPr>
          <w:rFonts w:hint="default" w:ascii="Times New Roman" w:hAnsi="Times New Roman" w:cs="Times New Roman"/>
          <w:color w:val="000000"/>
        </w:rPr>
      </w:pPr>
      <w:r>
        <w:rPr>
          <w:rFonts w:hint="default" w:ascii="Times New Roman" w:hAnsi="Times New Roman" w:cs="Times New Roman"/>
          <w:color w:val="000000"/>
        </w:rPr>
        <w:t>“十四五”以来，咸宁市深入贯彻“四个革命、一个合作”能源安全新战略，紧扣碳达峰碳中和目标，坚持安全为本、绿色低碳、创新驱动、协调发展、民生优先的原则，能源高质量发展迈出坚实步伐，取得突出成就。</w:t>
      </w:r>
    </w:p>
    <w:p w14:paraId="6FA3AD1F">
      <w:pPr>
        <w:ind w:firstLine="643"/>
        <w:rPr>
          <w:rFonts w:hint="default" w:ascii="Times New Roman" w:hAnsi="Times New Roman" w:cs="Times New Roman"/>
        </w:rPr>
      </w:pPr>
      <w:r>
        <w:rPr>
          <w:rFonts w:hint="default" w:ascii="Times New Roman" w:hAnsi="Times New Roman" w:cs="Times New Roman"/>
          <w:b/>
          <w:bCs/>
          <w:color w:val="000000"/>
        </w:rPr>
        <w:t>1.能源结构优化实现历史性跨越</w:t>
      </w:r>
    </w:p>
    <w:p w14:paraId="7470C749">
      <w:pPr>
        <w:ind w:firstLine="643"/>
        <w:rPr>
          <w:rFonts w:hint="default" w:ascii="Times New Roman" w:hAnsi="Times New Roman" w:cs="Times New Roman"/>
          <w:b w:val="0"/>
          <w:bCs w:val="0"/>
          <w:kern w:val="0"/>
          <w:szCs w:val="32"/>
          <w:lang w:eastAsia="zh-CN"/>
        </w:rPr>
      </w:pPr>
      <w:r>
        <w:rPr>
          <w:rFonts w:hint="default" w:ascii="Times New Roman" w:hAnsi="Times New Roman" w:cs="Times New Roman"/>
          <w:b/>
          <w:bCs/>
          <w:kern w:val="0"/>
          <w:szCs w:val="32"/>
          <w:lang w:eastAsia="zh-CN"/>
        </w:rPr>
        <w:t>能源消费低碳化</w:t>
      </w:r>
      <w:r>
        <w:rPr>
          <w:rFonts w:hint="eastAsia" w:ascii="Times New Roman" w:hAnsi="Times New Roman" w:cs="Times New Roman"/>
          <w:b/>
          <w:bCs/>
          <w:kern w:val="0"/>
          <w:szCs w:val="32"/>
          <w:lang w:val="en-US" w:eastAsia="zh-CN"/>
        </w:rPr>
        <w:t>成效</w:t>
      </w:r>
      <w:r>
        <w:rPr>
          <w:rFonts w:hint="default" w:ascii="Times New Roman" w:hAnsi="Times New Roman" w:cs="Times New Roman"/>
          <w:b/>
          <w:bCs/>
          <w:kern w:val="0"/>
          <w:szCs w:val="32"/>
          <w:lang w:eastAsia="zh-CN"/>
        </w:rPr>
        <w:t>显著，利用效率持续提升。</w:t>
      </w:r>
      <w:r>
        <w:rPr>
          <w:rFonts w:hint="default" w:ascii="Times New Roman" w:hAnsi="Times New Roman" w:cs="Times New Roman"/>
          <w:b w:val="0"/>
          <w:bCs w:val="0"/>
          <w:kern w:val="0"/>
          <w:szCs w:val="32"/>
          <w:lang w:eastAsia="zh-CN"/>
        </w:rPr>
        <w:t>“十四五”期间，</w:t>
      </w:r>
      <w:r>
        <w:rPr>
          <w:rFonts w:hint="eastAsia" w:ascii="Times New Roman" w:hAnsi="Times New Roman" w:cs="Times New Roman"/>
          <w:b w:val="0"/>
          <w:bCs w:val="0"/>
          <w:kern w:val="0"/>
          <w:szCs w:val="32"/>
          <w:lang w:val="en-US" w:eastAsia="zh-CN"/>
        </w:rPr>
        <w:t>全市</w:t>
      </w:r>
      <w:r>
        <w:rPr>
          <w:rFonts w:hint="default" w:ascii="Times New Roman" w:hAnsi="Times New Roman" w:cs="Times New Roman"/>
          <w:b w:val="0"/>
          <w:bCs w:val="0"/>
          <w:kern w:val="0"/>
          <w:szCs w:val="32"/>
          <w:lang w:eastAsia="zh-CN"/>
        </w:rPr>
        <w:t>以年均</w:t>
      </w:r>
      <w:r>
        <w:rPr>
          <w:rFonts w:hint="eastAsia" w:ascii="Times New Roman" w:hAnsi="Times New Roman" w:cs="Times New Roman"/>
          <w:b w:val="0"/>
          <w:bCs w:val="0"/>
          <w:kern w:val="0"/>
          <w:szCs w:val="32"/>
          <w:lang w:val="en-US" w:eastAsia="zh-CN"/>
        </w:rPr>
        <w:t>3.6</w:t>
      </w:r>
      <w:r>
        <w:rPr>
          <w:rFonts w:hint="default" w:ascii="Times New Roman" w:hAnsi="Times New Roman" w:cs="Times New Roman"/>
          <w:b w:val="0"/>
          <w:bCs w:val="0"/>
          <w:kern w:val="0"/>
          <w:szCs w:val="32"/>
          <w:lang w:eastAsia="zh-CN"/>
        </w:rPr>
        <w:t>%的能源消费增速，支撑了年均6.</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%的GDP增长，单位GDP能耗</w:t>
      </w:r>
      <w:r>
        <w:rPr>
          <w:rFonts w:hint="eastAsia" w:ascii="Times New Roman" w:hAnsi="Times New Roman" w:cs="Times New Roman"/>
          <w:b w:val="0"/>
          <w:bCs w:val="0"/>
          <w:kern w:val="0"/>
          <w:szCs w:val="32"/>
          <w:lang w:val="en-US" w:eastAsia="zh-CN"/>
        </w:rPr>
        <w:t>累计</w:t>
      </w:r>
      <w:r>
        <w:rPr>
          <w:rFonts w:hint="default" w:ascii="Times New Roman" w:hAnsi="Times New Roman" w:cs="Times New Roman"/>
          <w:b w:val="0"/>
          <w:bCs w:val="0"/>
          <w:kern w:val="0"/>
          <w:szCs w:val="32"/>
          <w:lang w:eastAsia="zh-CN"/>
        </w:rPr>
        <w:t>下降</w:t>
      </w:r>
      <w:r>
        <w:rPr>
          <w:rFonts w:hint="eastAsia" w:ascii="Times New Roman" w:hAnsi="Times New Roman" w:cs="Times New Roman"/>
          <w:b w:val="0"/>
          <w:bCs w:val="0"/>
          <w:kern w:val="0"/>
          <w:szCs w:val="32"/>
          <w:lang w:val="en-US" w:eastAsia="zh-CN"/>
        </w:rPr>
        <w:t>11.4%</w:t>
      </w:r>
      <w:r>
        <w:rPr>
          <w:rFonts w:hint="default" w:ascii="Times New Roman" w:hAnsi="Times New Roman" w:cs="Times New Roman"/>
          <w:b w:val="0"/>
          <w:bCs w:val="0"/>
          <w:kern w:val="0"/>
          <w:szCs w:val="32"/>
          <w:lang w:eastAsia="zh-CN"/>
        </w:rPr>
        <w:t>，能源消费强度持续降低。消费结构</w:t>
      </w:r>
      <w:r>
        <w:rPr>
          <w:rFonts w:hint="eastAsia" w:ascii="Times New Roman" w:hAnsi="Times New Roman" w:cs="Times New Roman"/>
          <w:b w:val="0"/>
          <w:bCs w:val="0"/>
          <w:kern w:val="0"/>
          <w:szCs w:val="32"/>
          <w:lang w:val="en-US" w:eastAsia="zh-CN"/>
        </w:rPr>
        <w:t>持续优化</w:t>
      </w:r>
      <w:r>
        <w:rPr>
          <w:rFonts w:hint="default" w:ascii="Times New Roman" w:hAnsi="Times New Roman" w:cs="Times New Roman"/>
          <w:b w:val="0"/>
          <w:bCs w:val="0"/>
          <w:kern w:val="0"/>
          <w:szCs w:val="32"/>
          <w:lang w:eastAsia="zh-CN"/>
        </w:rPr>
        <w:t>，煤炭消费占比稳步下降，清洁能源替代效应加速显现。电力</w:t>
      </w:r>
      <w:r>
        <w:rPr>
          <w:rFonts w:hint="eastAsia" w:ascii="Times New Roman" w:hAnsi="Times New Roman" w:cs="Times New Roman"/>
          <w:b w:val="0"/>
          <w:bCs w:val="0"/>
          <w:kern w:val="0"/>
          <w:szCs w:val="32"/>
          <w:lang w:val="en-US" w:eastAsia="zh-CN"/>
        </w:rPr>
        <w:t>和天然气</w:t>
      </w:r>
      <w:r>
        <w:rPr>
          <w:rFonts w:hint="default" w:ascii="Times New Roman" w:hAnsi="Times New Roman" w:cs="Times New Roman"/>
          <w:b w:val="0"/>
          <w:bCs w:val="0"/>
          <w:kern w:val="0"/>
          <w:szCs w:val="32"/>
          <w:lang w:eastAsia="zh-CN"/>
        </w:rPr>
        <w:t>消费快速增长，年均增速分别达到7.5%和</w:t>
      </w:r>
      <w:r>
        <w:rPr>
          <w:rFonts w:hint="eastAsia" w:ascii="Times New Roman" w:hAnsi="Times New Roman" w:cs="Times New Roman"/>
          <w:b w:val="0"/>
          <w:bCs w:val="0"/>
          <w:kern w:val="0"/>
          <w:szCs w:val="32"/>
          <w:lang w:val="en-US" w:eastAsia="zh-CN"/>
        </w:rPr>
        <w:t>9</w:t>
      </w:r>
      <w:r>
        <w:rPr>
          <w:rFonts w:hint="default" w:ascii="Times New Roman" w:hAnsi="Times New Roman" w:cs="Times New Roman"/>
          <w:b w:val="0"/>
          <w:bCs w:val="0"/>
          <w:kern w:val="0"/>
          <w:szCs w:val="32"/>
          <w:lang w:eastAsia="zh-CN"/>
        </w:rPr>
        <w:t>%，终端用能电气化、多元化特征更加鲜明。</w:t>
      </w:r>
    </w:p>
    <w:p w14:paraId="1AB45CAE">
      <w:pPr>
        <w:ind w:firstLine="643"/>
        <w:rPr>
          <w:rFonts w:hint="default" w:ascii="Times New Roman" w:hAnsi="Times New Roman" w:cs="Times New Roman"/>
          <w:b w:val="0"/>
          <w:bCs w:val="0"/>
          <w:kern w:val="0"/>
          <w:szCs w:val="32"/>
          <w:lang w:eastAsia="zh-CN"/>
        </w:rPr>
      </w:pPr>
      <w:r>
        <w:rPr>
          <w:rFonts w:hint="default" w:ascii="Times New Roman" w:hAnsi="Times New Roman" w:cs="Times New Roman"/>
          <w:b/>
          <w:bCs/>
          <w:kern w:val="0"/>
          <w:szCs w:val="32"/>
          <w:lang w:eastAsia="zh-CN"/>
        </w:rPr>
        <w:t>电源结构实现历史性优化，</w:t>
      </w:r>
      <w:r>
        <w:rPr>
          <w:rFonts w:hint="default" w:ascii="Times New Roman" w:hAnsi="Times New Roman" w:cs="Times New Roman"/>
          <w:b/>
          <w:bCs/>
          <w:kern w:val="0"/>
          <w:szCs w:val="32"/>
          <w:lang w:val="en-US" w:eastAsia="zh-CN"/>
        </w:rPr>
        <w:t>装机规模</w:t>
      </w:r>
      <w:r>
        <w:rPr>
          <w:rFonts w:hint="default" w:ascii="Times New Roman" w:hAnsi="Times New Roman" w:cs="Times New Roman"/>
          <w:b/>
          <w:bCs/>
          <w:kern w:val="0"/>
          <w:szCs w:val="32"/>
          <w:lang w:eastAsia="zh-CN"/>
        </w:rPr>
        <w:t>跨越增长。</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十四五</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期间，</w:t>
      </w:r>
      <w:r>
        <w:rPr>
          <w:rFonts w:hint="eastAsia" w:ascii="Times New Roman" w:hAnsi="Times New Roman" w:cs="Times New Roman"/>
          <w:b w:val="0"/>
          <w:bCs w:val="0"/>
          <w:kern w:val="0"/>
          <w:szCs w:val="32"/>
          <w:lang w:val="en-US" w:eastAsia="zh-CN"/>
        </w:rPr>
        <w:t>全市</w:t>
      </w:r>
      <w:r>
        <w:rPr>
          <w:rFonts w:hint="default" w:ascii="Times New Roman" w:hAnsi="Times New Roman" w:cs="Times New Roman"/>
          <w:b w:val="0"/>
          <w:bCs w:val="0"/>
          <w:kern w:val="0"/>
          <w:szCs w:val="32"/>
          <w:lang w:eastAsia="zh-CN"/>
        </w:rPr>
        <w:t>新能源</w:t>
      </w:r>
      <w:r>
        <w:rPr>
          <w:rFonts w:hint="default" w:ascii="Times New Roman" w:hAnsi="Times New Roman" w:cs="Times New Roman"/>
          <w:b w:val="0"/>
          <w:bCs w:val="0"/>
          <w:kern w:val="0"/>
          <w:szCs w:val="32"/>
          <w:lang w:val="en-US" w:eastAsia="zh-CN"/>
        </w:rPr>
        <w:t>装机</w:t>
      </w:r>
      <w:r>
        <w:rPr>
          <w:rFonts w:hint="eastAsia" w:ascii="Times New Roman" w:hAnsi="Times New Roman" w:cs="Times New Roman"/>
          <w:b w:val="0"/>
          <w:bCs w:val="0"/>
          <w:kern w:val="0"/>
          <w:szCs w:val="32"/>
          <w:lang w:val="en-US" w:eastAsia="zh-CN"/>
        </w:rPr>
        <w:t>容量</w:t>
      </w:r>
      <w:r>
        <w:rPr>
          <w:rFonts w:hint="default" w:ascii="Times New Roman" w:hAnsi="Times New Roman" w:cs="Times New Roman"/>
          <w:b w:val="0"/>
          <w:bCs w:val="0"/>
          <w:kern w:val="0"/>
          <w:szCs w:val="32"/>
          <w:lang w:val="en-US" w:eastAsia="zh-CN"/>
        </w:rPr>
        <w:t>大幅</w:t>
      </w:r>
      <w:r>
        <w:rPr>
          <w:rFonts w:hint="eastAsia" w:ascii="Times New Roman" w:hAnsi="Times New Roman" w:cs="Times New Roman"/>
          <w:b w:val="0"/>
          <w:bCs w:val="0"/>
          <w:kern w:val="0"/>
          <w:szCs w:val="32"/>
          <w:lang w:val="en-US" w:eastAsia="zh-CN"/>
        </w:rPr>
        <w:t>增长</w:t>
      </w:r>
      <w:r>
        <w:rPr>
          <w:rFonts w:hint="default" w:ascii="Times New Roman" w:hAnsi="Times New Roman" w:cs="Times New Roman"/>
          <w:b w:val="0"/>
          <w:bCs w:val="0"/>
          <w:kern w:val="0"/>
          <w:szCs w:val="32"/>
          <w:lang w:eastAsia="zh-CN"/>
        </w:rPr>
        <w:t>，发展能级显著提升</w:t>
      </w:r>
      <w:r>
        <w:rPr>
          <w:rFonts w:hint="eastAsia"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highlight w:val="none"/>
          <w:lang w:eastAsia="zh-CN"/>
        </w:rPr>
        <w:t>光伏发电装机达到2</w:t>
      </w:r>
      <w:r>
        <w:rPr>
          <w:rFonts w:hint="default" w:ascii="Times New Roman" w:hAnsi="Times New Roman" w:cs="Times New Roman"/>
          <w:b w:val="0"/>
          <w:bCs w:val="0"/>
          <w:kern w:val="0"/>
          <w:szCs w:val="32"/>
          <w:highlight w:val="none"/>
          <w:lang w:val="en-US" w:eastAsia="zh-CN"/>
        </w:rPr>
        <w:t>71.5</w:t>
      </w:r>
      <w:r>
        <w:rPr>
          <w:rFonts w:hint="default" w:ascii="Times New Roman" w:hAnsi="Times New Roman" w:cs="Times New Roman"/>
          <w:b w:val="0"/>
          <w:bCs w:val="0"/>
          <w:kern w:val="0"/>
          <w:szCs w:val="32"/>
          <w:highlight w:val="none"/>
          <w:lang w:eastAsia="zh-CN"/>
        </w:rPr>
        <w:t>万千瓦，年均增速高达5</w:t>
      </w:r>
      <w:r>
        <w:rPr>
          <w:rFonts w:hint="default" w:ascii="Times New Roman" w:hAnsi="Times New Roman" w:cs="Times New Roman"/>
          <w:b w:val="0"/>
          <w:bCs w:val="0"/>
          <w:kern w:val="0"/>
          <w:szCs w:val="32"/>
          <w:highlight w:val="none"/>
          <w:lang w:val="en-US" w:eastAsia="zh-CN"/>
        </w:rPr>
        <w:t>1</w:t>
      </w:r>
      <w:r>
        <w:rPr>
          <w:rFonts w:hint="default" w:ascii="Times New Roman" w:hAnsi="Times New Roman" w:cs="Times New Roman"/>
          <w:b w:val="0"/>
          <w:bCs w:val="0"/>
          <w:kern w:val="0"/>
          <w:szCs w:val="32"/>
          <w:highlight w:val="none"/>
          <w:lang w:eastAsia="zh-CN"/>
        </w:rPr>
        <w:t>.</w:t>
      </w:r>
      <w:r>
        <w:rPr>
          <w:rFonts w:hint="default" w:ascii="Times New Roman" w:hAnsi="Times New Roman" w:cs="Times New Roman"/>
          <w:b w:val="0"/>
          <w:bCs w:val="0"/>
          <w:kern w:val="0"/>
          <w:szCs w:val="32"/>
          <w:highlight w:val="none"/>
          <w:lang w:val="en-US" w:eastAsia="zh-CN"/>
        </w:rPr>
        <w:t>9</w:t>
      </w:r>
      <w:r>
        <w:rPr>
          <w:rFonts w:hint="default" w:ascii="Times New Roman" w:hAnsi="Times New Roman" w:cs="Times New Roman"/>
          <w:b w:val="0"/>
          <w:bCs w:val="0"/>
          <w:kern w:val="0"/>
          <w:szCs w:val="32"/>
          <w:highlight w:val="none"/>
          <w:lang w:eastAsia="zh-CN"/>
        </w:rPr>
        <w:t>%；风电装机达到37.4万千瓦，年均增速1</w:t>
      </w:r>
      <w:r>
        <w:rPr>
          <w:rFonts w:hint="eastAsia" w:ascii="Times New Roman" w:hAnsi="Times New Roman" w:cs="Times New Roman"/>
          <w:b w:val="0"/>
          <w:bCs w:val="0"/>
          <w:kern w:val="0"/>
          <w:szCs w:val="32"/>
          <w:highlight w:val="none"/>
          <w:lang w:val="en-US" w:eastAsia="zh-CN"/>
        </w:rPr>
        <w:t>0</w:t>
      </w:r>
      <w:r>
        <w:rPr>
          <w:rFonts w:hint="default" w:ascii="Times New Roman" w:hAnsi="Times New Roman" w:cs="Times New Roman"/>
          <w:b w:val="0"/>
          <w:bCs w:val="0"/>
          <w:kern w:val="0"/>
          <w:szCs w:val="32"/>
          <w:highlight w:val="none"/>
          <w:lang w:eastAsia="zh-CN"/>
        </w:rPr>
        <w:t>.</w:t>
      </w:r>
      <w:r>
        <w:rPr>
          <w:rFonts w:hint="eastAsia" w:ascii="Times New Roman" w:hAnsi="Times New Roman" w:cs="Times New Roman"/>
          <w:b w:val="0"/>
          <w:bCs w:val="0"/>
          <w:kern w:val="0"/>
          <w:szCs w:val="32"/>
          <w:highlight w:val="none"/>
          <w:lang w:val="en-US" w:eastAsia="zh-CN"/>
        </w:rPr>
        <w:t>2</w:t>
      </w:r>
      <w:r>
        <w:rPr>
          <w:rFonts w:hint="default" w:ascii="Times New Roman" w:hAnsi="Times New Roman" w:cs="Times New Roman"/>
          <w:b w:val="0"/>
          <w:bCs w:val="0"/>
          <w:kern w:val="0"/>
          <w:szCs w:val="32"/>
          <w:highlight w:val="none"/>
          <w:lang w:eastAsia="zh-CN"/>
        </w:rPr>
        <w:t>%。新能源装机占电力</w:t>
      </w:r>
      <w:r>
        <w:rPr>
          <w:rFonts w:hint="default" w:ascii="Times New Roman" w:hAnsi="Times New Roman" w:cs="Times New Roman"/>
          <w:b w:val="0"/>
          <w:bCs w:val="0"/>
          <w:kern w:val="0"/>
          <w:szCs w:val="32"/>
          <w:highlight w:val="none"/>
          <w:lang w:val="en-US" w:eastAsia="zh-CN"/>
        </w:rPr>
        <w:t>总</w:t>
      </w:r>
      <w:r>
        <w:rPr>
          <w:rFonts w:hint="default" w:ascii="Times New Roman" w:hAnsi="Times New Roman" w:cs="Times New Roman"/>
          <w:b w:val="0"/>
          <w:bCs w:val="0"/>
          <w:kern w:val="0"/>
          <w:szCs w:val="32"/>
          <w:highlight w:val="none"/>
          <w:lang w:eastAsia="zh-CN"/>
        </w:rPr>
        <w:t>装机的比重由2020年的1</w:t>
      </w:r>
      <w:r>
        <w:rPr>
          <w:rFonts w:hint="default" w:ascii="Times New Roman" w:hAnsi="Times New Roman" w:cs="Times New Roman"/>
          <w:b w:val="0"/>
          <w:bCs w:val="0"/>
          <w:kern w:val="0"/>
          <w:szCs w:val="32"/>
          <w:highlight w:val="none"/>
          <w:lang w:val="en-US" w:eastAsia="zh-CN"/>
        </w:rPr>
        <w:t>7</w:t>
      </w:r>
      <w:r>
        <w:rPr>
          <w:rFonts w:hint="default" w:ascii="Times New Roman" w:hAnsi="Times New Roman" w:cs="Times New Roman"/>
          <w:b w:val="0"/>
          <w:bCs w:val="0"/>
          <w:kern w:val="0"/>
          <w:szCs w:val="32"/>
          <w:highlight w:val="none"/>
          <w:lang w:eastAsia="zh-CN"/>
        </w:rPr>
        <w:t>.1%提升至</w:t>
      </w:r>
      <w:r>
        <w:rPr>
          <w:rFonts w:hint="default" w:ascii="Times New Roman" w:hAnsi="Times New Roman" w:cs="Times New Roman"/>
          <w:b w:val="0"/>
          <w:bCs w:val="0"/>
          <w:kern w:val="0"/>
          <w:szCs w:val="32"/>
          <w:highlight w:val="none"/>
          <w:lang w:val="en-US" w:eastAsia="zh-CN"/>
        </w:rPr>
        <w:t>38.3</w:t>
      </w:r>
      <w:r>
        <w:rPr>
          <w:rFonts w:hint="default" w:ascii="Times New Roman" w:hAnsi="Times New Roman" w:cs="Times New Roman"/>
          <w:b w:val="0"/>
          <w:bCs w:val="0"/>
          <w:kern w:val="0"/>
          <w:szCs w:val="32"/>
          <w:highlight w:val="none"/>
          <w:lang w:eastAsia="zh-CN"/>
        </w:rPr>
        <w:t>%，成为电力供应的主要增长极和重要组成部分，以新能源为主体的新型电力系统建设取得关键进展。</w:t>
      </w:r>
    </w:p>
    <w:p w14:paraId="3792B223">
      <w:pPr>
        <w:ind w:firstLine="643"/>
        <w:rPr>
          <w:rFonts w:hint="default" w:ascii="Times New Roman" w:hAnsi="Times New Roman" w:cs="Times New Roman"/>
        </w:rPr>
      </w:pPr>
      <w:r>
        <w:rPr>
          <w:rFonts w:hint="default" w:ascii="Times New Roman" w:hAnsi="Times New Roman" w:cs="Times New Roman"/>
          <w:b/>
          <w:bCs/>
          <w:color w:val="000000"/>
        </w:rPr>
        <w:t>2.能源基础设施迈向现代化新阶段</w:t>
      </w:r>
    </w:p>
    <w:p w14:paraId="4B6ACCEB">
      <w:pPr>
        <w:ind w:firstLine="643"/>
        <w:rPr>
          <w:rFonts w:hint="default" w:ascii="Times New Roman" w:hAnsi="Times New Roman" w:cs="Times New Roman"/>
          <w:b w:val="0"/>
          <w:bCs w:val="0"/>
          <w:color w:val="000000"/>
        </w:rPr>
      </w:pPr>
      <w:r>
        <w:rPr>
          <w:rFonts w:hint="default" w:ascii="Times New Roman" w:hAnsi="Times New Roman" w:cs="Times New Roman"/>
          <w:b/>
          <w:bCs/>
          <w:color w:val="000000"/>
        </w:rPr>
        <w:t>电网网架结构不断强化</w:t>
      </w:r>
      <w:r>
        <w:rPr>
          <w:rFonts w:hint="default" w:ascii="Times New Roman" w:hAnsi="Times New Roman" w:cs="Times New Roman"/>
          <w:b/>
          <w:bCs/>
          <w:color w:val="000000"/>
          <w:lang w:eastAsia="zh-CN"/>
        </w:rPr>
        <w:t>，</w:t>
      </w:r>
      <w:r>
        <w:rPr>
          <w:rFonts w:hint="default" w:ascii="Times New Roman" w:hAnsi="Times New Roman" w:cs="Times New Roman"/>
          <w:b/>
          <w:bCs/>
          <w:color w:val="000000"/>
        </w:rPr>
        <w:t>供电可靠</w:t>
      </w:r>
      <w:r>
        <w:rPr>
          <w:rFonts w:hint="default" w:ascii="Times New Roman" w:hAnsi="Times New Roman" w:cs="Times New Roman"/>
          <w:b/>
          <w:bCs/>
          <w:color w:val="000000"/>
          <w:lang w:val="en-US" w:eastAsia="zh-CN"/>
        </w:rPr>
        <w:t>性</w:t>
      </w:r>
      <w:r>
        <w:rPr>
          <w:rFonts w:hint="default" w:ascii="Times New Roman" w:hAnsi="Times New Roman" w:cs="Times New Roman"/>
          <w:b/>
          <w:bCs/>
          <w:color w:val="000000"/>
        </w:rPr>
        <w:t>迈上新台阶</w:t>
      </w:r>
      <w:r>
        <w:rPr>
          <w:rFonts w:hint="default" w:ascii="Times New Roman" w:hAnsi="Times New Roman" w:cs="Times New Roman"/>
          <w:b/>
          <w:bCs/>
          <w:color w:val="000000"/>
          <w:lang w:eastAsia="zh-CN"/>
        </w:rPr>
        <w:t>。</w:t>
      </w:r>
      <w:r>
        <w:rPr>
          <w:rFonts w:hint="default" w:ascii="Times New Roman" w:hAnsi="Times New Roman" w:cs="Times New Roman"/>
          <w:b w:val="0"/>
          <w:bCs w:val="0"/>
          <w:color w:val="000000"/>
        </w:rPr>
        <w:t>电网建设与改造力度</w:t>
      </w:r>
      <w:r>
        <w:rPr>
          <w:rFonts w:hint="default" w:ascii="Times New Roman" w:hAnsi="Times New Roman" w:cs="Times New Roman"/>
          <w:b w:val="0"/>
          <w:bCs w:val="0"/>
          <w:color w:val="000000"/>
          <w:highlight w:val="none"/>
        </w:rPr>
        <w:t>空前，全市变电总容量达10</w:t>
      </w:r>
      <w:r>
        <w:rPr>
          <w:rFonts w:hint="default" w:ascii="Times New Roman" w:hAnsi="Times New Roman" w:cs="Times New Roman"/>
          <w:b w:val="0"/>
          <w:bCs w:val="0"/>
          <w:color w:val="000000"/>
          <w:highlight w:val="none"/>
          <w:lang w:val="en-US"/>
        </w:rPr>
        <w:t>65.</w:t>
      </w:r>
      <w:r>
        <w:rPr>
          <w:rFonts w:hint="eastAsia" w:ascii="Times New Roman" w:hAnsi="Times New Roman" w:cs="Times New Roman"/>
          <w:b w:val="0"/>
          <w:bCs w:val="0"/>
          <w:color w:val="000000"/>
          <w:highlight w:val="none"/>
          <w:lang w:val="en-US" w:eastAsia="zh-CN"/>
        </w:rPr>
        <w:t>8</w:t>
      </w:r>
      <w:r>
        <w:rPr>
          <w:rFonts w:hint="default" w:ascii="Times New Roman" w:hAnsi="Times New Roman" w:cs="Times New Roman"/>
          <w:b w:val="0"/>
          <w:bCs w:val="0"/>
          <w:color w:val="000000"/>
          <w:highlight w:val="none"/>
        </w:rPr>
        <w:t>万千伏安，“十四五”期间净增</w:t>
      </w:r>
      <w:r>
        <w:rPr>
          <w:rFonts w:hint="default" w:ascii="Times New Roman" w:hAnsi="Times New Roman" w:cs="Times New Roman"/>
          <w:b w:val="0"/>
          <w:bCs w:val="0"/>
          <w:color w:val="000000"/>
          <w:highlight w:val="none"/>
          <w:lang w:val="en-US"/>
        </w:rPr>
        <w:t>287.4</w:t>
      </w:r>
      <w:r>
        <w:rPr>
          <w:rFonts w:hint="default" w:ascii="Times New Roman" w:hAnsi="Times New Roman" w:cs="Times New Roman"/>
          <w:b w:val="0"/>
          <w:bCs w:val="0"/>
          <w:color w:val="000000"/>
          <w:highlight w:val="none"/>
        </w:rPr>
        <w:t>万千伏安</w:t>
      </w:r>
      <w:r>
        <w:rPr>
          <w:rFonts w:hint="default" w:ascii="Times New Roman" w:hAnsi="Times New Roman" w:cs="Times New Roman"/>
          <w:b w:val="0"/>
          <w:bCs w:val="0"/>
          <w:color w:val="000000"/>
          <w:highlight w:val="none"/>
          <w:lang w:eastAsia="zh-CN"/>
        </w:rPr>
        <w:t>，年均增长</w:t>
      </w:r>
      <w:r>
        <w:rPr>
          <w:rFonts w:hint="default" w:ascii="Times New Roman" w:hAnsi="Times New Roman" w:cs="Times New Roman"/>
          <w:b w:val="0"/>
          <w:bCs w:val="0"/>
          <w:color w:val="000000"/>
          <w:highlight w:val="none"/>
          <w:lang w:val="en-US" w:eastAsia="zh-CN"/>
        </w:rPr>
        <w:t>8.2</w:t>
      </w:r>
      <w:r>
        <w:rPr>
          <w:rFonts w:hint="default" w:ascii="Times New Roman" w:hAnsi="Times New Roman" w:cs="Times New Roman"/>
          <w:b w:val="0"/>
          <w:bCs w:val="0"/>
          <w:color w:val="000000"/>
          <w:highlight w:val="none"/>
          <w:lang w:eastAsia="zh-CN"/>
        </w:rPr>
        <w:t>%</w:t>
      </w:r>
      <w:r>
        <w:rPr>
          <w:rFonts w:hint="default" w:ascii="Times New Roman" w:hAnsi="Times New Roman" w:cs="Times New Roman"/>
          <w:b w:val="0"/>
          <w:bCs w:val="0"/>
          <w:color w:val="000000"/>
          <w:highlight w:val="none"/>
        </w:rPr>
        <w:t>。主网架结构持续优化，供电能力稳步增长。配电网建设取得突破性进展，10千伏线路联络率和分段合理化水平显著提高，负荷转供能力和供电灵活性大幅增强。</w:t>
      </w:r>
      <w:r>
        <w:rPr>
          <w:rFonts w:hint="eastAsia" w:ascii="Times New Roman" w:hAnsi="Times New Roman" w:cs="Times New Roman"/>
          <w:b w:val="0"/>
          <w:bCs w:val="0"/>
          <w:color w:val="000000"/>
          <w:highlight w:val="none"/>
          <w:lang w:val="en-US" w:eastAsia="zh-CN"/>
        </w:rPr>
        <w:t>建成新型储能电站2个，系统调节能力有效增强。</w:t>
      </w:r>
      <w:r>
        <w:rPr>
          <w:rFonts w:hint="default" w:ascii="Times New Roman" w:hAnsi="Times New Roman" w:cs="Times New Roman"/>
          <w:b w:val="0"/>
          <w:bCs w:val="0"/>
          <w:color w:val="000000"/>
          <w:highlight w:val="none"/>
        </w:rPr>
        <w:t>全市供电可靠率由99.716%提升至99.9236%，重要用户供电电源全部实现规范化配置</w:t>
      </w:r>
      <w:r>
        <w:rPr>
          <w:rFonts w:hint="default" w:ascii="Times New Roman" w:hAnsi="Times New Roman" w:cs="Times New Roman"/>
          <w:b w:val="0"/>
          <w:bCs w:val="0"/>
          <w:color w:val="000000"/>
          <w:highlight w:val="none"/>
          <w:lang w:eastAsia="zh-CN"/>
        </w:rPr>
        <w:t>，</w:t>
      </w:r>
      <w:r>
        <w:rPr>
          <w:rFonts w:hint="default" w:ascii="Times New Roman" w:hAnsi="Times New Roman" w:cs="Times New Roman"/>
          <w:b w:val="0"/>
          <w:bCs w:val="0"/>
          <w:color w:val="000000"/>
          <w:highlight w:val="none"/>
        </w:rPr>
        <w:t>电力供应质量与服务体验达</w:t>
      </w:r>
      <w:r>
        <w:rPr>
          <w:rFonts w:hint="default" w:ascii="Times New Roman" w:hAnsi="Times New Roman" w:cs="Times New Roman"/>
          <w:b w:val="0"/>
          <w:bCs w:val="0"/>
          <w:color w:val="000000"/>
        </w:rPr>
        <w:t>到历史最好水平。</w:t>
      </w:r>
    </w:p>
    <w:p w14:paraId="2C9FAF8D">
      <w:pPr>
        <w:ind w:firstLine="643"/>
        <w:rPr>
          <w:rFonts w:hint="default" w:ascii="Times New Roman" w:hAnsi="Times New Roman" w:cs="Times New Roman"/>
          <w:b w:val="0"/>
          <w:bCs w:val="0"/>
          <w:color w:val="000000"/>
        </w:rPr>
      </w:pPr>
      <w:r>
        <w:rPr>
          <w:rFonts w:hint="default" w:ascii="Times New Roman" w:hAnsi="Times New Roman" w:cs="Times New Roman"/>
          <w:b/>
          <w:bCs/>
          <w:color w:val="000000"/>
        </w:rPr>
        <w:t>油气供应网络持续完善，安全保供能力显著增强。</w:t>
      </w:r>
      <w:r>
        <w:rPr>
          <w:rFonts w:hint="eastAsia" w:ascii="Times New Roman" w:hAnsi="Times New Roman" w:cs="Times New Roman"/>
          <w:b w:val="0"/>
          <w:bCs w:val="0"/>
          <w:color w:val="000000"/>
          <w:lang w:val="en-US" w:eastAsia="zh-CN"/>
        </w:rPr>
        <w:t>油气管网建设扎实推进，全市油气长输管线总里程达301公里，</w:t>
      </w:r>
      <w:r>
        <w:rPr>
          <w:rFonts w:hint="default" w:ascii="Times New Roman" w:hAnsi="Times New Roman" w:cs="Times New Roman"/>
          <w:b w:val="0"/>
          <w:bCs w:val="0"/>
          <w:color w:val="000000"/>
          <w:lang w:val="en-US" w:eastAsia="zh-CN"/>
        </w:rPr>
        <w:t>南三县天然气长输管线及川气东送二线嘉鱼段</w:t>
      </w:r>
      <w:r>
        <w:rPr>
          <w:rFonts w:hint="eastAsia" w:ascii="Times New Roman" w:hAnsi="Times New Roman" w:cs="Times New Roman"/>
          <w:b w:val="0"/>
          <w:bCs w:val="0"/>
          <w:color w:val="000000"/>
          <w:lang w:val="en-US" w:eastAsia="zh-CN"/>
        </w:rPr>
        <w:t>建设正加速推进，供应保障网络持续织密。管道燃气普及率达到69%，“十四五”期间提升15个百分点。仪长线等</w:t>
      </w:r>
      <w:r>
        <w:rPr>
          <w:rFonts w:hint="default" w:ascii="Times New Roman" w:hAnsi="Times New Roman" w:cs="Times New Roman"/>
          <w:b w:val="0"/>
          <w:bCs w:val="0"/>
          <w:color w:val="000000"/>
          <w:lang w:val="en-US" w:eastAsia="zh-CN"/>
        </w:rPr>
        <w:t>4条长输管线生产运营情况良好，</w:t>
      </w:r>
      <w:r>
        <w:rPr>
          <w:rFonts w:hint="eastAsia" w:ascii="Times New Roman" w:hAnsi="Times New Roman" w:cs="Times New Roman"/>
          <w:b w:val="0"/>
          <w:bCs w:val="0"/>
          <w:color w:val="000000"/>
          <w:lang w:val="en-US" w:eastAsia="zh-CN"/>
        </w:rPr>
        <w:t>出台一系列安全管控和应急保供制度，应急保障能力不断强化，近年来未发生安全事故</w:t>
      </w:r>
      <w:r>
        <w:rPr>
          <w:rFonts w:hint="eastAsia" w:ascii="Times New Roman" w:hAnsi="Times New Roman" w:cs="Times New Roman"/>
          <w:b w:val="0"/>
          <w:bCs w:val="0"/>
          <w:color w:val="000000"/>
          <w:lang w:eastAsia="zh-CN"/>
        </w:rPr>
        <w:t>。</w:t>
      </w:r>
      <w:r>
        <w:rPr>
          <w:rFonts w:hint="default" w:ascii="Times New Roman" w:hAnsi="Times New Roman" w:cs="Times New Roman"/>
          <w:b w:val="0"/>
          <w:bCs w:val="0"/>
          <w:color w:val="000000"/>
        </w:rPr>
        <w:t>城镇燃气安全专项整治深入开展，全面完成“问题管网”排查与更新改造，构建起全覆盖、常态化的燃气管道安全风险防控机制。</w:t>
      </w:r>
    </w:p>
    <w:p w14:paraId="7D052F52">
      <w:pPr>
        <w:ind w:firstLine="643"/>
        <w:rPr>
          <w:rFonts w:hint="default" w:ascii="Times New Roman" w:hAnsi="Times New Roman" w:cs="Times New Roman"/>
          <w:b/>
          <w:bCs/>
          <w:color w:val="000000"/>
        </w:rPr>
      </w:pPr>
      <w:r>
        <w:rPr>
          <w:rFonts w:hint="default" w:ascii="Times New Roman" w:hAnsi="Times New Roman" w:cs="Times New Roman"/>
          <w:b/>
          <w:bCs/>
          <w:color w:val="000000"/>
        </w:rPr>
        <w:t>新型基础设施加快布局</w:t>
      </w:r>
      <w:r>
        <w:rPr>
          <w:rFonts w:hint="default" w:ascii="Times New Roman" w:hAnsi="Times New Roman" w:cs="Times New Roman"/>
          <w:b/>
          <w:bCs/>
          <w:color w:val="000000"/>
          <w:lang w:eastAsia="zh-CN"/>
        </w:rPr>
        <w:t>，</w:t>
      </w:r>
      <w:r>
        <w:rPr>
          <w:rFonts w:hint="default" w:ascii="Times New Roman" w:hAnsi="Times New Roman" w:cs="Times New Roman"/>
          <w:b/>
          <w:bCs/>
          <w:color w:val="000000"/>
        </w:rPr>
        <w:t>绿色出行体系初步建成</w:t>
      </w:r>
      <w:r>
        <w:rPr>
          <w:rFonts w:hint="default" w:ascii="Times New Roman" w:hAnsi="Times New Roman" w:cs="Times New Roman"/>
          <w:b/>
          <w:bCs/>
          <w:color w:val="000000"/>
          <w:lang w:eastAsia="zh-CN"/>
        </w:rPr>
        <w:t>。</w:t>
      </w:r>
      <w:r>
        <w:rPr>
          <w:rFonts w:hint="default" w:ascii="Times New Roman" w:hAnsi="Times New Roman" w:cs="Times New Roman"/>
          <w:b w:val="0"/>
          <w:bCs w:val="0"/>
          <w:color w:val="000000"/>
        </w:rPr>
        <w:t>积极顺应新能源汽车产业发展趋势，适度超前建设充换电基础设施网络</w:t>
      </w:r>
      <w:r>
        <w:rPr>
          <w:rFonts w:hint="eastAsia" w:ascii="Times New Roman" w:hAnsi="Times New Roman" w:cs="Times New Roman"/>
          <w:b w:val="0"/>
          <w:bCs w:val="0"/>
          <w:color w:val="000000"/>
          <w:lang w:eastAsia="zh-CN"/>
        </w:rPr>
        <w:t>，</w:t>
      </w:r>
      <w:r>
        <w:rPr>
          <w:rFonts w:hint="default" w:ascii="Times New Roman" w:hAnsi="Times New Roman" w:cs="Times New Roman"/>
          <w:b w:val="0"/>
          <w:bCs w:val="0"/>
          <w:color w:val="000000"/>
        </w:rPr>
        <w:t>建成各类充</w:t>
      </w:r>
      <w:r>
        <w:rPr>
          <w:rFonts w:hint="default" w:ascii="Times New Roman" w:hAnsi="Times New Roman" w:cs="Times New Roman"/>
          <w:b w:val="0"/>
          <w:bCs w:val="0"/>
          <w:color w:val="000000"/>
          <w:highlight w:val="none"/>
        </w:rPr>
        <w:t>电</w:t>
      </w:r>
      <w:r>
        <w:rPr>
          <w:rFonts w:hint="eastAsia" w:ascii="Times New Roman" w:hAnsi="Times New Roman" w:cs="Times New Roman"/>
          <w:b w:val="0"/>
          <w:bCs w:val="0"/>
          <w:color w:val="auto"/>
          <w:highlight w:val="none"/>
          <w:lang w:eastAsia="zh-CN"/>
        </w:rPr>
        <w:t>枪</w:t>
      </w:r>
      <w:r>
        <w:rPr>
          <w:rFonts w:hint="eastAsia" w:ascii="Times New Roman" w:hAnsi="Times New Roman" w:cs="Times New Roman"/>
          <w:b w:val="0"/>
          <w:bCs w:val="0"/>
          <w:color w:val="auto"/>
          <w:highlight w:val="none"/>
          <w:lang w:val="en-US" w:eastAsia="zh-CN"/>
        </w:rPr>
        <w:t>21341个</w:t>
      </w:r>
      <w:r>
        <w:rPr>
          <w:rFonts w:hint="default" w:ascii="Times New Roman" w:hAnsi="Times New Roman" w:cs="Times New Roman"/>
          <w:b w:val="0"/>
          <w:bCs w:val="0"/>
          <w:color w:val="000000"/>
          <w:highlight w:val="none"/>
        </w:rPr>
        <w:t>，覆盖城乡的充电网络加快延伸。农村地区充电基础设施建设走在前列，进度处于全省领先水平。</w:t>
      </w:r>
      <w:r>
        <w:rPr>
          <w:rFonts w:hint="default" w:ascii="Times New Roman" w:hAnsi="Times New Roman" w:cs="Times New Roman"/>
          <w:b w:val="0"/>
          <w:bCs w:val="0"/>
          <w:color w:val="000000"/>
        </w:rPr>
        <w:t>咸安区获批“全省充电基础设施建设应用示范县”，通山县成功入选国家2025年县域充换电设施补短板试点县，城乡一体的绿色交通能源补给网络正在加速形成。</w:t>
      </w:r>
    </w:p>
    <w:p w14:paraId="7BA5B056">
      <w:pPr>
        <w:ind w:firstLine="640"/>
        <w:rPr>
          <w:rFonts w:hint="default" w:ascii="Times New Roman" w:hAnsi="Times New Roman" w:cs="Times New Roman"/>
          <w:b/>
          <w:bCs/>
          <w:color w:val="000000"/>
        </w:rPr>
      </w:pPr>
      <w:r>
        <w:rPr>
          <w:rFonts w:hint="default" w:ascii="Times New Roman" w:hAnsi="Times New Roman" w:cs="Times New Roman"/>
          <w:b/>
          <w:bCs/>
          <w:color w:val="000000"/>
        </w:rPr>
        <w:t>3.能源产业创新动能</w:t>
      </w:r>
      <w:r>
        <w:rPr>
          <w:rFonts w:hint="default" w:ascii="Times New Roman" w:hAnsi="Times New Roman" w:cs="Times New Roman"/>
          <w:b/>
          <w:bCs/>
          <w:color w:val="000000"/>
          <w:lang w:val="en-US" w:eastAsia="zh-CN"/>
        </w:rPr>
        <w:t>加速</w:t>
      </w:r>
      <w:r>
        <w:rPr>
          <w:rFonts w:hint="default" w:ascii="Times New Roman" w:hAnsi="Times New Roman" w:cs="Times New Roman"/>
          <w:b/>
          <w:bCs/>
          <w:color w:val="000000"/>
        </w:rPr>
        <w:t>积聚</w:t>
      </w:r>
    </w:p>
    <w:p w14:paraId="710FC023">
      <w:pPr>
        <w:ind w:firstLine="640"/>
        <w:rPr>
          <w:rFonts w:hint="default" w:ascii="Times New Roman" w:hAnsi="Times New Roman" w:cs="Times New Roman"/>
          <w:b w:val="0"/>
          <w:bCs w:val="0"/>
          <w:szCs w:val="32"/>
          <w:highlight w:val="none"/>
          <w:lang w:val="en-US" w:eastAsia="zh-CN"/>
        </w:rPr>
      </w:pPr>
      <w:r>
        <w:rPr>
          <w:rFonts w:hint="default" w:ascii="Times New Roman" w:hAnsi="Times New Roman" w:cs="Times New Roman"/>
          <w:b/>
          <w:bCs/>
          <w:szCs w:val="32"/>
          <w:lang w:val="en-US" w:eastAsia="zh-CN"/>
        </w:rPr>
        <w:t>科创能力稳步提升，成果转化效益初步显现。</w:t>
      </w:r>
      <w:r>
        <w:rPr>
          <w:rFonts w:hint="default" w:ascii="Times New Roman" w:hAnsi="Times New Roman" w:cs="Times New Roman"/>
          <w:b w:val="0"/>
          <w:bCs w:val="0"/>
          <w:szCs w:val="32"/>
          <w:lang w:val="en-US" w:eastAsia="zh-CN"/>
        </w:rPr>
        <w:t>聚焦新能源、储能、智慧能源等关键技术领域，引导支持维达力、</w:t>
      </w:r>
      <w:r>
        <w:rPr>
          <w:rFonts w:hint="default" w:ascii="Times New Roman" w:hAnsi="Times New Roman" w:cs="Times New Roman"/>
          <w:b w:val="0"/>
          <w:bCs w:val="0"/>
          <w:szCs w:val="32"/>
          <w:highlight w:val="none"/>
          <w:lang w:val="en-US" w:eastAsia="zh-CN"/>
        </w:rPr>
        <w:t>跨克能源等骨干企业与高校、科研院所开展产学研合作。“十四五”期间，累计完成能源领域具有应用价值的创新成果转化15项。企业创新主体地位进一步巩固，</w:t>
      </w:r>
      <w:r>
        <w:rPr>
          <w:rFonts w:hint="eastAsia" w:ascii="Times New Roman" w:hAnsi="Times New Roman" w:cs="Times New Roman"/>
          <w:b w:val="0"/>
          <w:bCs w:val="0"/>
          <w:szCs w:val="32"/>
          <w:highlight w:val="none"/>
          <w:lang w:val="en-US" w:eastAsia="zh-CN"/>
        </w:rPr>
        <w:t>“</w:t>
      </w:r>
      <w:r>
        <w:rPr>
          <w:rFonts w:hint="default" w:ascii="Times New Roman" w:hAnsi="Times New Roman" w:cs="Times New Roman"/>
          <w:b w:val="0"/>
          <w:bCs w:val="0"/>
          <w:szCs w:val="32"/>
          <w:highlight w:val="none"/>
          <w:lang w:val="en-US" w:eastAsia="zh-CN"/>
        </w:rPr>
        <w:t>高效低耗活性焦制备及烟气净化技术装备与应用</w:t>
      </w:r>
      <w:r>
        <w:rPr>
          <w:rFonts w:hint="eastAsia" w:ascii="Times New Roman" w:hAnsi="Times New Roman" w:cs="Times New Roman"/>
          <w:b w:val="0"/>
          <w:bCs w:val="0"/>
          <w:szCs w:val="32"/>
          <w:highlight w:val="none"/>
          <w:lang w:val="en-US" w:eastAsia="zh-CN"/>
        </w:rPr>
        <w:t>”</w:t>
      </w:r>
      <w:r>
        <w:rPr>
          <w:rFonts w:hint="default" w:ascii="Times New Roman" w:hAnsi="Times New Roman" w:cs="Times New Roman"/>
          <w:b w:val="0"/>
          <w:bCs w:val="0"/>
          <w:szCs w:val="32"/>
          <w:highlight w:val="none"/>
          <w:lang w:val="en-US" w:eastAsia="zh-CN"/>
        </w:rPr>
        <w:t>荣获湖北省自然科学二等奖，“水利水电智能启闭机研究与产业化”获得中央引导地方科技发展专项资金支持，初步形成“产学研用”一体化创新生态。</w:t>
      </w:r>
    </w:p>
    <w:p w14:paraId="27F2FF99">
      <w:pPr>
        <w:ind w:firstLine="640"/>
        <w:rPr>
          <w:rFonts w:hint="default" w:ascii="Times New Roman" w:hAnsi="Times New Roman" w:cs="Times New Roman"/>
        </w:rPr>
      </w:pPr>
      <w:r>
        <w:rPr>
          <w:rFonts w:hint="default" w:ascii="Times New Roman" w:hAnsi="Times New Roman" w:cs="Times New Roman"/>
          <w:b/>
          <w:bCs/>
          <w:szCs w:val="32"/>
          <w:highlight w:val="none"/>
          <w:lang w:val="en-US" w:eastAsia="zh-CN"/>
        </w:rPr>
        <w:t>产业体系加快构建，百亿级产业集群初具规模。</w:t>
      </w:r>
      <w:r>
        <w:rPr>
          <w:rFonts w:hint="default" w:ascii="Times New Roman" w:hAnsi="Times New Roman" w:cs="Times New Roman"/>
          <w:b w:val="0"/>
          <w:bCs w:val="0"/>
          <w:szCs w:val="32"/>
          <w:highlight w:val="none"/>
          <w:lang w:val="en-US" w:eastAsia="zh-CN"/>
        </w:rPr>
        <w:t>市场主体培育力度不断加大，累计认定能源领域科技型中小企业</w:t>
      </w:r>
      <w:r>
        <w:rPr>
          <w:rFonts w:hint="eastAsia" w:ascii="Times New Roman" w:hAnsi="Times New Roman" w:cs="Times New Roman"/>
          <w:b w:val="0"/>
          <w:bCs w:val="0"/>
          <w:szCs w:val="32"/>
          <w:highlight w:val="none"/>
          <w:lang w:val="en-US" w:eastAsia="zh-CN"/>
        </w:rPr>
        <w:t>超</w:t>
      </w:r>
      <w:r>
        <w:rPr>
          <w:rFonts w:hint="default" w:ascii="Times New Roman" w:hAnsi="Times New Roman" w:cs="Times New Roman"/>
          <w:b w:val="0"/>
          <w:bCs w:val="0"/>
          <w:szCs w:val="32"/>
          <w:highlight w:val="none"/>
          <w:lang w:val="en-US" w:eastAsia="zh-CN"/>
        </w:rPr>
        <w:t>2</w:t>
      </w:r>
      <w:r>
        <w:rPr>
          <w:rFonts w:hint="eastAsia" w:ascii="Times New Roman" w:hAnsi="Times New Roman" w:cs="Times New Roman"/>
          <w:b w:val="0"/>
          <w:bCs w:val="0"/>
          <w:szCs w:val="32"/>
          <w:highlight w:val="none"/>
          <w:lang w:val="en-US" w:eastAsia="zh-CN"/>
        </w:rPr>
        <w:t>0</w:t>
      </w:r>
      <w:r>
        <w:rPr>
          <w:rFonts w:hint="default" w:ascii="Times New Roman" w:hAnsi="Times New Roman" w:cs="Times New Roman"/>
          <w:b w:val="0"/>
          <w:bCs w:val="0"/>
          <w:szCs w:val="32"/>
          <w:highlight w:val="none"/>
          <w:lang w:val="en-US" w:eastAsia="zh-CN"/>
        </w:rPr>
        <w:t>家，武汉（咸宁）离岸科创园成功引进4家能源科技企业，4家企业被认定为国家高新技术企业。产业规模快速壮大，全市绿色能源产业产值</w:t>
      </w:r>
      <w:r>
        <w:rPr>
          <w:rFonts w:hint="eastAsia" w:ascii="Times New Roman" w:hAnsi="Times New Roman" w:cs="Times New Roman"/>
          <w:b w:val="0"/>
          <w:bCs w:val="0"/>
          <w:szCs w:val="32"/>
          <w:highlight w:val="none"/>
          <w:lang w:val="en-US" w:eastAsia="zh-CN"/>
        </w:rPr>
        <w:t>达到80亿元</w:t>
      </w:r>
      <w:r>
        <w:rPr>
          <w:rFonts w:hint="default" w:ascii="Times New Roman" w:hAnsi="Times New Roman" w:cs="Times New Roman"/>
          <w:b w:val="0"/>
          <w:bCs w:val="0"/>
          <w:szCs w:val="32"/>
          <w:highlight w:val="none"/>
          <w:lang w:val="en-US" w:eastAsia="zh-CN"/>
        </w:rPr>
        <w:t>，以清洁能源开发、装备制造、技术服务为核心的产业链条加快延伸拓展</w:t>
      </w:r>
      <w:r>
        <w:rPr>
          <w:rFonts w:hint="default" w:ascii="Times New Roman" w:hAnsi="Times New Roman" w:cs="Times New Roman"/>
          <w:b w:val="0"/>
          <w:bCs w:val="0"/>
          <w:szCs w:val="32"/>
          <w:lang w:val="en-US" w:eastAsia="zh-CN"/>
        </w:rPr>
        <w:t>，成为支撑区域经济高质量发展的新增长点。</w:t>
      </w:r>
    </w:p>
    <w:tbl>
      <w:tblPr>
        <w:tblStyle w:val="19"/>
        <w:tblW w:w="8516" w:type="dxa"/>
        <w:jc w:val="center"/>
        <w:tblLayout w:type="autofit"/>
        <w:tblCellMar>
          <w:top w:w="0" w:type="dxa"/>
          <w:left w:w="108" w:type="dxa"/>
          <w:bottom w:w="0" w:type="dxa"/>
          <w:right w:w="108" w:type="dxa"/>
        </w:tblCellMar>
      </w:tblPr>
      <w:tblGrid>
        <w:gridCol w:w="2765"/>
        <w:gridCol w:w="1719"/>
        <w:gridCol w:w="1439"/>
        <w:gridCol w:w="1513"/>
        <w:gridCol w:w="1080"/>
      </w:tblGrid>
      <w:tr w14:paraId="20A5F614">
        <w:tblPrEx>
          <w:tblCellMar>
            <w:top w:w="0" w:type="dxa"/>
            <w:left w:w="108" w:type="dxa"/>
            <w:bottom w:w="0" w:type="dxa"/>
            <w:right w:w="108" w:type="dxa"/>
          </w:tblCellMar>
        </w:tblPrEx>
        <w:trPr>
          <w:trHeight w:val="561" w:hRule="atLeast"/>
          <w:jc w:val="center"/>
        </w:trPr>
        <w:tc>
          <w:tcPr>
            <w:tcW w:w="8516" w:type="dxa"/>
            <w:gridSpan w:val="5"/>
            <w:tcBorders>
              <w:top w:val="single" w:color="000000" w:sz="4" w:space="0"/>
              <w:left w:val="single" w:color="000000" w:sz="4" w:space="0"/>
              <w:bottom w:val="single" w:color="000000" w:sz="4" w:space="0"/>
              <w:right w:val="single" w:color="000000" w:sz="4" w:space="0"/>
            </w:tcBorders>
            <w:vAlign w:val="center"/>
          </w:tcPr>
          <w:p w14:paraId="44CB2E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4"/>
                <w:szCs w:val="24"/>
              </w:rPr>
            </w:pPr>
            <w:r>
              <w:rPr>
                <w:rFonts w:hint="eastAsia" w:ascii="Times New Roman" w:hAnsi="Times New Roman" w:eastAsia="黑体" w:cs="Times New Roman"/>
                <w:color w:val="000000"/>
                <w:szCs w:val="32"/>
                <w:lang w:val="en-US" w:eastAsia="zh-CN" w:bidi="ar"/>
              </w:rPr>
              <w:t xml:space="preserve">专栏1 </w:t>
            </w:r>
            <w:r>
              <w:rPr>
                <w:rFonts w:hint="default" w:ascii="Times New Roman" w:hAnsi="Times New Roman" w:eastAsia="黑体" w:cs="Times New Roman"/>
                <w:color w:val="000000"/>
                <w:szCs w:val="32"/>
                <w:lang w:bidi="ar"/>
              </w:rPr>
              <w:t>咸宁市“十四五”能源发展主要成就</w:t>
            </w:r>
          </w:p>
        </w:tc>
      </w:tr>
      <w:tr w14:paraId="1651C27E">
        <w:tblPrEx>
          <w:tblCellMar>
            <w:top w:w="0" w:type="dxa"/>
            <w:left w:w="108" w:type="dxa"/>
            <w:bottom w:w="0" w:type="dxa"/>
            <w:right w:w="108" w:type="dxa"/>
          </w:tblCellMar>
        </w:tblPrEx>
        <w:trPr>
          <w:trHeight w:val="23" w:hRule="atLeast"/>
          <w:tblHeader/>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0E37D6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指标</w:t>
            </w:r>
          </w:p>
        </w:tc>
        <w:tc>
          <w:tcPr>
            <w:tcW w:w="1719" w:type="dxa"/>
            <w:tcBorders>
              <w:top w:val="single" w:color="000000" w:sz="4" w:space="0"/>
              <w:left w:val="single" w:color="000000" w:sz="4" w:space="0"/>
              <w:bottom w:val="single" w:color="000000" w:sz="4" w:space="0"/>
              <w:right w:val="single" w:color="000000" w:sz="4" w:space="0"/>
            </w:tcBorders>
            <w:vAlign w:val="center"/>
          </w:tcPr>
          <w:p w14:paraId="70AA84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color w:val="000000"/>
                <w:kern w:val="0"/>
                <w:sz w:val="28"/>
                <w:szCs w:val="28"/>
                <w:lang w:val="en-US" w:eastAsia="zh-CN"/>
              </w:rPr>
            </w:pPr>
            <w:r>
              <w:rPr>
                <w:rFonts w:hint="eastAsia" w:ascii="Times New Roman" w:hAnsi="Times New Roman" w:eastAsia="宋体" w:cs="Times New Roman"/>
                <w:b/>
                <w:bCs/>
                <w:color w:val="000000"/>
                <w:kern w:val="0"/>
                <w:sz w:val="28"/>
                <w:szCs w:val="28"/>
                <w:lang w:val="en-US" w:eastAsia="zh-CN"/>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184687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2020年</w:t>
            </w:r>
          </w:p>
        </w:tc>
        <w:tc>
          <w:tcPr>
            <w:tcW w:w="1513" w:type="dxa"/>
            <w:tcBorders>
              <w:top w:val="single" w:color="000000" w:sz="4" w:space="0"/>
              <w:left w:val="single" w:color="000000" w:sz="4" w:space="0"/>
              <w:bottom w:val="single" w:color="000000" w:sz="4" w:space="0"/>
              <w:right w:val="single" w:color="000000" w:sz="4" w:space="0"/>
            </w:tcBorders>
            <w:vAlign w:val="center"/>
          </w:tcPr>
          <w:p w14:paraId="24459D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202</w:t>
            </w:r>
            <w:r>
              <w:rPr>
                <w:rFonts w:hint="default" w:ascii="Times New Roman" w:hAnsi="Times New Roman" w:eastAsia="宋体" w:cs="Times New Roman"/>
                <w:b/>
                <w:bCs/>
                <w:color w:val="000000"/>
                <w:kern w:val="0"/>
                <w:sz w:val="28"/>
                <w:szCs w:val="28"/>
                <w:lang w:val="en-US" w:eastAsia="zh-CN"/>
              </w:rPr>
              <w:t>5</w:t>
            </w:r>
            <w:r>
              <w:rPr>
                <w:rFonts w:hint="default" w:ascii="Times New Roman" w:hAnsi="Times New Roman" w:eastAsia="宋体" w:cs="Times New Roman"/>
                <w:b/>
                <w:bCs/>
                <w:color w:val="000000"/>
                <w:kern w:val="0"/>
                <w:sz w:val="28"/>
                <w:szCs w:val="28"/>
              </w:rPr>
              <w:t>年</w:t>
            </w:r>
          </w:p>
        </w:tc>
        <w:tc>
          <w:tcPr>
            <w:tcW w:w="1080" w:type="dxa"/>
            <w:tcBorders>
              <w:top w:val="single" w:color="000000" w:sz="4" w:space="0"/>
              <w:left w:val="single" w:color="000000" w:sz="4" w:space="0"/>
              <w:bottom w:val="single" w:color="000000" w:sz="4" w:space="0"/>
              <w:right w:val="single" w:color="000000" w:sz="4" w:space="0"/>
            </w:tcBorders>
            <w:vAlign w:val="center"/>
          </w:tcPr>
          <w:p w14:paraId="054A7E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年均/累计</w:t>
            </w:r>
          </w:p>
        </w:tc>
      </w:tr>
      <w:tr w14:paraId="14EA0777">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0BAE7E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能源消费总量</w:t>
            </w:r>
          </w:p>
        </w:tc>
        <w:tc>
          <w:tcPr>
            <w:tcW w:w="1719" w:type="dxa"/>
            <w:tcBorders>
              <w:top w:val="single" w:color="000000" w:sz="4" w:space="0"/>
              <w:left w:val="single" w:color="000000" w:sz="4" w:space="0"/>
              <w:bottom w:val="single" w:color="000000" w:sz="4" w:space="0"/>
              <w:right w:val="single" w:color="000000" w:sz="4" w:space="0"/>
            </w:tcBorders>
            <w:vAlign w:val="center"/>
          </w:tcPr>
          <w:p w14:paraId="52456F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万吨标准煤</w:t>
            </w:r>
          </w:p>
        </w:tc>
        <w:tc>
          <w:tcPr>
            <w:tcW w:w="1439" w:type="dxa"/>
            <w:tcBorders>
              <w:top w:val="single" w:color="000000" w:sz="4" w:space="0"/>
              <w:left w:val="single" w:color="000000" w:sz="4" w:space="0"/>
              <w:bottom w:val="single" w:color="000000" w:sz="4" w:space="0"/>
              <w:right w:val="single" w:color="000000" w:sz="4" w:space="0"/>
            </w:tcBorders>
            <w:vAlign w:val="center"/>
          </w:tcPr>
          <w:p w14:paraId="6C5E7F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637.7</w:t>
            </w:r>
          </w:p>
        </w:tc>
        <w:tc>
          <w:tcPr>
            <w:tcW w:w="1513" w:type="dxa"/>
            <w:tcBorders>
              <w:top w:val="single" w:color="000000" w:sz="4" w:space="0"/>
              <w:left w:val="single" w:color="000000" w:sz="4" w:space="0"/>
              <w:bottom w:val="single" w:color="000000" w:sz="4" w:space="0"/>
              <w:right w:val="single" w:color="000000" w:sz="4" w:space="0"/>
            </w:tcBorders>
            <w:vAlign w:val="center"/>
          </w:tcPr>
          <w:p w14:paraId="2F7973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760.8</w:t>
            </w:r>
          </w:p>
        </w:tc>
        <w:tc>
          <w:tcPr>
            <w:tcW w:w="1080" w:type="dxa"/>
            <w:tcBorders>
              <w:top w:val="single" w:color="000000" w:sz="4" w:space="0"/>
              <w:left w:val="single" w:color="000000" w:sz="4" w:space="0"/>
              <w:bottom w:val="single" w:color="000000" w:sz="4" w:space="0"/>
              <w:right w:val="single" w:color="000000" w:sz="4" w:space="0"/>
            </w:tcBorders>
            <w:vAlign w:val="center"/>
          </w:tcPr>
          <w:p w14:paraId="4ED93D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3.6%</w:t>
            </w:r>
          </w:p>
        </w:tc>
      </w:tr>
      <w:tr w14:paraId="21F7CD08">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1190FF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非化石能源</w:t>
            </w:r>
            <w:r>
              <w:rPr>
                <w:rFonts w:hint="default" w:ascii="Times New Roman" w:hAnsi="Times New Roman" w:eastAsia="宋体" w:cs="Times New Roman"/>
                <w:color w:val="000000"/>
                <w:kern w:val="0"/>
                <w:sz w:val="28"/>
                <w:szCs w:val="28"/>
                <w:lang w:val="en-US" w:eastAsia="zh-CN"/>
              </w:rPr>
              <w:t>消费占比</w:t>
            </w:r>
          </w:p>
        </w:tc>
        <w:tc>
          <w:tcPr>
            <w:tcW w:w="1719" w:type="dxa"/>
            <w:tcBorders>
              <w:top w:val="single" w:color="000000" w:sz="4" w:space="0"/>
              <w:left w:val="single" w:color="000000" w:sz="4" w:space="0"/>
              <w:bottom w:val="single" w:color="000000" w:sz="4" w:space="0"/>
              <w:right w:val="single" w:color="000000" w:sz="4" w:space="0"/>
            </w:tcBorders>
            <w:vAlign w:val="center"/>
          </w:tcPr>
          <w:p w14:paraId="14881D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w:t>
            </w:r>
          </w:p>
        </w:tc>
        <w:tc>
          <w:tcPr>
            <w:tcW w:w="1439" w:type="dxa"/>
            <w:tcBorders>
              <w:top w:val="single" w:color="000000" w:sz="4" w:space="0"/>
              <w:left w:val="single" w:color="000000" w:sz="4" w:space="0"/>
              <w:bottom w:val="single" w:color="000000" w:sz="4" w:space="0"/>
              <w:right w:val="single" w:color="000000" w:sz="4" w:space="0"/>
            </w:tcBorders>
            <w:vAlign w:val="center"/>
          </w:tcPr>
          <w:p w14:paraId="1886BD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w:t>
            </w:r>
          </w:p>
        </w:tc>
        <w:tc>
          <w:tcPr>
            <w:tcW w:w="1513" w:type="dxa"/>
            <w:tcBorders>
              <w:top w:val="single" w:color="000000" w:sz="4" w:space="0"/>
              <w:left w:val="single" w:color="000000" w:sz="4" w:space="0"/>
              <w:bottom w:val="single" w:color="000000" w:sz="4" w:space="0"/>
              <w:right w:val="single" w:color="000000" w:sz="4" w:space="0"/>
            </w:tcBorders>
            <w:vAlign w:val="center"/>
          </w:tcPr>
          <w:p w14:paraId="6B711B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lang w:val="en-US" w:eastAsia="zh-CN"/>
              </w:rPr>
              <w:t>完成省定目标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287731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w:t>
            </w:r>
          </w:p>
        </w:tc>
      </w:tr>
      <w:tr w14:paraId="48B6A1EC">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4A4720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发电</w:t>
            </w:r>
            <w:r>
              <w:rPr>
                <w:rFonts w:hint="eastAsia" w:ascii="Times New Roman" w:hAnsi="Times New Roman" w:eastAsia="宋体" w:cs="Times New Roman"/>
                <w:color w:val="000000"/>
                <w:kern w:val="0"/>
                <w:sz w:val="28"/>
                <w:szCs w:val="28"/>
                <w:lang w:val="en-US" w:eastAsia="zh-CN"/>
              </w:rPr>
              <w:t>总</w:t>
            </w:r>
            <w:r>
              <w:rPr>
                <w:rFonts w:hint="default" w:ascii="Times New Roman" w:hAnsi="Times New Roman" w:eastAsia="宋体" w:cs="Times New Roman"/>
                <w:color w:val="000000"/>
                <w:kern w:val="0"/>
                <w:sz w:val="28"/>
                <w:szCs w:val="28"/>
              </w:rPr>
              <w:t>装机</w:t>
            </w:r>
          </w:p>
        </w:tc>
        <w:tc>
          <w:tcPr>
            <w:tcW w:w="1719" w:type="dxa"/>
            <w:tcBorders>
              <w:top w:val="single" w:color="000000" w:sz="4" w:space="0"/>
              <w:left w:val="single" w:color="000000" w:sz="4" w:space="0"/>
              <w:bottom w:val="single" w:color="000000" w:sz="4" w:space="0"/>
              <w:right w:val="single" w:color="000000" w:sz="4" w:space="0"/>
            </w:tcBorders>
            <w:vAlign w:val="center"/>
          </w:tcPr>
          <w:p w14:paraId="4D21F4A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7C078D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374.6</w:t>
            </w:r>
          </w:p>
        </w:tc>
        <w:tc>
          <w:tcPr>
            <w:tcW w:w="1513" w:type="dxa"/>
            <w:tcBorders>
              <w:top w:val="single" w:color="000000" w:sz="4" w:space="0"/>
              <w:left w:val="single" w:color="000000" w:sz="4" w:space="0"/>
              <w:bottom w:val="single" w:color="000000" w:sz="4" w:space="0"/>
              <w:right w:val="single" w:color="000000" w:sz="4" w:space="0"/>
            </w:tcBorders>
            <w:vAlign w:val="center"/>
          </w:tcPr>
          <w:p w14:paraId="617743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829.8</w:t>
            </w:r>
          </w:p>
        </w:tc>
        <w:tc>
          <w:tcPr>
            <w:tcW w:w="1080" w:type="dxa"/>
            <w:tcBorders>
              <w:top w:val="single" w:color="000000" w:sz="4" w:space="0"/>
              <w:left w:val="single" w:color="000000" w:sz="4" w:space="0"/>
              <w:bottom w:val="single" w:color="000000" w:sz="4" w:space="0"/>
              <w:right w:val="single" w:color="000000" w:sz="4" w:space="0"/>
            </w:tcBorders>
            <w:vAlign w:val="center"/>
          </w:tcPr>
          <w:p w14:paraId="6C797B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17.2%</w:t>
            </w:r>
          </w:p>
        </w:tc>
      </w:tr>
      <w:tr w14:paraId="67989D8D">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220F1F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宋体" w:cs="Times New Roman"/>
                <w:color w:val="000000"/>
                <w:kern w:val="0"/>
                <w:sz w:val="28"/>
                <w:szCs w:val="28"/>
                <w:lang w:eastAsia="zh-CN"/>
              </w:rPr>
            </w:pPr>
            <w:r>
              <w:rPr>
                <w:rFonts w:hint="default" w:ascii="Times New Roman" w:hAnsi="Times New Roman" w:eastAsia="宋体" w:cs="Times New Roman"/>
                <w:color w:val="000000"/>
                <w:kern w:val="0"/>
                <w:sz w:val="28"/>
                <w:szCs w:val="28"/>
              </w:rPr>
              <w:t>其中：</w:t>
            </w:r>
            <w:r>
              <w:rPr>
                <w:rFonts w:hint="eastAsia" w:ascii="Times New Roman" w:hAnsi="Times New Roman" w:eastAsia="宋体" w:cs="Times New Roman"/>
                <w:color w:val="000000"/>
                <w:kern w:val="0"/>
                <w:sz w:val="16"/>
                <w:szCs w:val="16"/>
                <w:lang w:val="en-US" w:eastAsia="zh-CN"/>
              </w:rPr>
              <w:t xml:space="preserve">  </w:t>
            </w:r>
            <w:r>
              <w:rPr>
                <w:rFonts w:hint="default" w:ascii="Times New Roman" w:hAnsi="Times New Roman" w:eastAsia="宋体" w:cs="Times New Roman"/>
                <w:color w:val="000000"/>
                <w:kern w:val="0"/>
                <w:sz w:val="28"/>
                <w:szCs w:val="28"/>
              </w:rPr>
              <w:t>水电</w:t>
            </w:r>
          </w:p>
        </w:tc>
        <w:tc>
          <w:tcPr>
            <w:tcW w:w="1719" w:type="dxa"/>
            <w:tcBorders>
              <w:top w:val="single" w:color="000000" w:sz="4" w:space="0"/>
              <w:left w:val="single" w:color="000000" w:sz="4" w:space="0"/>
              <w:bottom w:val="single" w:color="000000" w:sz="4" w:space="0"/>
              <w:right w:val="single" w:color="000000" w:sz="4" w:space="0"/>
            </w:tcBorders>
            <w:vAlign w:val="center"/>
          </w:tcPr>
          <w:p w14:paraId="4C4756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0F88B3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17.8</w:t>
            </w:r>
          </w:p>
        </w:tc>
        <w:tc>
          <w:tcPr>
            <w:tcW w:w="1513" w:type="dxa"/>
            <w:tcBorders>
              <w:top w:val="single" w:color="000000" w:sz="4" w:space="0"/>
              <w:left w:val="single" w:color="000000" w:sz="4" w:space="0"/>
              <w:bottom w:val="single" w:color="000000" w:sz="4" w:space="0"/>
              <w:right w:val="single" w:color="000000" w:sz="4" w:space="0"/>
            </w:tcBorders>
            <w:vAlign w:val="center"/>
          </w:tcPr>
          <w:p w14:paraId="130313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15.7</w:t>
            </w:r>
          </w:p>
        </w:tc>
        <w:tc>
          <w:tcPr>
            <w:tcW w:w="1080" w:type="dxa"/>
            <w:tcBorders>
              <w:top w:val="single" w:color="000000" w:sz="4" w:space="0"/>
              <w:left w:val="single" w:color="000000" w:sz="4" w:space="0"/>
              <w:bottom w:val="single" w:color="000000" w:sz="4" w:space="0"/>
              <w:right w:val="single" w:color="000000" w:sz="4" w:space="0"/>
            </w:tcBorders>
            <w:vAlign w:val="center"/>
          </w:tcPr>
          <w:p w14:paraId="3D1634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-2.5%</w:t>
            </w:r>
          </w:p>
        </w:tc>
      </w:tr>
      <w:tr w14:paraId="0C180488">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3D123E1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color w:val="000000"/>
                <w:kern w:val="0"/>
                <w:sz w:val="28"/>
                <w:szCs w:val="28"/>
              </w:rPr>
              <w:t>火电</w:t>
            </w:r>
          </w:p>
        </w:tc>
        <w:tc>
          <w:tcPr>
            <w:tcW w:w="1719" w:type="dxa"/>
            <w:tcBorders>
              <w:top w:val="single" w:color="000000" w:sz="4" w:space="0"/>
              <w:left w:val="single" w:color="000000" w:sz="4" w:space="0"/>
              <w:bottom w:val="single" w:color="000000" w:sz="4" w:space="0"/>
              <w:right w:val="single" w:color="000000" w:sz="4" w:space="0"/>
            </w:tcBorders>
            <w:vAlign w:val="center"/>
          </w:tcPr>
          <w:p w14:paraId="7A278A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0D4657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300.2</w:t>
            </w:r>
          </w:p>
        </w:tc>
        <w:tc>
          <w:tcPr>
            <w:tcW w:w="1513" w:type="dxa"/>
            <w:tcBorders>
              <w:top w:val="single" w:color="000000" w:sz="4" w:space="0"/>
              <w:left w:val="single" w:color="000000" w:sz="4" w:space="0"/>
              <w:bottom w:val="single" w:color="000000" w:sz="4" w:space="0"/>
              <w:right w:val="single" w:color="000000" w:sz="4" w:space="0"/>
            </w:tcBorders>
            <w:vAlign w:val="center"/>
          </w:tcPr>
          <w:p w14:paraId="735EB3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505.3</w:t>
            </w:r>
          </w:p>
        </w:tc>
        <w:tc>
          <w:tcPr>
            <w:tcW w:w="1080" w:type="dxa"/>
            <w:tcBorders>
              <w:top w:val="single" w:color="000000" w:sz="4" w:space="0"/>
              <w:left w:val="single" w:color="000000" w:sz="4" w:space="0"/>
              <w:bottom w:val="single" w:color="000000" w:sz="4" w:space="0"/>
              <w:right w:val="single" w:color="000000" w:sz="4" w:space="0"/>
            </w:tcBorders>
            <w:vAlign w:val="center"/>
          </w:tcPr>
          <w:p w14:paraId="087903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10.5%</w:t>
            </w:r>
          </w:p>
        </w:tc>
      </w:tr>
      <w:tr w14:paraId="1FD29538">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1C76D9EF">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 xml:space="preserve"> </w:t>
            </w:r>
            <w:r>
              <w:rPr>
                <w:rFonts w:hint="default" w:ascii="Times New Roman" w:hAnsi="Times New Roman" w:eastAsia="宋体" w:cs="Times New Roman"/>
                <w:color w:val="000000"/>
                <w:kern w:val="0"/>
                <w:sz w:val="28"/>
                <w:szCs w:val="28"/>
              </w:rPr>
              <w:t>风电</w:t>
            </w:r>
            <w:r>
              <w:rPr>
                <w:rFonts w:hint="eastAsia" w:ascii="Times New Roman" w:hAnsi="Times New Roman" w:eastAsia="宋体" w:cs="Times New Roman"/>
                <w:color w:val="000000"/>
                <w:kern w:val="0"/>
                <w:sz w:val="28"/>
                <w:szCs w:val="28"/>
                <w:lang w:val="en-US" w:eastAsia="zh-CN"/>
              </w:rPr>
              <w:t xml:space="preserve"> </w:t>
            </w:r>
          </w:p>
        </w:tc>
        <w:tc>
          <w:tcPr>
            <w:tcW w:w="1719" w:type="dxa"/>
            <w:tcBorders>
              <w:top w:val="single" w:color="000000" w:sz="4" w:space="0"/>
              <w:left w:val="single" w:color="000000" w:sz="4" w:space="0"/>
              <w:bottom w:val="single" w:color="000000" w:sz="4" w:space="0"/>
              <w:right w:val="single" w:color="000000" w:sz="4" w:space="0"/>
            </w:tcBorders>
            <w:vAlign w:val="center"/>
          </w:tcPr>
          <w:p w14:paraId="4BEB14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42031E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23</w:t>
            </w:r>
          </w:p>
        </w:tc>
        <w:tc>
          <w:tcPr>
            <w:tcW w:w="1513" w:type="dxa"/>
            <w:tcBorders>
              <w:top w:val="single" w:color="000000" w:sz="4" w:space="0"/>
              <w:left w:val="single" w:color="000000" w:sz="4" w:space="0"/>
              <w:bottom w:val="single" w:color="000000" w:sz="4" w:space="0"/>
              <w:right w:val="single" w:color="000000" w:sz="4" w:space="0"/>
            </w:tcBorders>
            <w:vAlign w:val="center"/>
          </w:tcPr>
          <w:p w14:paraId="1DB875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37.4</w:t>
            </w:r>
          </w:p>
        </w:tc>
        <w:tc>
          <w:tcPr>
            <w:tcW w:w="1080" w:type="dxa"/>
            <w:tcBorders>
              <w:top w:val="single" w:color="000000" w:sz="4" w:space="0"/>
              <w:left w:val="single" w:color="000000" w:sz="4" w:space="0"/>
              <w:bottom w:val="single" w:color="000000" w:sz="4" w:space="0"/>
              <w:right w:val="single" w:color="000000" w:sz="4" w:space="0"/>
            </w:tcBorders>
            <w:vAlign w:val="center"/>
          </w:tcPr>
          <w:p w14:paraId="08F411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10.2%</w:t>
            </w:r>
          </w:p>
        </w:tc>
      </w:tr>
      <w:tr w14:paraId="67C68630">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17503318">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 xml:space="preserve">       </w:t>
            </w:r>
            <w:r>
              <w:rPr>
                <w:rFonts w:hint="default" w:ascii="Times New Roman" w:hAnsi="Times New Roman" w:eastAsia="宋体" w:cs="Times New Roman"/>
                <w:color w:val="000000"/>
                <w:kern w:val="0"/>
                <w:sz w:val="28"/>
                <w:szCs w:val="28"/>
              </w:rPr>
              <w:t>太阳能发电</w:t>
            </w:r>
            <w:r>
              <w:rPr>
                <w:rFonts w:hint="eastAsia" w:ascii="Times New Roman" w:hAnsi="Times New Roman" w:eastAsia="宋体" w:cs="Times New Roman"/>
                <w:color w:val="000000"/>
                <w:kern w:val="0"/>
                <w:sz w:val="28"/>
                <w:szCs w:val="28"/>
                <w:lang w:val="en-US" w:eastAsia="zh-CN"/>
              </w:rPr>
              <w:t xml:space="preserve"> </w:t>
            </w:r>
          </w:p>
        </w:tc>
        <w:tc>
          <w:tcPr>
            <w:tcW w:w="1719" w:type="dxa"/>
            <w:tcBorders>
              <w:top w:val="single" w:color="000000" w:sz="4" w:space="0"/>
              <w:left w:val="single" w:color="000000" w:sz="4" w:space="0"/>
              <w:bottom w:val="single" w:color="000000" w:sz="4" w:space="0"/>
              <w:right w:val="single" w:color="000000" w:sz="4" w:space="0"/>
            </w:tcBorders>
            <w:vAlign w:val="center"/>
          </w:tcPr>
          <w:p w14:paraId="79F203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0BFC34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33.6</w:t>
            </w:r>
          </w:p>
        </w:tc>
        <w:tc>
          <w:tcPr>
            <w:tcW w:w="1513" w:type="dxa"/>
            <w:tcBorders>
              <w:top w:val="single" w:color="000000" w:sz="4" w:space="0"/>
              <w:left w:val="single" w:color="000000" w:sz="4" w:space="0"/>
              <w:bottom w:val="single" w:color="000000" w:sz="4" w:space="0"/>
              <w:right w:val="single" w:color="000000" w:sz="4" w:space="0"/>
            </w:tcBorders>
            <w:vAlign w:val="center"/>
          </w:tcPr>
          <w:p w14:paraId="44F21D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271.5</w:t>
            </w:r>
          </w:p>
        </w:tc>
        <w:tc>
          <w:tcPr>
            <w:tcW w:w="1080" w:type="dxa"/>
            <w:tcBorders>
              <w:top w:val="single" w:color="000000" w:sz="4" w:space="0"/>
              <w:left w:val="single" w:color="000000" w:sz="4" w:space="0"/>
              <w:bottom w:val="single" w:color="000000" w:sz="4" w:space="0"/>
              <w:right w:val="single" w:color="000000" w:sz="4" w:space="0"/>
            </w:tcBorders>
            <w:vAlign w:val="center"/>
          </w:tcPr>
          <w:p w14:paraId="133A0D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51.9%</w:t>
            </w:r>
          </w:p>
        </w:tc>
      </w:tr>
      <w:tr w14:paraId="531A150B">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7FAB16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全社会用电量</w:t>
            </w:r>
          </w:p>
        </w:tc>
        <w:tc>
          <w:tcPr>
            <w:tcW w:w="1719" w:type="dxa"/>
            <w:tcBorders>
              <w:top w:val="single" w:color="000000" w:sz="4" w:space="0"/>
              <w:left w:val="single" w:color="000000" w:sz="4" w:space="0"/>
              <w:bottom w:val="single" w:color="000000" w:sz="4" w:space="0"/>
              <w:right w:val="single" w:color="000000" w:sz="4" w:space="0"/>
            </w:tcBorders>
            <w:vAlign w:val="center"/>
          </w:tcPr>
          <w:p w14:paraId="65963F1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亿千瓦时</w:t>
            </w:r>
          </w:p>
        </w:tc>
        <w:tc>
          <w:tcPr>
            <w:tcW w:w="1439" w:type="dxa"/>
            <w:tcBorders>
              <w:top w:val="single" w:color="000000" w:sz="4" w:space="0"/>
              <w:left w:val="single" w:color="000000" w:sz="4" w:space="0"/>
              <w:bottom w:val="single" w:color="000000" w:sz="4" w:space="0"/>
              <w:right w:val="single" w:color="000000" w:sz="4" w:space="0"/>
            </w:tcBorders>
            <w:vAlign w:val="center"/>
          </w:tcPr>
          <w:p w14:paraId="7AA9FB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93.2</w:t>
            </w:r>
          </w:p>
        </w:tc>
        <w:tc>
          <w:tcPr>
            <w:tcW w:w="1513" w:type="dxa"/>
            <w:tcBorders>
              <w:top w:val="single" w:color="000000" w:sz="4" w:space="0"/>
              <w:left w:val="single" w:color="000000" w:sz="4" w:space="0"/>
              <w:bottom w:val="single" w:color="000000" w:sz="4" w:space="0"/>
              <w:right w:val="single" w:color="000000" w:sz="4" w:space="0"/>
            </w:tcBorders>
            <w:vAlign w:val="center"/>
          </w:tcPr>
          <w:p w14:paraId="0425CF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133.5</w:t>
            </w:r>
          </w:p>
        </w:tc>
        <w:tc>
          <w:tcPr>
            <w:tcW w:w="1080" w:type="dxa"/>
            <w:tcBorders>
              <w:top w:val="single" w:color="000000" w:sz="4" w:space="0"/>
              <w:left w:val="single" w:color="000000" w:sz="4" w:space="0"/>
              <w:bottom w:val="single" w:color="000000" w:sz="4" w:space="0"/>
              <w:right w:val="single" w:color="000000" w:sz="4" w:space="0"/>
            </w:tcBorders>
            <w:vAlign w:val="center"/>
          </w:tcPr>
          <w:p w14:paraId="1995C8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7.5%</w:t>
            </w:r>
          </w:p>
        </w:tc>
      </w:tr>
      <w:tr w14:paraId="0DB257E3">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6370B8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全社会最大用电负荷</w:t>
            </w:r>
          </w:p>
        </w:tc>
        <w:tc>
          <w:tcPr>
            <w:tcW w:w="1719" w:type="dxa"/>
            <w:tcBorders>
              <w:top w:val="single" w:color="000000" w:sz="4" w:space="0"/>
              <w:left w:val="single" w:color="000000" w:sz="4" w:space="0"/>
              <w:bottom w:val="single" w:color="000000" w:sz="4" w:space="0"/>
              <w:right w:val="single" w:color="000000" w:sz="4" w:space="0"/>
            </w:tcBorders>
            <w:vAlign w:val="center"/>
          </w:tcPr>
          <w:p w14:paraId="5FFB03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3F4C34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192</w:t>
            </w:r>
          </w:p>
        </w:tc>
        <w:tc>
          <w:tcPr>
            <w:tcW w:w="1513" w:type="dxa"/>
            <w:tcBorders>
              <w:top w:val="single" w:color="000000" w:sz="4" w:space="0"/>
              <w:left w:val="single" w:color="000000" w:sz="4" w:space="0"/>
              <w:bottom w:val="single" w:color="000000" w:sz="4" w:space="0"/>
              <w:right w:val="single" w:color="000000" w:sz="4" w:space="0"/>
            </w:tcBorders>
            <w:vAlign w:val="center"/>
          </w:tcPr>
          <w:p w14:paraId="358C0B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296</w:t>
            </w:r>
          </w:p>
        </w:tc>
        <w:tc>
          <w:tcPr>
            <w:tcW w:w="1080" w:type="dxa"/>
            <w:tcBorders>
              <w:top w:val="single" w:color="000000" w:sz="4" w:space="0"/>
              <w:left w:val="single" w:color="000000" w:sz="4" w:space="0"/>
              <w:bottom w:val="single" w:color="000000" w:sz="4" w:space="0"/>
              <w:right w:val="single" w:color="000000" w:sz="4" w:space="0"/>
            </w:tcBorders>
            <w:vAlign w:val="center"/>
          </w:tcPr>
          <w:p w14:paraId="69266E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9.0%</w:t>
            </w:r>
          </w:p>
        </w:tc>
      </w:tr>
      <w:tr w14:paraId="6454DC60">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30A398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新型储能规模</w:t>
            </w:r>
          </w:p>
        </w:tc>
        <w:tc>
          <w:tcPr>
            <w:tcW w:w="1719" w:type="dxa"/>
            <w:tcBorders>
              <w:top w:val="single" w:color="000000" w:sz="4" w:space="0"/>
              <w:left w:val="single" w:color="000000" w:sz="4" w:space="0"/>
              <w:bottom w:val="single" w:color="000000" w:sz="4" w:space="0"/>
              <w:right w:val="single" w:color="000000" w:sz="4" w:space="0"/>
            </w:tcBorders>
            <w:vAlign w:val="center"/>
          </w:tcPr>
          <w:p w14:paraId="39B84D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万千瓦</w:t>
            </w:r>
          </w:p>
        </w:tc>
        <w:tc>
          <w:tcPr>
            <w:tcW w:w="1439" w:type="dxa"/>
            <w:tcBorders>
              <w:top w:val="single" w:color="000000" w:sz="4" w:space="0"/>
              <w:left w:val="single" w:color="000000" w:sz="4" w:space="0"/>
              <w:bottom w:val="single" w:color="000000" w:sz="4" w:space="0"/>
              <w:right w:val="single" w:color="000000" w:sz="4" w:space="0"/>
            </w:tcBorders>
            <w:vAlign w:val="center"/>
          </w:tcPr>
          <w:p w14:paraId="2D2FB8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0</w:t>
            </w:r>
          </w:p>
        </w:tc>
        <w:tc>
          <w:tcPr>
            <w:tcW w:w="1513" w:type="dxa"/>
            <w:tcBorders>
              <w:top w:val="single" w:color="000000" w:sz="4" w:space="0"/>
              <w:left w:val="single" w:color="000000" w:sz="4" w:space="0"/>
              <w:bottom w:val="single" w:color="000000" w:sz="4" w:space="0"/>
              <w:right w:val="single" w:color="000000" w:sz="4" w:space="0"/>
            </w:tcBorders>
            <w:vAlign w:val="center"/>
          </w:tcPr>
          <w:p w14:paraId="17AA13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476B87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[10]</w:t>
            </w:r>
          </w:p>
        </w:tc>
      </w:tr>
      <w:tr w14:paraId="62D90FD2">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438EBB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rPr>
              <w:t>新能源汽车充电</w:t>
            </w:r>
            <w:r>
              <w:rPr>
                <w:rFonts w:hint="eastAsia" w:ascii="Times New Roman" w:hAnsi="Times New Roman" w:eastAsia="宋体" w:cs="Times New Roman"/>
                <w:color w:val="000000"/>
                <w:kern w:val="0"/>
                <w:sz w:val="28"/>
                <w:szCs w:val="28"/>
                <w:lang w:eastAsia="zh-CN"/>
              </w:rPr>
              <w:t>枪</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84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个</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9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543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AC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21341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C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108.4%</w:t>
            </w:r>
          </w:p>
        </w:tc>
      </w:tr>
      <w:tr w14:paraId="353CED52">
        <w:tblPrEx>
          <w:tblCellMar>
            <w:top w:w="0" w:type="dxa"/>
            <w:left w:w="108" w:type="dxa"/>
            <w:bottom w:w="0" w:type="dxa"/>
            <w:right w:w="108" w:type="dxa"/>
          </w:tblCellMar>
        </w:tblPrEx>
        <w:trPr>
          <w:trHeight w:val="23" w:hRule="atLeast"/>
          <w:jc w:val="center"/>
        </w:trPr>
        <w:tc>
          <w:tcPr>
            <w:tcW w:w="2765" w:type="dxa"/>
            <w:tcBorders>
              <w:top w:val="single" w:color="000000" w:sz="4" w:space="0"/>
              <w:left w:val="single" w:color="000000" w:sz="4" w:space="0"/>
              <w:bottom w:val="single" w:color="000000" w:sz="4" w:space="0"/>
              <w:right w:val="single" w:color="000000" w:sz="4" w:space="0"/>
            </w:tcBorders>
            <w:vAlign w:val="center"/>
          </w:tcPr>
          <w:p w14:paraId="1612B7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color w:val="000000"/>
                <w:kern w:val="0"/>
                <w:sz w:val="28"/>
                <w:szCs w:val="28"/>
                <w:lang w:val="en-US" w:eastAsia="zh-CN"/>
              </w:rPr>
            </w:pPr>
            <w:bookmarkStart w:id="2" w:name="_Toc1358"/>
            <w:r>
              <w:rPr>
                <w:rFonts w:hint="eastAsia" w:ascii="Times New Roman" w:hAnsi="Times New Roman" w:eastAsia="宋体" w:cs="Times New Roman"/>
                <w:color w:val="000000"/>
                <w:kern w:val="0"/>
                <w:sz w:val="28"/>
                <w:szCs w:val="28"/>
                <w:lang w:val="en-US" w:eastAsia="zh-CN"/>
              </w:rPr>
              <w:t>管道燃气普及率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8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5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54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8B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00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[15]</w:t>
            </w:r>
          </w:p>
        </w:tc>
      </w:tr>
    </w:tbl>
    <w:p w14:paraId="75288204">
      <w:pPr>
        <w:pStyle w:val="3"/>
        <w:ind w:firstLine="643" w:firstLineChars="200"/>
        <w:rPr>
          <w:rFonts w:hint="default" w:ascii="Times New Roman" w:hAnsi="Times New Roman" w:cs="Times New Roman"/>
          <w:b/>
          <w:bCs w:val="0"/>
        </w:rPr>
      </w:pPr>
      <w:r>
        <w:rPr>
          <w:rFonts w:hint="default" w:ascii="Times New Roman" w:hAnsi="Times New Roman" w:cs="Times New Roman"/>
          <w:b/>
          <w:bCs w:val="0"/>
        </w:rPr>
        <w:t>面临的形势</w:t>
      </w:r>
      <w:bookmarkEnd w:id="2"/>
    </w:p>
    <w:p w14:paraId="375018B9">
      <w:pPr>
        <w:ind w:firstLine="640"/>
        <w:rPr>
          <w:rFonts w:hint="default" w:ascii="Times New Roman" w:hAnsi="Times New Roman" w:cs="Times New Roman"/>
        </w:rPr>
      </w:pPr>
      <w:r>
        <w:rPr>
          <w:rFonts w:hint="default" w:ascii="Times New Roman" w:hAnsi="Times New Roman" w:cs="Times New Roman"/>
          <w:lang w:val="en-US" w:eastAsia="zh-CN"/>
        </w:rPr>
        <w:t>湖北加快建成中部地区崛起重要战略支点，对能源发展提出更高标准</w:t>
      </w:r>
      <w:r>
        <w:rPr>
          <w:rFonts w:hint="eastAsia" w:ascii="Times New Roman" w:hAnsi="Times New Roman" w:cs="Times New Roman"/>
          <w:lang w:val="en-US" w:eastAsia="zh-CN"/>
        </w:rPr>
        <w:t>和</w:t>
      </w:r>
      <w:r>
        <w:rPr>
          <w:rFonts w:hint="default" w:ascii="Times New Roman" w:hAnsi="Times New Roman" w:cs="Times New Roman"/>
          <w:lang w:val="en-US" w:eastAsia="zh-CN"/>
        </w:rPr>
        <w:t>更高要求，复杂多变内外部环境给能源领域带来新的机遇与挑战。</w:t>
      </w:r>
      <w:r>
        <w:rPr>
          <w:rFonts w:hint="default" w:ascii="Times New Roman" w:hAnsi="Times New Roman" w:cs="Times New Roman"/>
        </w:rPr>
        <w:t>咸宁</w:t>
      </w:r>
      <w:r>
        <w:rPr>
          <w:rFonts w:hint="default" w:ascii="Times New Roman" w:hAnsi="Times New Roman" w:cs="Times New Roman"/>
          <w:lang w:val="en-US" w:eastAsia="zh-CN"/>
        </w:rPr>
        <w:t>市</w:t>
      </w:r>
      <w:r>
        <w:rPr>
          <w:rFonts w:hint="default" w:ascii="Times New Roman" w:hAnsi="Times New Roman" w:cs="Times New Roman"/>
        </w:rPr>
        <w:t>位于长江中游城市群地理中心、武汉城市圈和长株潭城市群结合地带，</w:t>
      </w:r>
      <w:r>
        <w:rPr>
          <w:rFonts w:hint="eastAsia" w:ascii="Times New Roman" w:hAnsi="Times New Roman" w:cs="Times New Roman"/>
          <w:lang w:val="en-US" w:eastAsia="zh-CN"/>
        </w:rPr>
        <w:t>处于</w:t>
      </w:r>
      <w:r>
        <w:rPr>
          <w:rFonts w:hint="default" w:ascii="Times New Roman" w:hAnsi="Times New Roman" w:cs="Times New Roman"/>
        </w:rPr>
        <w:t>岳阳</w:t>
      </w:r>
      <w:r>
        <w:rPr>
          <w:rFonts w:hint="default" w:ascii="Times New Roman" w:hAnsi="Times New Roman" w:cs="Times New Roman"/>
          <w:lang w:eastAsia="zh-CN"/>
        </w:rPr>
        <w:t>—</w:t>
      </w:r>
      <w:r>
        <w:rPr>
          <w:rFonts w:hint="default" w:ascii="Times New Roman" w:hAnsi="Times New Roman" w:cs="Times New Roman"/>
        </w:rPr>
        <w:t>九江</w:t>
      </w:r>
      <w:r>
        <w:rPr>
          <w:rFonts w:hint="default" w:ascii="Times New Roman" w:hAnsi="Times New Roman" w:cs="Times New Roman"/>
          <w:lang w:eastAsia="zh-CN"/>
        </w:rPr>
        <w:t>—</w:t>
      </w:r>
      <w:r>
        <w:rPr>
          <w:rFonts w:hint="default" w:ascii="Times New Roman" w:hAnsi="Times New Roman" w:cs="Times New Roman"/>
        </w:rPr>
        <w:t>咸宁“中三角”重要战略支点，是武汉都市圈和长江中游城市群重要城市</w:t>
      </w:r>
      <w:r>
        <w:rPr>
          <w:rFonts w:hint="default" w:ascii="Times New Roman" w:hAnsi="Times New Roman" w:cs="Times New Roman"/>
          <w:lang w:eastAsia="zh-CN"/>
        </w:rPr>
        <w:t>，</w:t>
      </w:r>
      <w:r>
        <w:rPr>
          <w:rFonts w:hint="default" w:ascii="Times New Roman" w:hAnsi="Times New Roman" w:cs="Times New Roman"/>
          <w:lang w:val="en-US" w:eastAsia="zh-CN"/>
        </w:rPr>
        <w:t>在区域能源发展格局中承担重要角色，需要牢牢抓住以下三项突出优势：</w:t>
      </w:r>
    </w:p>
    <w:p w14:paraId="123F9719">
      <w:pPr>
        <w:wordWrap w:val="0"/>
        <w:ind w:firstLine="643"/>
        <w:rPr>
          <w:rFonts w:hint="default" w:ascii="Times New Roman" w:hAnsi="Times New Roman" w:cs="Times New Roman"/>
        </w:rPr>
      </w:pPr>
      <w:r>
        <w:rPr>
          <w:rFonts w:hint="default" w:ascii="Times New Roman" w:hAnsi="Times New Roman" w:cs="Times New Roman"/>
          <w:b/>
          <w:bCs/>
        </w:rPr>
        <w:t>一是发挥交通区位优势，融入武汉能源都市圈发展。</w:t>
      </w:r>
      <w:r>
        <w:rPr>
          <w:rFonts w:hint="default" w:ascii="Times New Roman" w:hAnsi="Times New Roman" w:cs="Times New Roman"/>
          <w:kern w:val="0"/>
          <w:szCs w:val="32"/>
        </w:rPr>
        <w:t>咸宁同武汉产业承接合作持续深化，共同编制了武汉都市圈产业链地图、产业招商地图，承接武汉产业转移项目1</w:t>
      </w:r>
      <w:r>
        <w:rPr>
          <w:rFonts w:hint="default" w:ascii="Times New Roman" w:hAnsi="Times New Roman" w:cs="Times New Roman"/>
          <w:kern w:val="0"/>
          <w:szCs w:val="32"/>
          <w:lang w:val="en-US" w:eastAsia="zh-CN"/>
        </w:rPr>
        <w:t>00余个</w:t>
      </w:r>
      <w:r>
        <w:rPr>
          <w:rFonts w:hint="default" w:ascii="Times New Roman" w:hAnsi="Times New Roman" w:cs="Times New Roman"/>
          <w:kern w:val="0"/>
          <w:szCs w:val="32"/>
        </w:rPr>
        <w:t>，构建起“武汉策源—咸宁落地”的一体化产业生态雏形。在建设武汉都市圈绿色增长极的过程中，要继续深度融入长江经济带发展、中部地区崛起等国家重大战略，优化资源配置和空间</w:t>
      </w:r>
      <w:r>
        <w:rPr>
          <w:rFonts w:hint="eastAsia" w:ascii="Times New Roman" w:hAnsi="Times New Roman" w:cs="Times New Roman"/>
          <w:kern w:val="0"/>
          <w:szCs w:val="32"/>
          <w:lang w:val="en-US" w:eastAsia="zh-CN"/>
        </w:rPr>
        <w:t>布局</w:t>
      </w:r>
      <w:r>
        <w:rPr>
          <w:rFonts w:hint="default" w:ascii="Times New Roman" w:hAnsi="Times New Roman" w:cs="Times New Roman"/>
        </w:rPr>
        <w:t>，深度参与武汉</w:t>
      </w:r>
      <w:r>
        <w:rPr>
          <w:rFonts w:hint="default" w:ascii="Times New Roman" w:hAnsi="Times New Roman" w:cs="Times New Roman"/>
          <w:lang w:val="en-US" w:eastAsia="zh-CN"/>
        </w:rPr>
        <w:t>能源</w:t>
      </w:r>
      <w:r>
        <w:rPr>
          <w:rFonts w:hint="default" w:ascii="Times New Roman" w:hAnsi="Times New Roman" w:cs="Times New Roman"/>
        </w:rPr>
        <w:t>都市圈建设，强化区域能源基础设施互联互通，加强与武汉及毗邻地区城市协作，</w:t>
      </w:r>
      <w:r>
        <w:rPr>
          <w:rFonts w:hint="default" w:ascii="Times New Roman" w:hAnsi="Times New Roman" w:cs="Times New Roman"/>
          <w:lang w:val="en-US" w:eastAsia="zh-CN"/>
        </w:rPr>
        <w:t>加快形成区域能源协同发展格局</w:t>
      </w:r>
      <w:r>
        <w:rPr>
          <w:rFonts w:hint="default" w:ascii="Times New Roman" w:hAnsi="Times New Roman" w:cs="Times New Roman"/>
        </w:rPr>
        <w:t>。</w:t>
      </w:r>
    </w:p>
    <w:p w14:paraId="06445AFE">
      <w:pPr>
        <w:spacing w:line="600" w:lineRule="exact"/>
        <w:ind w:firstLine="643"/>
        <w:rPr>
          <w:rFonts w:hint="default" w:ascii="Times New Roman" w:hAnsi="Times New Roman" w:cs="Times New Roman"/>
          <w:color w:val="000000"/>
          <w:lang w:val="en-US" w:eastAsia="zh-CN"/>
        </w:rPr>
      </w:pPr>
      <w:r>
        <w:rPr>
          <w:rFonts w:hint="default" w:ascii="Times New Roman" w:hAnsi="Times New Roman" w:cs="Times New Roman"/>
          <w:b/>
          <w:bCs/>
        </w:rPr>
        <w:t>二是发挥资源禀赋优势，推进新能源集约高效发展。</w:t>
      </w:r>
      <w:r>
        <w:rPr>
          <w:rFonts w:hint="default" w:ascii="Times New Roman" w:hAnsi="Times New Roman" w:cs="Times New Roman"/>
          <w:color w:val="000000"/>
          <w:lang w:val="en-US" w:eastAsia="zh-CN"/>
        </w:rPr>
        <w:t>咸宁新能源资源禀赋优越、品类齐全。核能开发条件得天独厚，拥有湖北省核电首选厂址；风光资源较为富集，风电技术可开发量约220万千瓦、集中式光伏约500万千瓦；生物质资源种类丰富、总量较大；地热资源居全国前列，开发潜力可观，新能源开发布局</w:t>
      </w:r>
      <w:r>
        <w:rPr>
          <w:rFonts w:hint="eastAsia" w:ascii="Times New Roman" w:hAnsi="Times New Roman" w:cs="Times New Roman"/>
          <w:color w:val="000000"/>
          <w:lang w:val="en-US" w:eastAsia="zh-CN"/>
        </w:rPr>
        <w:t>规划走</w:t>
      </w:r>
      <w:r>
        <w:rPr>
          <w:rFonts w:hint="default" w:ascii="Times New Roman" w:hAnsi="Times New Roman" w:cs="Times New Roman"/>
          <w:color w:val="000000"/>
          <w:lang w:val="en-US" w:eastAsia="zh-CN"/>
        </w:rPr>
        <w:t>在全省前列。同时，咸宁毗邻鄂东负荷中心，</w:t>
      </w:r>
      <w:r>
        <w:rPr>
          <w:rFonts w:hint="eastAsia" w:ascii="Times New Roman" w:hAnsi="Times New Roman" w:cs="Times New Roman"/>
          <w:color w:val="000000"/>
          <w:lang w:val="en-US" w:eastAsia="zh-CN"/>
        </w:rPr>
        <w:t>未来</w:t>
      </w:r>
      <w:r>
        <w:rPr>
          <w:rFonts w:hint="default" w:ascii="Times New Roman" w:hAnsi="Times New Roman" w:cs="Times New Roman"/>
          <w:color w:val="000000"/>
          <w:lang w:val="en-US" w:eastAsia="zh-CN"/>
        </w:rPr>
        <w:t>仍有较大</w:t>
      </w:r>
      <w:r>
        <w:rPr>
          <w:rFonts w:hint="eastAsia" w:ascii="Times New Roman" w:hAnsi="Times New Roman" w:cs="Times New Roman"/>
          <w:color w:val="000000"/>
          <w:lang w:val="en-US" w:eastAsia="zh-CN"/>
        </w:rPr>
        <w:t>消纳</w:t>
      </w:r>
      <w:r>
        <w:rPr>
          <w:rFonts w:hint="default" w:ascii="Times New Roman" w:hAnsi="Times New Roman" w:cs="Times New Roman"/>
          <w:color w:val="000000"/>
          <w:lang w:val="en-US" w:eastAsia="zh-CN"/>
        </w:rPr>
        <w:t>空间。应加快推动新能源集约高效开发，创新发展模式，着力打造武汉都市圈重要绿色电力供应基地，有力支撑区域绿色能源消费。</w:t>
      </w:r>
    </w:p>
    <w:p w14:paraId="57E0B217">
      <w:pPr>
        <w:ind w:firstLine="643"/>
        <w:rPr>
          <w:rFonts w:hint="default" w:ascii="Times New Roman" w:hAnsi="Times New Roman" w:cs="Times New Roman"/>
          <w:kern w:val="0"/>
          <w:szCs w:val="32"/>
        </w:rPr>
      </w:pPr>
      <w:r>
        <w:rPr>
          <w:rFonts w:hint="default" w:ascii="Times New Roman" w:hAnsi="Times New Roman" w:cs="Times New Roman"/>
          <w:b/>
          <w:bCs/>
          <w:color w:val="000000" w:themeColor="text1"/>
          <w:szCs w:val="32"/>
          <w14:textFill>
            <w14:solidFill>
              <w14:schemeClr w14:val="tx1"/>
            </w14:solidFill>
          </w14:textFill>
        </w:rPr>
        <w:t>三是发挥产业协同优势，助力能源</w:t>
      </w:r>
      <w:r>
        <w:rPr>
          <w:rFonts w:hint="default" w:ascii="Times New Roman" w:hAnsi="Times New Roman" w:cs="Times New Roman"/>
          <w:b/>
          <w:bCs/>
          <w:color w:val="000000" w:themeColor="text1"/>
          <w:szCs w:val="32"/>
          <w:lang w:val="en-US" w:eastAsia="zh-CN"/>
          <w14:textFill>
            <w14:solidFill>
              <w14:schemeClr w14:val="tx1"/>
            </w14:solidFill>
          </w14:textFill>
        </w:rPr>
        <w:t>新质生产力</w:t>
      </w:r>
      <w:r>
        <w:rPr>
          <w:rFonts w:hint="default" w:ascii="Times New Roman" w:hAnsi="Times New Roman" w:cs="Times New Roman"/>
          <w:b/>
          <w:bCs/>
          <w:color w:val="000000" w:themeColor="text1"/>
          <w:szCs w:val="32"/>
          <w14:textFill>
            <w14:solidFill>
              <w14:schemeClr w14:val="tx1"/>
            </w14:solidFill>
          </w14:textFill>
        </w:rPr>
        <w:t>发展。</w:t>
      </w:r>
      <w:r>
        <w:rPr>
          <w:rFonts w:hint="default" w:ascii="Times New Roman" w:hAnsi="Times New Roman" w:cs="Times New Roman"/>
          <w:kern w:val="0"/>
          <w:szCs w:val="32"/>
        </w:rPr>
        <w:t>咸宁市聚焦“新能源+储能”“新能源+</w:t>
      </w:r>
      <w:r>
        <w:rPr>
          <w:rFonts w:hint="default" w:ascii="Times New Roman" w:hAnsi="Times New Roman" w:cs="Times New Roman"/>
          <w:kern w:val="0"/>
          <w:szCs w:val="32"/>
          <w:lang w:val="en-US" w:eastAsia="zh-CN"/>
        </w:rPr>
        <w:t>产业</w:t>
      </w:r>
      <w:r>
        <w:rPr>
          <w:rFonts w:hint="default" w:ascii="Times New Roman" w:hAnsi="Times New Roman" w:cs="Times New Roman"/>
          <w:kern w:val="0"/>
          <w:szCs w:val="32"/>
        </w:rPr>
        <w:t>”等模式创新，</w:t>
      </w:r>
      <w:r>
        <w:rPr>
          <w:rFonts w:hint="default" w:ascii="Times New Roman" w:hAnsi="Times New Roman" w:cs="Times New Roman"/>
          <w:kern w:val="0"/>
          <w:szCs w:val="32"/>
          <w:lang w:val="en-US" w:eastAsia="zh-CN"/>
        </w:rPr>
        <w:t>光伏组件制造、风电塔筒生产、生物质燃料加工等产业环节持续完善</w:t>
      </w:r>
      <w:r>
        <w:rPr>
          <w:rFonts w:hint="default" w:ascii="Times New Roman" w:hAnsi="Times New Roman" w:cs="Times New Roman"/>
          <w:kern w:val="0"/>
          <w:szCs w:val="32"/>
        </w:rPr>
        <w:t>，初步形成“上游开发—中游储运—下游消纳”</w:t>
      </w:r>
      <w:r>
        <w:rPr>
          <w:rFonts w:hint="eastAsia" w:ascii="Times New Roman" w:hAnsi="Times New Roman" w:cs="Times New Roman"/>
          <w:kern w:val="0"/>
          <w:szCs w:val="32"/>
          <w:lang w:eastAsia="zh-CN"/>
        </w:rPr>
        <w:t>的</w:t>
      </w:r>
      <w:r>
        <w:rPr>
          <w:rFonts w:hint="eastAsia" w:ascii="Times New Roman" w:hAnsi="Times New Roman" w:cs="Times New Roman"/>
          <w:kern w:val="0"/>
          <w:szCs w:val="32"/>
          <w:lang w:val="en-US" w:eastAsia="zh-CN"/>
        </w:rPr>
        <w:t>产业</w:t>
      </w:r>
      <w:r>
        <w:rPr>
          <w:rFonts w:hint="default" w:ascii="Times New Roman" w:hAnsi="Times New Roman" w:cs="Times New Roman"/>
          <w:kern w:val="0"/>
          <w:szCs w:val="32"/>
        </w:rPr>
        <w:t>闭环，绿色能源产业体系雏形初显。要持续放大产业协同效应，加速科技成果转化应用，推动新能源产业扩群强链、提档升级，加快打造具有咸宁特色的新能源产业体系。</w:t>
      </w:r>
    </w:p>
    <w:p w14:paraId="233B6176">
      <w:pPr>
        <w:ind w:firstLine="640"/>
        <w:rPr>
          <w:rFonts w:hint="default" w:ascii="Times New Roman" w:hAnsi="Times New Roman" w:cs="Times New Roman"/>
          <w:b/>
          <w:bCs/>
        </w:rPr>
      </w:pPr>
      <w:r>
        <w:rPr>
          <w:rFonts w:hint="default" w:ascii="Times New Roman" w:hAnsi="Times New Roman" w:cs="Times New Roman"/>
        </w:rPr>
        <w:t>在充分认识发展优势的同时，也必须清醒看到，推进能源高质量发展仍面临四个方面的突出挑战：</w:t>
      </w:r>
    </w:p>
    <w:p w14:paraId="122D5BB4">
      <w:pPr>
        <w:ind w:firstLine="643"/>
        <w:rPr>
          <w:rFonts w:hint="default" w:ascii="Times New Roman" w:hAnsi="Times New Roman" w:cs="Times New Roman"/>
        </w:rPr>
      </w:pPr>
      <w:r>
        <w:rPr>
          <w:rFonts w:hint="default" w:ascii="Times New Roman" w:hAnsi="Times New Roman" w:cs="Times New Roman"/>
          <w:b/>
          <w:bCs/>
        </w:rPr>
        <w:t>一是能源清洁转型仍面临较大压力。</w:t>
      </w:r>
      <w:r>
        <w:rPr>
          <w:rFonts w:hint="default" w:ascii="Times New Roman" w:hAnsi="Times New Roman" w:cs="Times New Roman"/>
        </w:rPr>
        <w:t>传统煤炭消费仍然是咸宁能源消费的主要种类，煤炭消费占比超</w:t>
      </w:r>
      <w:r>
        <w:rPr>
          <w:rFonts w:hint="default" w:ascii="Times New Roman" w:hAnsi="Times New Roman" w:cs="Times New Roman"/>
          <w:lang w:eastAsia="zh-CN"/>
        </w:rPr>
        <w:t>六成</w:t>
      </w:r>
      <w:r>
        <w:rPr>
          <w:rFonts w:hint="default" w:ascii="Times New Roman" w:hAnsi="Times New Roman" w:cs="Times New Roman"/>
          <w:lang w:val="en-US" w:eastAsia="zh-CN"/>
        </w:rPr>
        <w:t>，</w:t>
      </w:r>
      <w:r>
        <w:rPr>
          <w:rFonts w:hint="default" w:ascii="Times New Roman" w:hAnsi="Times New Roman" w:cs="Times New Roman"/>
        </w:rPr>
        <w:t>清洁能源替代仍需进一步提速。“十五五”期间，预计咸宁能源消费保持刚性增长，年均增速</w:t>
      </w:r>
      <w:r>
        <w:rPr>
          <w:rFonts w:hint="eastAsia" w:ascii="Times New Roman" w:hAnsi="Times New Roman" w:cs="Times New Roman"/>
          <w:lang w:eastAsia="zh-CN"/>
        </w:rPr>
        <w:t>约</w:t>
      </w: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，煤炭消费总量削减替代空间仍然</w:t>
      </w:r>
      <w:r>
        <w:rPr>
          <w:rFonts w:hint="eastAsia" w:ascii="Times New Roman" w:hAnsi="Times New Roman" w:cs="Times New Roman"/>
          <w:lang w:val="en-US" w:eastAsia="zh-CN"/>
        </w:rPr>
        <w:t>较大</w:t>
      </w:r>
      <w:r>
        <w:rPr>
          <w:rFonts w:hint="default" w:ascii="Times New Roman" w:hAnsi="Times New Roman" w:cs="Times New Roman"/>
        </w:rPr>
        <w:t>，2030年前完成碳达峰目标任务艰巨</w:t>
      </w:r>
      <w:r>
        <w:rPr>
          <w:rFonts w:hint="eastAsia" w:ascii="Times New Roman" w:hAnsi="Times New Roman" w:cs="Times New Roman"/>
          <w:lang w:eastAsia="zh-CN"/>
        </w:rPr>
        <w:t>。</w:t>
      </w:r>
      <w:r>
        <w:rPr>
          <w:rFonts w:hint="default" w:ascii="Times New Roman" w:hAnsi="Times New Roman" w:cs="Times New Roman"/>
          <w:lang w:eastAsia="zh-CN"/>
        </w:rPr>
        <w:t>亟须</w:t>
      </w:r>
      <w:r>
        <w:rPr>
          <w:rFonts w:hint="default" w:ascii="Times New Roman" w:hAnsi="Times New Roman" w:cs="Times New Roman"/>
        </w:rPr>
        <w:t>进一步提高化石能源利用效率，大力推动清洁能源的开发和利用，减少能源领域碳排放。</w:t>
      </w:r>
    </w:p>
    <w:p w14:paraId="63275FA2">
      <w:pPr>
        <w:ind w:firstLine="643"/>
        <w:rPr>
          <w:rFonts w:hint="default" w:ascii="Times New Roman" w:hAnsi="Times New Roman" w:cs="Times New Roman"/>
          <w:color w:val="000000"/>
        </w:rPr>
      </w:pPr>
      <w:r>
        <w:rPr>
          <w:rFonts w:hint="default" w:ascii="Times New Roman" w:hAnsi="Times New Roman" w:cs="Times New Roman"/>
          <w:b/>
          <w:bCs/>
          <w:lang w:val="en-US" w:eastAsia="zh-CN"/>
        </w:rPr>
        <w:t>二</w:t>
      </w:r>
      <w:r>
        <w:rPr>
          <w:rFonts w:hint="default" w:ascii="Times New Roman" w:hAnsi="Times New Roman" w:cs="Times New Roman"/>
          <w:b/>
          <w:bCs/>
        </w:rPr>
        <w:t>是</w:t>
      </w:r>
      <w:r>
        <w:rPr>
          <w:rFonts w:hint="default" w:ascii="Times New Roman" w:hAnsi="Times New Roman" w:cs="Times New Roman"/>
          <w:b/>
          <w:bCs/>
          <w:lang w:val="en-US" w:eastAsia="zh-CN"/>
        </w:rPr>
        <w:t>能源基础设施建设相对滞后。电网系统面临保供与消纳双重压力。</w:t>
      </w:r>
      <w:r>
        <w:rPr>
          <w:rFonts w:hint="default" w:ascii="Times New Roman" w:hAnsi="Times New Roman" w:cs="Times New Roman"/>
          <w:b w:val="0"/>
          <w:bCs w:val="0"/>
          <w:lang w:val="en-US" w:eastAsia="zh-CN"/>
        </w:rPr>
        <w:t>2025年最大网供负荷228万千瓦，最大供电能力为205万千瓦，电力供需长期处于“紧平衡”状态</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南三县新能源送出存在卡口，局部电网已出现供电紧张与新能源外送受限并存的问题。抽水蓄能、新型储能等灵活性调节资源建设相对滞后，难以匹配新能源装机快速增长的调峰需求，新能源消纳矛盾日益凸显。</w:t>
      </w:r>
      <w:r>
        <w:rPr>
          <w:rFonts w:hint="default" w:ascii="Times New Roman" w:hAnsi="Times New Roman" w:cs="Times New Roman"/>
          <w:b/>
          <w:bCs/>
          <w:lang w:val="en-US" w:eastAsia="zh-CN"/>
        </w:rPr>
        <w:t>燃气供应体系存在区域不均衡问题。</w:t>
      </w:r>
      <w:r>
        <w:rPr>
          <w:rFonts w:hint="default" w:ascii="Times New Roman" w:hAnsi="Times New Roman" w:cs="Times New Roman"/>
          <w:b w:val="0"/>
          <w:bCs w:val="0"/>
          <w:lang w:val="en-US" w:eastAsia="zh-CN"/>
        </w:rPr>
        <w:t>全市管道燃气普及率总体偏低，且南北差异显著，南三县普及率仅约50%，远低于北部85%以上的水平</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长输管道未完全贯通，气源保障能力和管网集约化水平有待进一步提升</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部分地区瓶装液化气市场“小、散、乱”问题依然存在。</w:t>
      </w:r>
    </w:p>
    <w:p w14:paraId="1734B1A8">
      <w:pPr>
        <w:ind w:firstLine="643"/>
        <w:rPr>
          <w:rFonts w:hint="default" w:ascii="Times New Roman" w:hAnsi="Times New Roman" w:cs="Times New Roman"/>
          <w:kern w:val="0"/>
          <w:szCs w:val="32"/>
        </w:rPr>
      </w:pPr>
      <w:r>
        <w:rPr>
          <w:rFonts w:hint="default" w:ascii="Times New Roman" w:hAnsi="Times New Roman" w:cs="Times New Roman"/>
          <w:b/>
          <w:bCs/>
          <w:kern w:val="0"/>
          <w:szCs w:val="32"/>
          <w:lang w:val="en-US" w:eastAsia="zh-CN"/>
        </w:rPr>
        <w:t>三</w:t>
      </w:r>
      <w:r>
        <w:rPr>
          <w:rFonts w:hint="default" w:ascii="Times New Roman" w:hAnsi="Times New Roman" w:cs="Times New Roman"/>
          <w:b/>
          <w:bCs/>
          <w:kern w:val="0"/>
          <w:szCs w:val="32"/>
        </w:rPr>
        <w:t>是绿色能源产业缺乏核心竞争力。</w:t>
      </w:r>
      <w:r>
        <w:rPr>
          <w:rFonts w:hint="default" w:ascii="Times New Roman" w:hAnsi="Times New Roman" w:cs="Times New Roman"/>
          <w:kern w:val="0"/>
          <w:szCs w:val="32"/>
          <w:lang w:val="en-US" w:eastAsia="zh-CN"/>
        </w:rPr>
        <w:t>全市</w:t>
      </w:r>
      <w:r>
        <w:rPr>
          <w:rFonts w:hint="default" w:ascii="Times New Roman" w:hAnsi="Times New Roman" w:cs="Times New Roman"/>
          <w:kern w:val="0"/>
          <w:szCs w:val="32"/>
        </w:rPr>
        <w:t>绿色能源产业呈现“小</w:t>
      </w:r>
      <w:r>
        <w:rPr>
          <w:rFonts w:hint="eastAsia" w:ascii="Times New Roman" w:hAnsi="Times New Roman" w:cs="Times New Roman"/>
          <w:kern w:val="0"/>
          <w:szCs w:val="32"/>
          <w:lang w:eastAsia="zh-CN"/>
        </w:rPr>
        <w:t>、</w:t>
      </w:r>
      <w:r>
        <w:rPr>
          <w:rFonts w:hint="default" w:ascii="Times New Roman" w:hAnsi="Times New Roman" w:cs="Times New Roman"/>
          <w:kern w:val="0"/>
          <w:szCs w:val="32"/>
        </w:rPr>
        <w:t>散</w:t>
      </w:r>
      <w:r>
        <w:rPr>
          <w:rFonts w:hint="eastAsia" w:ascii="Times New Roman" w:hAnsi="Times New Roman" w:cs="Times New Roman"/>
          <w:kern w:val="0"/>
          <w:szCs w:val="32"/>
          <w:lang w:eastAsia="zh-CN"/>
        </w:rPr>
        <w:t>、</w:t>
      </w:r>
      <w:r>
        <w:rPr>
          <w:rFonts w:hint="default" w:ascii="Times New Roman" w:hAnsi="Times New Roman" w:cs="Times New Roman"/>
          <w:kern w:val="0"/>
          <w:szCs w:val="32"/>
        </w:rPr>
        <w:t>弱”的市场格局，</w:t>
      </w:r>
      <w:r>
        <w:rPr>
          <w:rFonts w:hint="default" w:ascii="Times New Roman" w:hAnsi="Times New Roman" w:cs="Times New Roman"/>
          <w:kern w:val="0"/>
          <w:szCs w:val="32"/>
          <w:lang w:val="en-US" w:eastAsia="zh-CN"/>
        </w:rPr>
        <w:t>在发电领域，</w:t>
      </w:r>
      <w:r>
        <w:rPr>
          <w:rFonts w:hint="default" w:ascii="Times New Roman" w:hAnsi="Times New Roman" w:cs="Times New Roman"/>
          <w:kern w:val="0"/>
          <w:szCs w:val="32"/>
        </w:rPr>
        <w:t>全市单体项目平均规模约5万千瓦，不到全省平均水平的三分之二。在</w:t>
      </w:r>
      <w:r>
        <w:rPr>
          <w:rFonts w:hint="default" w:ascii="Times New Roman" w:hAnsi="Times New Roman" w:cs="Times New Roman"/>
          <w:kern w:val="0"/>
          <w:szCs w:val="32"/>
          <w:lang w:val="en-US" w:eastAsia="zh-CN"/>
        </w:rPr>
        <w:t>装备制造</w:t>
      </w:r>
      <w:r>
        <w:rPr>
          <w:rFonts w:hint="default" w:ascii="Times New Roman" w:hAnsi="Times New Roman" w:cs="Times New Roman"/>
          <w:kern w:val="0"/>
          <w:szCs w:val="32"/>
        </w:rPr>
        <w:t>领域，市县两级均未形成以新能源为核心的产业发展平台，年产值过10亿元的龙头企业稀缺，75%的企业游离于产业联盟之外，合作网络呈两极分化态势，半数企业处于弱合作状态</w:t>
      </w:r>
      <w:r>
        <w:rPr>
          <w:rFonts w:hint="default" w:ascii="Times New Roman" w:hAnsi="Times New Roman" w:cs="Times New Roman"/>
        </w:rPr>
        <w:t>，</w:t>
      </w:r>
      <w:r>
        <w:rPr>
          <w:rFonts w:hint="default" w:ascii="Times New Roman" w:hAnsi="Times New Roman" w:cs="Times New Roman"/>
          <w:kern w:val="0"/>
          <w:szCs w:val="32"/>
        </w:rPr>
        <w:t>技术协同与资源整合能力薄弱，难以通过集群化发展形成竞争合力。</w:t>
      </w:r>
    </w:p>
    <w:p w14:paraId="628E5A55">
      <w:pPr>
        <w:ind w:firstLine="643"/>
        <w:rPr>
          <w:rFonts w:hint="default" w:ascii="Times New Roman" w:hAnsi="Times New Roman" w:cs="Times New Roman"/>
          <w:kern w:val="0"/>
          <w:szCs w:val="32"/>
        </w:rPr>
      </w:pPr>
      <w:r>
        <w:rPr>
          <w:rFonts w:hint="default" w:ascii="Times New Roman" w:hAnsi="Times New Roman" w:cs="Times New Roman"/>
          <w:b/>
          <w:bCs/>
          <w:kern w:val="0"/>
          <w:szCs w:val="32"/>
          <w:lang w:val="en-US" w:eastAsia="zh-CN"/>
        </w:rPr>
        <w:t>四</w:t>
      </w:r>
      <w:r>
        <w:rPr>
          <w:rFonts w:hint="default" w:ascii="Times New Roman" w:hAnsi="Times New Roman" w:cs="Times New Roman"/>
          <w:b/>
          <w:bCs/>
          <w:kern w:val="0"/>
          <w:szCs w:val="32"/>
        </w:rPr>
        <w:t>是新能源开发生态制约愈发明显。</w:t>
      </w:r>
      <w:r>
        <w:rPr>
          <w:rFonts w:hint="default" w:ascii="Times New Roman" w:hAnsi="Times New Roman" w:cs="Times New Roman"/>
        </w:rPr>
        <w:t>咸宁属于幕阜山脉水源与生物多样性保护重要区，是华中地区重要的生态功能屏障与绿色资源宝库，承担着重要水源涵养与生物多样性保护功能</w:t>
      </w:r>
      <w:r>
        <w:rPr>
          <w:rFonts w:hint="eastAsia" w:ascii="Times New Roman" w:hAnsi="Times New Roman" w:cs="Times New Roman"/>
          <w:lang w:eastAsia="zh-CN"/>
        </w:rPr>
        <w:t>，</w:t>
      </w:r>
      <w:r>
        <w:rPr>
          <w:rFonts w:hint="default" w:ascii="Times New Roman" w:hAnsi="Times New Roman" w:cs="Times New Roman"/>
        </w:rPr>
        <w:t>生态环境地位十分重要。“</w:t>
      </w:r>
      <w:r>
        <w:rPr>
          <w:rFonts w:hint="default" w:ascii="Times New Roman" w:hAnsi="Times New Roman" w:cs="Times New Roman"/>
          <w:kern w:val="0"/>
          <w:szCs w:val="32"/>
        </w:rPr>
        <w:t>三区三线”调整后，可用土地资源约束趋紧，集中连片、开发条件优越的土地资源日益稀缺，光伏、风电等项目大规模连片开发难度加大。此外，内陆核电短期内启动</w:t>
      </w:r>
      <w:r>
        <w:rPr>
          <w:rFonts w:hint="default" w:ascii="Times New Roman" w:hAnsi="Times New Roman" w:cs="Times New Roman"/>
          <w:kern w:val="0"/>
          <w:szCs w:val="32"/>
          <w:lang w:val="en-US" w:eastAsia="zh-CN"/>
        </w:rPr>
        <w:t>存在较大阻力</w:t>
      </w:r>
      <w:r>
        <w:rPr>
          <w:rFonts w:hint="default" w:ascii="Times New Roman" w:hAnsi="Times New Roman" w:cs="Times New Roman"/>
          <w:kern w:val="0"/>
          <w:szCs w:val="32"/>
        </w:rPr>
        <w:t>，项目开发还面临</w:t>
      </w:r>
      <w:r>
        <w:rPr>
          <w:rFonts w:hint="default" w:ascii="Times New Roman" w:hAnsi="Times New Roman" w:cs="Times New Roman"/>
          <w:kern w:val="0"/>
          <w:szCs w:val="32"/>
          <w:lang w:val="en-US" w:eastAsia="zh-CN"/>
        </w:rPr>
        <w:t>一系列</w:t>
      </w:r>
      <w:r>
        <w:rPr>
          <w:rFonts w:hint="default" w:ascii="Times New Roman" w:hAnsi="Times New Roman" w:cs="Times New Roman"/>
          <w:kern w:val="0"/>
          <w:szCs w:val="32"/>
        </w:rPr>
        <w:t>社会层面压力</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要素制约与环境制约相互交织，对项目科学布局和精细化管理提出了更高要求。</w:t>
      </w:r>
    </w:p>
    <w:p w14:paraId="1529FF4E">
      <w:pPr>
        <w:pStyle w:val="3"/>
        <w:ind w:firstLine="643" w:firstLineChars="200"/>
        <w:rPr>
          <w:rFonts w:hint="default" w:ascii="Times New Roman" w:hAnsi="Times New Roman" w:cs="Times New Roman"/>
          <w:b/>
          <w:bCs w:val="0"/>
        </w:rPr>
      </w:pPr>
      <w:bookmarkStart w:id="3" w:name="_Toc3356"/>
      <w:r>
        <w:rPr>
          <w:rFonts w:hint="eastAsia" w:ascii="Times New Roman" w:hAnsi="Times New Roman" w:cs="Times New Roman"/>
          <w:b/>
          <w:bCs w:val="0"/>
          <w:lang w:val="en-US" w:eastAsia="zh-CN"/>
        </w:rPr>
        <w:t>目标要求</w:t>
      </w:r>
      <w:bookmarkEnd w:id="3"/>
    </w:p>
    <w:p w14:paraId="10618914">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rPr>
      </w:pPr>
      <w:bookmarkStart w:id="4" w:name="_Toc30435"/>
      <w:r>
        <w:rPr>
          <w:rFonts w:hint="eastAsia"/>
          <w:b/>
          <w:bCs w:val="0"/>
          <w:lang w:val="en-US" w:eastAsia="zh-CN"/>
        </w:rPr>
        <w:t>指导思想</w:t>
      </w:r>
      <w:bookmarkEnd w:id="4"/>
    </w:p>
    <w:p w14:paraId="7341BEC5">
      <w:pPr>
        <w:ind w:firstLine="640"/>
        <w:rPr>
          <w:rFonts w:hint="default" w:ascii="Times New Roman" w:hAnsi="Times New Roman" w:cs="Times New Roman"/>
        </w:rPr>
      </w:pPr>
      <w:r>
        <w:rPr>
          <w:rFonts w:hint="default" w:ascii="Times New Roman" w:hAnsi="Times New Roman" w:cs="Times New Roman"/>
        </w:rPr>
        <w:t>坚持以习近平新时代中国特色社会主义思想为指导，深入贯彻党的二十大和二十届</w:t>
      </w:r>
      <w:r>
        <w:rPr>
          <w:rFonts w:hint="default" w:ascii="Times New Roman" w:hAnsi="Times New Roman" w:cs="Times New Roman"/>
          <w:lang w:val="en-US" w:eastAsia="zh-CN"/>
        </w:rPr>
        <w:t>历次</w:t>
      </w:r>
      <w:r>
        <w:rPr>
          <w:rFonts w:hint="default" w:ascii="Times New Roman" w:hAnsi="Times New Roman" w:cs="Times New Roman"/>
        </w:rPr>
        <w:t>全会精神，深入践行“四个革命、一个合作”能源安全新战略，锚定碳达峰碳中和目标，完整准确全面贯彻新发展理念</w:t>
      </w:r>
      <w:r>
        <w:rPr>
          <w:rFonts w:hint="eastAsia" w:ascii="Times New Roman" w:hAnsi="Times New Roman" w:cs="Times New Roman"/>
          <w:lang w:eastAsia="zh-CN"/>
        </w:rPr>
        <w:t>。</w:t>
      </w:r>
      <w:r>
        <w:rPr>
          <w:rFonts w:hint="eastAsia" w:ascii="Times New Roman" w:hAnsi="Times New Roman" w:cs="Times New Roman"/>
          <w:lang w:val="en-US" w:eastAsia="zh-CN"/>
        </w:rPr>
        <w:t>认真</w:t>
      </w:r>
      <w:r>
        <w:rPr>
          <w:rFonts w:hint="default" w:ascii="Times New Roman" w:hAnsi="Times New Roman" w:cs="Times New Roman"/>
        </w:rPr>
        <w:t>落实</w:t>
      </w:r>
      <w:r>
        <w:rPr>
          <w:rFonts w:hint="default" w:ascii="Times New Roman" w:hAnsi="Times New Roman" w:cs="Times New Roman"/>
          <w:lang w:eastAsia="zh-CN"/>
        </w:rPr>
        <w:t>省委、省政府</w:t>
      </w:r>
      <w:r>
        <w:rPr>
          <w:rFonts w:hint="default" w:ascii="Times New Roman" w:hAnsi="Times New Roman" w:cs="Times New Roman"/>
        </w:rPr>
        <w:t>支点建设战略部署，立足全市基本情况，以增强能源多元供给能力为基础，以加快能源结构调整为主攻方向，以优化能源发展布局为重要支撑，大力推进能源科技创新，全面提升能源治理效能，加快构建协调发展新格局。抢抓长江经济带发展和武汉城市圈同城化发展历史机遇，为湖北加快建成中部地区崛起重要战略支点贡献咸宁力量。</w:t>
      </w:r>
    </w:p>
    <w:p w14:paraId="5A8F930A">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5" w:name="_Toc18216"/>
      <w:r>
        <w:rPr>
          <w:rFonts w:hint="default"/>
          <w:b/>
          <w:bCs w:val="0"/>
          <w:lang w:val="en-US" w:eastAsia="zh-CN"/>
        </w:rPr>
        <w:t>基本原则</w:t>
      </w:r>
      <w:bookmarkEnd w:id="5"/>
    </w:p>
    <w:p w14:paraId="371467F8">
      <w:pPr>
        <w:ind w:firstLine="643"/>
        <w:rPr>
          <w:rFonts w:hint="default" w:ascii="Times New Roman" w:hAnsi="Times New Roman" w:cs="Times New Roman"/>
          <w:b/>
          <w:bCs/>
        </w:rPr>
      </w:pPr>
      <w:r>
        <w:rPr>
          <w:rFonts w:hint="default" w:ascii="Times New Roman" w:hAnsi="Times New Roman" w:cs="Times New Roman"/>
          <w:b/>
          <w:bCs/>
        </w:rPr>
        <w:t>坚持多元保障，安全发展。</w:t>
      </w:r>
      <w:r>
        <w:rPr>
          <w:rFonts w:hint="default" w:ascii="Times New Roman" w:hAnsi="Times New Roman" w:cs="Times New Roman"/>
        </w:rPr>
        <w:t>立足全市能源资源禀赋，推动传统能源和新能源多能互补、深度融合，加强能源基础设施网络及调节设施建设</w:t>
      </w:r>
      <w:r>
        <w:rPr>
          <w:rFonts w:hint="default" w:ascii="Times New Roman" w:hAnsi="Times New Roman" w:cs="Times New Roman"/>
          <w:lang w:eastAsia="zh-CN"/>
        </w:rPr>
        <w:t>，</w:t>
      </w:r>
      <w:r>
        <w:rPr>
          <w:rFonts w:hint="default" w:ascii="Times New Roman" w:hAnsi="Times New Roman" w:cs="Times New Roman"/>
        </w:rPr>
        <w:t>完善能源储备与应急保障设施，增强能源供给体系韧性，常态情况下保持供应充足、极端情况下守牢安全底线。</w:t>
      </w:r>
    </w:p>
    <w:p w14:paraId="4130B910">
      <w:pPr>
        <w:widowControl/>
        <w:shd w:val="clear" w:color="auto" w:fill="FFFFFF"/>
        <w:ind w:firstLine="643"/>
        <w:rPr>
          <w:rFonts w:hint="default" w:ascii="Times New Roman" w:hAnsi="Times New Roman" w:cs="Times New Roman"/>
          <w:color w:val="000000"/>
          <w:szCs w:val="32"/>
        </w:rPr>
      </w:pPr>
      <w:r>
        <w:rPr>
          <w:rFonts w:hint="default" w:ascii="Times New Roman" w:hAnsi="Times New Roman" w:cs="Times New Roman"/>
          <w:b/>
          <w:bCs/>
          <w:color w:val="000000"/>
          <w:szCs w:val="32"/>
        </w:rPr>
        <w:t>坚持生态优先，有序发展。</w:t>
      </w:r>
      <w:r>
        <w:rPr>
          <w:rFonts w:hint="default" w:ascii="Times New Roman" w:hAnsi="Times New Roman" w:cs="Times New Roman"/>
          <w:color w:val="000000"/>
          <w:szCs w:val="32"/>
        </w:rPr>
        <w:t>持续深入践行“两山”理念，严守生态保护红线与环境敏感区，努力打造武汉都市圈自然生态公园城市。建立“风光开发</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生态修复”协同机制，实现能源转型与环境保护双赢。</w:t>
      </w:r>
    </w:p>
    <w:p w14:paraId="001D1AD8">
      <w:pPr>
        <w:widowControl/>
        <w:shd w:val="clear" w:color="auto" w:fill="FFFFFF"/>
        <w:ind w:firstLine="643"/>
        <w:rPr>
          <w:rFonts w:hint="default" w:ascii="Times New Roman" w:hAnsi="Times New Roman" w:cs="Times New Roman"/>
          <w:color w:val="000000"/>
          <w:szCs w:val="32"/>
        </w:rPr>
      </w:pPr>
      <w:r>
        <w:rPr>
          <w:rFonts w:hint="default" w:ascii="Times New Roman" w:hAnsi="Times New Roman" w:cs="Times New Roman"/>
          <w:b/>
          <w:bCs/>
          <w:color w:val="000000"/>
          <w:szCs w:val="32"/>
        </w:rPr>
        <w:t>坚持绿色转型，低碳发展。</w:t>
      </w:r>
      <w:r>
        <w:rPr>
          <w:rFonts w:hint="default" w:ascii="Times New Roman" w:hAnsi="Times New Roman" w:cs="Times New Roman"/>
          <w:color w:val="000000"/>
          <w:szCs w:val="32"/>
        </w:rPr>
        <w:t>推进能源生产和消费协同绿色低碳转型，大力发展清洁能源，提升可再生能源装机比例。严格控制煤炭、石油消费总量，提高煤炭清洁化利用水平。在工业、交通、建筑等领域推进</w:t>
      </w:r>
      <w:r>
        <w:rPr>
          <w:rFonts w:hint="default" w:ascii="Times New Roman" w:hAnsi="Times New Roman" w:cs="Times New Roman"/>
          <w:color w:val="000000"/>
          <w:szCs w:val="32"/>
          <w:lang w:val="en-US" w:eastAsia="zh-CN"/>
        </w:rPr>
        <w:t>清洁能源</w:t>
      </w:r>
      <w:r>
        <w:rPr>
          <w:rFonts w:hint="default" w:ascii="Times New Roman" w:hAnsi="Times New Roman" w:cs="Times New Roman"/>
          <w:color w:val="000000"/>
          <w:szCs w:val="32"/>
        </w:rPr>
        <w:t>替代。</w:t>
      </w:r>
    </w:p>
    <w:p w14:paraId="10356B59">
      <w:pPr>
        <w:ind w:firstLine="643"/>
        <w:rPr>
          <w:rFonts w:hint="default" w:ascii="Times New Roman" w:hAnsi="Times New Roman" w:cs="Times New Roman"/>
          <w:color w:val="000000"/>
          <w:szCs w:val="32"/>
        </w:rPr>
      </w:pPr>
      <w:r>
        <w:rPr>
          <w:rFonts w:hint="default" w:ascii="Times New Roman" w:hAnsi="Times New Roman" w:cs="Times New Roman"/>
          <w:b/>
          <w:bCs/>
        </w:rPr>
        <w:t>坚持科技引领，创新发展。</w:t>
      </w:r>
      <w:r>
        <w:rPr>
          <w:rFonts w:hint="default" w:ascii="Times New Roman" w:hAnsi="Times New Roman" w:cs="Times New Roman"/>
        </w:rPr>
        <w:t>加快核心技术引进与推广应用，推动科技创新和产业创新深度融合，</w:t>
      </w:r>
      <w:r>
        <w:rPr>
          <w:rFonts w:hint="default" w:ascii="Times New Roman" w:hAnsi="Times New Roman" w:cs="Times New Roman"/>
          <w:color w:val="000000"/>
          <w:szCs w:val="32"/>
        </w:rPr>
        <w:t>聚焦新型储能、地热能开发等关键技术攻关，推动新能源产业链发展，培育能源领域新质生产力。</w:t>
      </w:r>
    </w:p>
    <w:p w14:paraId="6E7242E4">
      <w:pPr>
        <w:widowControl/>
        <w:shd w:val="clear" w:color="auto" w:fill="FFFFFF"/>
        <w:ind w:firstLine="643"/>
        <w:rPr>
          <w:rFonts w:hint="default" w:ascii="Times New Roman" w:hAnsi="Times New Roman" w:cs="Times New Roman"/>
          <w:color w:val="000000"/>
          <w:szCs w:val="32"/>
        </w:rPr>
      </w:pPr>
      <w:r>
        <w:rPr>
          <w:rFonts w:hint="default" w:ascii="Times New Roman" w:hAnsi="Times New Roman" w:cs="Times New Roman"/>
          <w:b/>
          <w:bCs/>
          <w:color w:val="000000"/>
          <w:szCs w:val="32"/>
        </w:rPr>
        <w:t>坚持区域合作，协同发展。</w:t>
      </w:r>
      <w:r>
        <w:rPr>
          <w:rFonts w:hint="default" w:ascii="Times New Roman" w:hAnsi="Times New Roman" w:cs="Times New Roman"/>
          <w:color w:val="000000"/>
          <w:szCs w:val="32"/>
        </w:rPr>
        <w:t>深度参与武汉</w:t>
      </w:r>
      <w:r>
        <w:rPr>
          <w:rFonts w:hint="default" w:ascii="Times New Roman" w:hAnsi="Times New Roman" w:cs="Times New Roman"/>
          <w:color w:val="000000"/>
          <w:szCs w:val="32"/>
          <w:lang w:val="en-US" w:eastAsia="zh-CN"/>
        </w:rPr>
        <w:t>能源</w:t>
      </w:r>
      <w:r>
        <w:rPr>
          <w:rFonts w:hint="default" w:ascii="Times New Roman" w:hAnsi="Times New Roman" w:cs="Times New Roman"/>
          <w:color w:val="000000"/>
          <w:szCs w:val="32"/>
        </w:rPr>
        <w:t>都市圈建设，强化跨区域基础设施互联互通。推动与</w:t>
      </w:r>
      <w:r>
        <w:rPr>
          <w:rFonts w:hint="default" w:ascii="Times New Roman" w:hAnsi="Times New Roman" w:cs="Times New Roman"/>
          <w:color w:val="000000"/>
          <w:szCs w:val="32"/>
          <w:lang w:val="en-US" w:eastAsia="zh-CN"/>
        </w:rPr>
        <w:t>周边</w:t>
      </w:r>
      <w:r>
        <w:rPr>
          <w:rFonts w:hint="default" w:ascii="Times New Roman" w:hAnsi="Times New Roman" w:cs="Times New Roman"/>
          <w:color w:val="000000"/>
          <w:szCs w:val="32"/>
        </w:rPr>
        <w:t>城市在产业分工、消纳协同、技术共享等领域深度协作，形成区域能源一体化发展格局。</w:t>
      </w:r>
    </w:p>
    <w:p w14:paraId="5C0EB0CD">
      <w:pPr>
        <w:ind w:firstLine="643"/>
        <w:rPr>
          <w:rFonts w:hint="default" w:ascii="Times New Roman" w:hAnsi="Times New Roman" w:cs="Times New Roman"/>
        </w:rPr>
      </w:pPr>
      <w:r>
        <w:rPr>
          <w:rFonts w:hint="default" w:ascii="Times New Roman" w:hAnsi="Times New Roman" w:cs="Times New Roman"/>
          <w:b/>
          <w:bCs/>
        </w:rPr>
        <w:t>坚持惠企富民，共享发展。</w:t>
      </w:r>
      <w:r>
        <w:rPr>
          <w:rFonts w:hint="default" w:ascii="Times New Roman" w:hAnsi="Times New Roman" w:cs="Times New Roman"/>
        </w:rPr>
        <w:t>着力降低企业用能成本，优化企业营商环境。始终以人民为中心，加强城乡能源基础设施建设，提升民生相关能源服务水平</w:t>
      </w:r>
      <w:r>
        <w:rPr>
          <w:rFonts w:hint="default" w:ascii="Times New Roman" w:hAnsi="Times New Roman" w:cs="Times New Roman"/>
          <w:lang w:eastAsia="zh-CN"/>
        </w:rPr>
        <w:t>。</w:t>
      </w:r>
      <w:r>
        <w:rPr>
          <w:rFonts w:hint="default" w:ascii="Times New Roman" w:hAnsi="Times New Roman" w:cs="Times New Roman"/>
        </w:rPr>
        <w:t>深化农村能源革命，</w:t>
      </w:r>
      <w:r>
        <w:rPr>
          <w:rFonts w:hint="default" w:ascii="Times New Roman" w:hAnsi="Times New Roman" w:cs="Times New Roman"/>
          <w:lang w:eastAsia="zh-CN"/>
        </w:rPr>
        <w:t>更好地服务</w:t>
      </w:r>
      <w:r>
        <w:rPr>
          <w:rFonts w:hint="default" w:ascii="Times New Roman" w:hAnsi="Times New Roman" w:cs="Times New Roman"/>
          <w:lang w:val="en-US" w:eastAsia="zh-CN"/>
        </w:rPr>
        <w:t>乡村振兴和农业农村现代化。</w:t>
      </w:r>
    </w:p>
    <w:p w14:paraId="6711EB0B">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6" w:name="_Toc14848"/>
      <w:r>
        <w:rPr>
          <w:rFonts w:hint="default"/>
          <w:b/>
          <w:bCs w:val="0"/>
          <w:lang w:val="en-US" w:eastAsia="zh-CN"/>
        </w:rPr>
        <w:t>发展目标</w:t>
      </w:r>
      <w:bookmarkEnd w:id="6"/>
    </w:p>
    <w:p w14:paraId="189E1B78">
      <w:pPr>
        <w:spacing w:line="600" w:lineRule="exact"/>
        <w:ind w:firstLine="640"/>
        <w:rPr>
          <w:rFonts w:hint="default" w:ascii="Times New Roman" w:hAnsi="Times New Roman" w:cs="Times New Roman"/>
          <w:color w:val="000000"/>
          <w:szCs w:val="32"/>
        </w:rPr>
      </w:pPr>
      <w:r>
        <w:rPr>
          <w:rFonts w:hint="default" w:ascii="Times New Roman" w:hAnsi="Times New Roman" w:cs="Times New Roman"/>
          <w:color w:val="000000"/>
          <w:szCs w:val="32"/>
        </w:rPr>
        <w:t>锚定2035年基本实现社会主义现代化的总体目标，</w:t>
      </w:r>
      <w:r>
        <w:rPr>
          <w:rFonts w:hint="default" w:ascii="Times New Roman" w:hAnsi="Times New Roman" w:cs="Times New Roman"/>
          <w:color w:val="000000"/>
          <w:szCs w:val="32"/>
          <w:lang w:val="en-US" w:eastAsia="zh-CN"/>
        </w:rPr>
        <w:t>聚焦</w:t>
      </w:r>
      <w:r>
        <w:rPr>
          <w:rFonts w:hint="default" w:ascii="Times New Roman" w:hAnsi="Times New Roman" w:cs="Times New Roman"/>
          <w:b/>
          <w:bCs/>
          <w:color w:val="000000"/>
          <w:szCs w:val="32"/>
          <w:lang w:val="en-US" w:eastAsia="zh-CN"/>
        </w:rPr>
        <w:t>“</w:t>
      </w:r>
      <w:r>
        <w:rPr>
          <w:rFonts w:hint="default" w:ascii="Times New Roman" w:hAnsi="Times New Roman" w:cs="Times New Roman"/>
          <w:b/>
          <w:bCs/>
          <w:color w:val="000000"/>
          <w:szCs w:val="32"/>
        </w:rPr>
        <w:t>扩风光、推核电</w:t>
      </w:r>
      <w:r>
        <w:rPr>
          <w:rFonts w:hint="default" w:ascii="Times New Roman" w:hAnsi="Times New Roman" w:cs="Times New Roman"/>
          <w:b/>
          <w:bCs/>
          <w:color w:val="000000"/>
          <w:szCs w:val="32"/>
          <w:lang w:eastAsia="zh-CN"/>
        </w:rPr>
        <w:t>、</w:t>
      </w:r>
      <w:r>
        <w:rPr>
          <w:rFonts w:hint="default" w:ascii="Times New Roman" w:hAnsi="Times New Roman" w:cs="Times New Roman"/>
          <w:b/>
          <w:bCs/>
          <w:color w:val="000000"/>
          <w:szCs w:val="32"/>
        </w:rPr>
        <w:t>强网架、增储能、引产业、优治理</w:t>
      </w:r>
      <w:r>
        <w:rPr>
          <w:rFonts w:hint="default" w:ascii="Times New Roman" w:hAnsi="Times New Roman" w:cs="Times New Roman"/>
          <w:b/>
          <w:bCs/>
          <w:color w:val="000000"/>
          <w:szCs w:val="32"/>
          <w:lang w:val="en-US" w:eastAsia="zh-CN"/>
        </w:rPr>
        <w:t>”</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力争2030年完成</w:t>
      </w:r>
      <w:r>
        <w:rPr>
          <w:rFonts w:hint="default" w:ascii="Times New Roman" w:hAnsi="Times New Roman" w:cs="Times New Roman"/>
          <w:b/>
          <w:bCs/>
          <w:color w:val="000000"/>
          <w:szCs w:val="32"/>
        </w:rPr>
        <w:t>“</w:t>
      </w:r>
      <w:r>
        <w:rPr>
          <w:rFonts w:hint="default" w:ascii="Times New Roman" w:hAnsi="Times New Roman" w:cs="Times New Roman"/>
          <w:b/>
          <w:bCs/>
          <w:color w:val="000000"/>
          <w:szCs w:val="32"/>
          <w:lang w:val="en-US" w:eastAsia="zh-CN"/>
        </w:rPr>
        <w:t>五</w:t>
      </w:r>
      <w:r>
        <w:rPr>
          <w:rFonts w:hint="default" w:ascii="Times New Roman" w:hAnsi="Times New Roman" w:cs="Times New Roman"/>
          <w:b/>
          <w:bCs/>
          <w:color w:val="000000"/>
          <w:szCs w:val="32"/>
        </w:rPr>
        <w:t>倍增、三突破”</w:t>
      </w:r>
      <w:r>
        <w:rPr>
          <w:rFonts w:hint="default" w:ascii="Times New Roman" w:hAnsi="Times New Roman" w:cs="Times New Roman"/>
          <w:color w:val="000000"/>
          <w:szCs w:val="32"/>
        </w:rPr>
        <w:t>，</w:t>
      </w:r>
      <w:r>
        <w:rPr>
          <w:rFonts w:hint="eastAsia" w:ascii="Times New Roman" w:hAnsi="Times New Roman" w:cs="Times New Roman"/>
          <w:color w:val="000000"/>
          <w:szCs w:val="32"/>
          <w:lang w:val="en-US" w:eastAsia="zh-CN"/>
        </w:rPr>
        <w:t>即</w:t>
      </w:r>
      <w:r>
        <w:rPr>
          <w:rFonts w:hint="default" w:ascii="Times New Roman" w:hAnsi="Times New Roman" w:cs="Times New Roman"/>
          <w:color w:val="000000"/>
          <w:szCs w:val="32"/>
          <w:lang w:val="en-US" w:eastAsia="zh-CN"/>
        </w:rPr>
        <w:t>能源综合生产能力、新能源装机规模、电网承载能力、</w:t>
      </w:r>
      <w:r>
        <w:rPr>
          <w:rFonts w:hint="eastAsia" w:ascii="Times New Roman" w:hAnsi="Times New Roman" w:cs="Times New Roman"/>
          <w:color w:val="000000"/>
          <w:szCs w:val="32"/>
          <w:lang w:val="en-US" w:eastAsia="zh-CN"/>
        </w:rPr>
        <w:t>电动汽车充电枪数量</w:t>
      </w:r>
      <w:r>
        <w:rPr>
          <w:rFonts w:hint="default" w:ascii="Times New Roman" w:hAnsi="Times New Roman" w:cs="Times New Roman"/>
          <w:color w:val="000000"/>
          <w:szCs w:val="32"/>
          <w:lang w:val="en-US" w:eastAsia="zh-CN"/>
        </w:rPr>
        <w:t>、绿色能源产业产值</w:t>
      </w:r>
      <w:r>
        <w:rPr>
          <w:rFonts w:hint="default" w:ascii="Times New Roman" w:hAnsi="Times New Roman" w:cs="Times New Roman"/>
          <w:b/>
          <w:bCs/>
          <w:color w:val="000000"/>
          <w:szCs w:val="32"/>
          <w:lang w:val="en-US" w:eastAsia="zh-CN"/>
        </w:rPr>
        <w:t>五个倍增</w:t>
      </w:r>
      <w:r>
        <w:rPr>
          <w:rFonts w:hint="default" w:ascii="Times New Roman" w:hAnsi="Times New Roman" w:cs="Times New Roman"/>
          <w:b w:val="0"/>
          <w:bCs w:val="0"/>
          <w:color w:val="000000"/>
          <w:szCs w:val="32"/>
          <w:lang w:val="en-US" w:eastAsia="zh-CN"/>
        </w:rPr>
        <w:t>和</w:t>
      </w:r>
      <w:r>
        <w:rPr>
          <w:rFonts w:hint="default" w:ascii="Times New Roman" w:hAnsi="Times New Roman" w:cs="Times New Roman"/>
          <w:color w:val="000000"/>
          <w:szCs w:val="32"/>
        </w:rPr>
        <w:t>惠企富民、</w:t>
      </w:r>
      <w:r>
        <w:rPr>
          <w:rFonts w:hint="default" w:ascii="Times New Roman" w:hAnsi="Times New Roman" w:cs="Times New Roman"/>
          <w:color w:val="000000"/>
          <w:szCs w:val="32"/>
          <w:lang w:val="en-US" w:eastAsia="zh-CN"/>
        </w:rPr>
        <w:t>模式</w:t>
      </w:r>
      <w:r>
        <w:rPr>
          <w:rFonts w:hint="default" w:ascii="Times New Roman" w:hAnsi="Times New Roman" w:cs="Times New Roman"/>
          <w:color w:val="000000"/>
          <w:szCs w:val="32"/>
        </w:rPr>
        <w:t>创新、区域协同</w:t>
      </w:r>
      <w:r>
        <w:rPr>
          <w:rFonts w:hint="default" w:ascii="Times New Roman" w:hAnsi="Times New Roman" w:cs="Times New Roman"/>
          <w:b/>
          <w:bCs/>
          <w:color w:val="000000"/>
          <w:szCs w:val="32"/>
          <w:lang w:val="en-US" w:eastAsia="zh-CN"/>
        </w:rPr>
        <w:t>三个</w:t>
      </w:r>
      <w:r>
        <w:rPr>
          <w:rFonts w:hint="default" w:ascii="Times New Roman" w:hAnsi="Times New Roman" w:cs="Times New Roman"/>
          <w:b/>
          <w:bCs/>
          <w:color w:val="000000"/>
          <w:szCs w:val="32"/>
        </w:rPr>
        <w:t>突破</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打造</w:t>
      </w:r>
      <w:r>
        <w:rPr>
          <w:rFonts w:hint="default" w:ascii="Times New Roman" w:hAnsi="Times New Roman" w:cs="Times New Roman"/>
          <w:b/>
          <w:bCs/>
          <w:color w:val="000000"/>
          <w:szCs w:val="32"/>
          <w:lang w:val="en-US" w:eastAsia="zh-CN"/>
        </w:rPr>
        <w:t>鄂东南电力供应基地、武汉都市圈能源科技创新承接平台、</w:t>
      </w:r>
      <w:r>
        <w:rPr>
          <w:rFonts w:hint="eastAsia" w:ascii="Times New Roman" w:hAnsi="Times New Roman" w:cs="Times New Roman"/>
          <w:b/>
          <w:bCs/>
          <w:color w:val="000000"/>
          <w:szCs w:val="32"/>
          <w:lang w:val="en-US" w:eastAsia="zh-CN"/>
        </w:rPr>
        <w:t>全省</w:t>
      </w:r>
      <w:r>
        <w:rPr>
          <w:rFonts w:hint="default" w:ascii="Times New Roman" w:hAnsi="Times New Roman" w:cs="Times New Roman"/>
          <w:b/>
          <w:bCs/>
          <w:color w:val="000000"/>
          <w:szCs w:val="32"/>
          <w:lang w:val="en-US" w:eastAsia="zh-CN"/>
        </w:rPr>
        <w:t>内陆核电创新</w:t>
      </w:r>
      <w:r>
        <w:rPr>
          <w:rFonts w:hint="default" w:ascii="Times New Roman" w:hAnsi="Times New Roman" w:cs="Times New Roman"/>
          <w:b/>
          <w:bCs/>
          <w:color w:val="000000"/>
          <w:szCs w:val="32"/>
          <w:highlight w:val="none"/>
          <w:lang w:val="en-US" w:eastAsia="zh-CN"/>
        </w:rPr>
        <w:t>中心</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形成</w:t>
      </w:r>
      <w:r>
        <w:rPr>
          <w:rFonts w:hint="default" w:ascii="Times New Roman" w:hAnsi="Times New Roman" w:cs="Times New Roman"/>
          <w:b/>
          <w:bCs/>
          <w:color w:val="000000"/>
          <w:szCs w:val="32"/>
        </w:rPr>
        <w:t>多元安全、绿色低碳、创新聚合、高效普惠</w:t>
      </w:r>
      <w:r>
        <w:rPr>
          <w:rFonts w:hint="default" w:ascii="Times New Roman" w:hAnsi="Times New Roman" w:cs="Times New Roman"/>
          <w:color w:val="000000"/>
          <w:szCs w:val="32"/>
        </w:rPr>
        <w:t>的现代能源体系。</w:t>
      </w:r>
    </w:p>
    <w:p w14:paraId="35F5A089">
      <w:pPr>
        <w:spacing w:line="600" w:lineRule="exact"/>
        <w:ind w:firstLine="643"/>
        <w:rPr>
          <w:rFonts w:hint="default" w:ascii="Times New Roman" w:hAnsi="Times New Roman" w:cs="Times New Roman"/>
          <w:color w:val="000000"/>
          <w:szCs w:val="32"/>
        </w:rPr>
      </w:pPr>
      <w:r>
        <w:rPr>
          <w:rFonts w:hint="default" w:ascii="Times New Roman" w:hAnsi="Times New Roman" w:cs="Times New Roman"/>
          <w:b/>
          <w:bCs/>
          <w:color w:val="000000"/>
          <w:szCs w:val="32"/>
          <w:lang w:eastAsia="zh-CN"/>
        </w:rPr>
        <w:t>——</w:t>
      </w:r>
      <w:r>
        <w:rPr>
          <w:rFonts w:hint="default" w:ascii="Times New Roman" w:hAnsi="Times New Roman" w:cs="Times New Roman"/>
          <w:b/>
          <w:bCs/>
          <w:color w:val="000000"/>
          <w:szCs w:val="32"/>
        </w:rPr>
        <w:t>多元安全。</w:t>
      </w:r>
      <w:r>
        <w:rPr>
          <w:rFonts w:hint="default" w:ascii="Times New Roman" w:hAnsi="Times New Roman" w:cs="Times New Roman"/>
          <w:b w:val="0"/>
          <w:bCs w:val="0"/>
          <w:color w:val="000000"/>
          <w:szCs w:val="32"/>
          <w:lang w:val="en-US" w:eastAsia="zh-CN"/>
        </w:rPr>
        <w:t>能源综合生产能力、电网承载能力</w:t>
      </w:r>
      <w:r>
        <w:rPr>
          <w:rFonts w:hint="default" w:ascii="Times New Roman" w:hAnsi="Times New Roman" w:cs="Times New Roman"/>
          <w:b/>
          <w:bCs/>
          <w:color w:val="000000"/>
          <w:szCs w:val="32"/>
          <w:lang w:val="en-US" w:eastAsia="zh-CN"/>
        </w:rPr>
        <w:t>倍增，</w:t>
      </w:r>
      <w:r>
        <w:rPr>
          <w:rFonts w:hint="default" w:ascii="Times New Roman" w:hAnsi="Times New Roman" w:cs="Times New Roman"/>
          <w:color w:val="000000"/>
          <w:szCs w:val="32"/>
        </w:rPr>
        <w:t>能源综合生产能力</w:t>
      </w:r>
      <w:r>
        <w:rPr>
          <w:rFonts w:hint="default" w:ascii="Times New Roman" w:hAnsi="Times New Roman" w:cs="Times New Roman"/>
          <w:color w:val="000000"/>
          <w:szCs w:val="32"/>
          <w:lang w:val="en-US" w:eastAsia="zh-CN"/>
        </w:rPr>
        <w:t>达到2</w:t>
      </w:r>
      <w:r>
        <w:rPr>
          <w:rFonts w:hint="eastAsia" w:ascii="Times New Roman" w:hAnsi="Times New Roman" w:cs="Times New Roman"/>
          <w:color w:val="000000"/>
          <w:szCs w:val="32"/>
          <w:lang w:val="en-US" w:eastAsia="zh-CN"/>
        </w:rPr>
        <w:t>54</w:t>
      </w:r>
      <w:r>
        <w:rPr>
          <w:rFonts w:hint="default" w:ascii="Times New Roman" w:hAnsi="Times New Roman" w:cs="Times New Roman"/>
          <w:color w:val="000000"/>
          <w:szCs w:val="32"/>
        </w:rPr>
        <w:t>万吨标准煤，发电总装机达到1200万千瓦，</w:t>
      </w:r>
      <w:r>
        <w:rPr>
          <w:rFonts w:hint="default" w:ascii="Times New Roman" w:hAnsi="Times New Roman" w:cs="Times New Roman"/>
          <w:color w:val="000000"/>
          <w:szCs w:val="32"/>
          <w:lang w:val="en-US" w:eastAsia="zh-CN"/>
        </w:rPr>
        <w:t>电网可承载新能源接入700万千瓦</w:t>
      </w:r>
      <w:r>
        <w:rPr>
          <w:rFonts w:hint="default" w:ascii="Times New Roman" w:hAnsi="Times New Roman" w:cs="Times New Roman"/>
          <w:color w:val="000000"/>
          <w:szCs w:val="32"/>
        </w:rPr>
        <w:t>，油气</w:t>
      </w:r>
      <w:r>
        <w:rPr>
          <w:rFonts w:hint="eastAsia" w:ascii="Times New Roman" w:hAnsi="Times New Roman" w:cs="Times New Roman"/>
          <w:color w:val="000000"/>
          <w:szCs w:val="32"/>
          <w:lang w:val="en-US" w:eastAsia="zh-CN"/>
        </w:rPr>
        <w:t>长输管线</w:t>
      </w:r>
      <w:r>
        <w:rPr>
          <w:rFonts w:hint="default" w:ascii="Times New Roman" w:hAnsi="Times New Roman" w:cs="Times New Roman"/>
          <w:color w:val="000000"/>
          <w:szCs w:val="32"/>
        </w:rPr>
        <w:t>总里程达到</w:t>
      </w:r>
      <w:r>
        <w:rPr>
          <w:rFonts w:hint="eastAsia" w:ascii="Times New Roman" w:hAnsi="Times New Roman" w:cs="Times New Roman"/>
          <w:color w:val="000000"/>
          <w:szCs w:val="32"/>
          <w:lang w:val="en-US" w:eastAsia="zh-CN"/>
        </w:rPr>
        <w:t>466</w:t>
      </w:r>
      <w:r>
        <w:rPr>
          <w:rFonts w:hint="default" w:ascii="Times New Roman" w:hAnsi="Times New Roman" w:cs="Times New Roman"/>
          <w:color w:val="000000"/>
          <w:szCs w:val="32"/>
        </w:rPr>
        <w:t>公里</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煤炭、天然气、石油储备能力达到国家要求</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建成抽水蓄能装机140万千瓦、新型储能装机</w:t>
      </w:r>
      <w:r>
        <w:rPr>
          <w:rFonts w:hint="eastAsia" w:ascii="Times New Roman" w:hAnsi="Times New Roman" w:cs="Times New Roman"/>
          <w:color w:val="000000"/>
          <w:szCs w:val="32"/>
          <w:lang w:val="en-US" w:eastAsia="zh-CN"/>
        </w:rPr>
        <w:t>50</w:t>
      </w:r>
      <w:r>
        <w:rPr>
          <w:rFonts w:hint="default" w:ascii="Times New Roman" w:hAnsi="Times New Roman" w:cs="Times New Roman"/>
          <w:color w:val="000000"/>
          <w:szCs w:val="32"/>
        </w:rPr>
        <w:t>万千瓦，需求侧响应能力达到最大用电负荷的</w:t>
      </w:r>
      <w:r>
        <w:rPr>
          <w:rFonts w:hint="default" w:ascii="Times New Roman" w:hAnsi="Times New Roman" w:cs="Times New Roman"/>
          <w:color w:val="000000"/>
          <w:szCs w:val="32"/>
          <w:lang w:val="en-US" w:eastAsia="zh-CN"/>
        </w:rPr>
        <w:t>8</w:t>
      </w:r>
      <w:r>
        <w:rPr>
          <w:rFonts w:hint="default" w:ascii="Times New Roman" w:hAnsi="Times New Roman" w:cs="Times New Roman"/>
          <w:color w:val="000000"/>
          <w:szCs w:val="32"/>
        </w:rPr>
        <w:t>%，能源供给韧性显著增强。</w:t>
      </w:r>
    </w:p>
    <w:p w14:paraId="01583022">
      <w:pPr>
        <w:ind w:firstLine="643"/>
        <w:rPr>
          <w:rFonts w:hint="default" w:ascii="Times New Roman" w:hAnsi="Times New Roman" w:cs="Times New Roman"/>
          <w:color w:val="000000"/>
        </w:rPr>
      </w:pPr>
      <w:r>
        <w:rPr>
          <w:rFonts w:hint="default" w:ascii="Times New Roman" w:hAnsi="Times New Roman" w:cs="Times New Roman"/>
          <w:b/>
          <w:bCs/>
          <w:color w:val="000000"/>
          <w:szCs w:val="32"/>
          <w:lang w:eastAsia="zh-CN"/>
        </w:rPr>
        <w:t>——</w:t>
      </w:r>
      <w:r>
        <w:rPr>
          <w:rFonts w:hint="default" w:ascii="Times New Roman" w:hAnsi="Times New Roman" w:cs="Times New Roman"/>
          <w:b/>
          <w:bCs/>
          <w:color w:val="000000"/>
          <w:szCs w:val="32"/>
        </w:rPr>
        <w:t>绿色低碳。</w:t>
      </w:r>
      <w:r>
        <w:rPr>
          <w:rFonts w:hint="default" w:ascii="Times New Roman" w:hAnsi="Times New Roman" w:cs="Times New Roman"/>
          <w:color w:val="000000"/>
        </w:rPr>
        <w:t>到2030年，</w:t>
      </w:r>
      <w:r>
        <w:rPr>
          <w:rFonts w:hint="default" w:ascii="Times New Roman" w:hAnsi="Times New Roman" w:cs="Times New Roman"/>
          <w:color w:val="000000"/>
          <w:lang w:val="en-US" w:eastAsia="zh-CN"/>
        </w:rPr>
        <w:t>新能源</w:t>
      </w:r>
      <w:r>
        <w:rPr>
          <w:rFonts w:hint="default" w:ascii="Times New Roman" w:hAnsi="Times New Roman" w:cs="Times New Roman"/>
          <w:color w:val="000000"/>
        </w:rPr>
        <w:t>发电装机</w:t>
      </w:r>
      <w:r>
        <w:rPr>
          <w:rFonts w:hint="default" w:ascii="Times New Roman" w:hAnsi="Times New Roman" w:cs="Times New Roman"/>
          <w:color w:val="000000"/>
          <w:lang w:val="en-US" w:eastAsia="zh-CN"/>
        </w:rPr>
        <w:t>容量</w:t>
      </w:r>
      <w:r>
        <w:rPr>
          <w:rFonts w:hint="default" w:ascii="Times New Roman" w:hAnsi="Times New Roman" w:cs="Times New Roman"/>
          <w:b/>
          <w:bCs/>
          <w:color w:val="000000"/>
          <w:lang w:val="en-US" w:eastAsia="zh-CN"/>
        </w:rPr>
        <w:t>倍增</w:t>
      </w:r>
      <w:r>
        <w:rPr>
          <w:rFonts w:hint="default" w:ascii="Times New Roman" w:hAnsi="Times New Roman" w:cs="Times New Roman"/>
          <w:color w:val="000000"/>
          <w:lang w:val="en-US" w:eastAsia="zh-CN"/>
        </w:rPr>
        <w:t>，</w:t>
      </w:r>
      <w:r>
        <w:rPr>
          <w:rFonts w:hint="default" w:ascii="Times New Roman" w:hAnsi="Times New Roman" w:cs="Times New Roman"/>
          <w:color w:val="000000"/>
        </w:rPr>
        <w:t>达到700万千瓦，装机比重达到58%以上</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工业、交通、建筑等能源消费清洁转型取得实质性成效，</w:t>
      </w:r>
      <w:r>
        <w:rPr>
          <w:rFonts w:hint="default" w:ascii="Times New Roman" w:hAnsi="Times New Roman" w:cs="Times New Roman"/>
          <w:color w:val="000000"/>
        </w:rPr>
        <w:t>电能占终端能源消费比重达到3</w:t>
      </w:r>
      <w:r>
        <w:rPr>
          <w:rFonts w:hint="eastAsia" w:ascii="Times New Roman" w:hAnsi="Times New Roman" w:cs="Times New Roman"/>
          <w:color w:val="000000"/>
          <w:lang w:val="en-US" w:eastAsia="zh-CN"/>
        </w:rPr>
        <w:t>0</w:t>
      </w:r>
      <w:r>
        <w:rPr>
          <w:rFonts w:hint="default" w:ascii="Times New Roman" w:hAnsi="Times New Roman" w:cs="Times New Roman"/>
          <w:color w:val="000000"/>
        </w:rPr>
        <w:t>%，非化石能源消费</w:t>
      </w:r>
      <w:r>
        <w:rPr>
          <w:rFonts w:hint="eastAsia" w:ascii="Times New Roman" w:hAnsi="Times New Roman" w:cs="Times New Roman"/>
          <w:color w:val="000000"/>
          <w:lang w:val="en-US" w:eastAsia="zh-CN"/>
        </w:rPr>
        <w:t>完成省定目标</w:t>
      </w:r>
      <w:r>
        <w:rPr>
          <w:rFonts w:hint="default" w:ascii="Times New Roman" w:hAnsi="Times New Roman" w:cs="Times New Roman"/>
          <w:color w:val="000000"/>
        </w:rPr>
        <w:t>，</w:t>
      </w:r>
      <w:r>
        <w:rPr>
          <w:rFonts w:hint="default" w:ascii="Times New Roman" w:hAnsi="Times New Roman" w:cs="Times New Roman"/>
          <w:color w:val="000000"/>
          <w:shd w:val="clear" w:color="auto" w:fill="FFFFFF"/>
        </w:rPr>
        <w:t>能源供给和消费结构进一步优化</w:t>
      </w:r>
      <w:r>
        <w:rPr>
          <w:rFonts w:hint="default" w:ascii="Times New Roman" w:hAnsi="Times New Roman" w:cs="Times New Roman"/>
          <w:color w:val="000000"/>
        </w:rPr>
        <w:t>。</w:t>
      </w:r>
    </w:p>
    <w:p w14:paraId="5CBFBF7C">
      <w:pPr>
        <w:spacing w:line="600" w:lineRule="exact"/>
        <w:ind w:firstLine="643"/>
        <w:rPr>
          <w:rFonts w:hint="default" w:ascii="Times New Roman" w:hAnsi="Times New Roman" w:cs="Times New Roman"/>
          <w:color w:val="000000"/>
          <w:szCs w:val="32"/>
        </w:rPr>
      </w:pPr>
      <w:r>
        <w:rPr>
          <w:rFonts w:hint="default" w:ascii="Times New Roman" w:hAnsi="Times New Roman" w:cs="Times New Roman"/>
          <w:b/>
          <w:bCs/>
          <w:color w:val="000000"/>
          <w:szCs w:val="32"/>
          <w:lang w:eastAsia="zh-CN"/>
        </w:rPr>
        <w:t>——</w:t>
      </w:r>
      <w:r>
        <w:rPr>
          <w:rFonts w:hint="default" w:ascii="Times New Roman" w:hAnsi="Times New Roman" w:cs="Times New Roman"/>
          <w:b/>
          <w:bCs/>
          <w:color w:val="000000"/>
          <w:szCs w:val="32"/>
        </w:rPr>
        <w:t>创新聚合。</w:t>
      </w:r>
      <w:r>
        <w:rPr>
          <w:rFonts w:hint="default" w:ascii="Times New Roman" w:hAnsi="Times New Roman" w:cs="Times New Roman"/>
          <w:color w:val="000000"/>
          <w:szCs w:val="32"/>
        </w:rPr>
        <w:t>跨区域能源基础设施互联互通水平显著提升，积极</w:t>
      </w:r>
      <w:r>
        <w:rPr>
          <w:rFonts w:hint="default" w:ascii="Times New Roman" w:hAnsi="Times New Roman" w:cs="Times New Roman"/>
          <w:color w:val="000000"/>
          <w:szCs w:val="32"/>
          <w:lang w:val="en-US" w:eastAsia="zh-CN"/>
        </w:rPr>
        <w:t>承接武汉都市圈科技创新平台和绿色</w:t>
      </w:r>
      <w:r>
        <w:rPr>
          <w:rFonts w:hint="default" w:ascii="Times New Roman" w:hAnsi="Times New Roman" w:cs="Times New Roman"/>
          <w:color w:val="000000"/>
          <w:szCs w:val="32"/>
        </w:rPr>
        <w:t>能源产业，能源区域合作取得重大</w:t>
      </w:r>
      <w:r>
        <w:rPr>
          <w:rFonts w:hint="default" w:ascii="Times New Roman" w:hAnsi="Times New Roman" w:cs="Times New Roman"/>
          <w:b/>
          <w:bCs/>
          <w:color w:val="000000"/>
          <w:szCs w:val="32"/>
        </w:rPr>
        <w:t>突破。</w:t>
      </w:r>
      <w:r>
        <w:rPr>
          <w:rFonts w:hint="default" w:ascii="Times New Roman" w:hAnsi="Times New Roman" w:cs="Times New Roman"/>
          <w:color w:val="000000"/>
          <w:szCs w:val="32"/>
        </w:rPr>
        <w:t>能源领域科技创新能力不断提升，绿色能源产值实现</w:t>
      </w:r>
      <w:r>
        <w:rPr>
          <w:rFonts w:hint="default" w:ascii="Times New Roman" w:hAnsi="Times New Roman" w:cs="Times New Roman"/>
          <w:b/>
          <w:bCs/>
          <w:color w:val="000000"/>
          <w:szCs w:val="32"/>
        </w:rPr>
        <w:t>倍增</w:t>
      </w:r>
      <w:r>
        <w:rPr>
          <w:rFonts w:hint="default" w:ascii="Times New Roman" w:hAnsi="Times New Roman" w:cs="Times New Roman"/>
          <w:color w:val="000000"/>
          <w:szCs w:val="32"/>
        </w:rPr>
        <w:t>，突破</w:t>
      </w:r>
      <w:r>
        <w:rPr>
          <w:rFonts w:hint="eastAsia" w:ascii="Times New Roman" w:hAnsi="Times New Roman" w:cs="Times New Roman"/>
          <w:color w:val="000000"/>
          <w:szCs w:val="32"/>
          <w:lang w:val="en-US" w:eastAsia="zh-CN"/>
        </w:rPr>
        <w:t>160</w:t>
      </w:r>
      <w:r>
        <w:rPr>
          <w:rFonts w:hint="default" w:ascii="Times New Roman" w:hAnsi="Times New Roman" w:cs="Times New Roman"/>
          <w:color w:val="000000"/>
          <w:szCs w:val="32"/>
        </w:rPr>
        <w:t>亿元，形成具有咸宁特色的能源产业。落地一批绿电直连、构网型新能源场站、虚拟电厂等试点示范项目，</w:t>
      </w:r>
      <w:r>
        <w:rPr>
          <w:rFonts w:hint="default" w:ascii="Times New Roman" w:hAnsi="Times New Roman" w:cs="Times New Roman"/>
          <w:color w:val="000000"/>
          <w:szCs w:val="32"/>
          <w:lang w:val="en-US" w:eastAsia="zh-CN"/>
        </w:rPr>
        <w:t>模式</w:t>
      </w:r>
      <w:r>
        <w:rPr>
          <w:rFonts w:hint="default" w:ascii="Times New Roman" w:hAnsi="Times New Roman" w:cs="Times New Roman"/>
          <w:color w:val="000000"/>
          <w:szCs w:val="32"/>
        </w:rPr>
        <w:t>创新取得重大</w:t>
      </w:r>
      <w:r>
        <w:rPr>
          <w:rFonts w:hint="default" w:ascii="Times New Roman" w:hAnsi="Times New Roman" w:cs="Times New Roman"/>
          <w:b/>
          <w:bCs/>
          <w:color w:val="000000"/>
          <w:szCs w:val="32"/>
        </w:rPr>
        <w:t>突破</w:t>
      </w:r>
      <w:r>
        <w:rPr>
          <w:rFonts w:hint="default" w:ascii="Times New Roman" w:hAnsi="Times New Roman" w:cs="Times New Roman"/>
          <w:color w:val="000000"/>
          <w:szCs w:val="32"/>
        </w:rPr>
        <w:t>。</w:t>
      </w:r>
    </w:p>
    <w:p w14:paraId="56691F91">
      <w:pPr>
        <w:spacing w:line="600" w:lineRule="exact"/>
        <w:ind w:firstLine="640"/>
        <w:rPr>
          <w:rFonts w:hint="default" w:ascii="Times New Roman" w:hAnsi="Times New Roman" w:cs="Times New Roman"/>
          <w:b/>
          <w:bCs/>
          <w:color w:val="000000"/>
          <w:szCs w:val="32"/>
          <w:lang w:eastAsia="zh-CN"/>
        </w:rPr>
      </w:pPr>
      <w:r>
        <w:rPr>
          <w:rFonts w:hint="default" w:ascii="Times New Roman" w:hAnsi="Times New Roman" w:cs="Times New Roman"/>
          <w:b/>
          <w:bCs/>
          <w:color w:val="000000"/>
          <w:szCs w:val="32"/>
          <w:lang w:eastAsia="zh-CN"/>
        </w:rPr>
        <w:t>——</w:t>
      </w:r>
      <w:r>
        <w:rPr>
          <w:rFonts w:hint="default" w:ascii="Times New Roman" w:hAnsi="Times New Roman" w:cs="Times New Roman"/>
          <w:b/>
          <w:bCs/>
          <w:color w:val="000000"/>
          <w:szCs w:val="32"/>
        </w:rPr>
        <w:t>普惠高效。</w:t>
      </w:r>
      <w:r>
        <w:rPr>
          <w:rFonts w:hint="default" w:ascii="Times New Roman" w:hAnsi="Times New Roman" w:cs="Times New Roman"/>
          <w:color w:val="000000"/>
          <w:szCs w:val="32"/>
        </w:rPr>
        <w:t>通过政府引导、绿色金融等方式</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全面提升服务效能，能源开发成本进一步降低</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用能企业通过市场化交易、绿电直连等方式</w:t>
      </w:r>
      <w:r>
        <w:rPr>
          <w:rFonts w:hint="default" w:ascii="Times New Roman" w:hAnsi="Times New Roman" w:cs="Times New Roman"/>
          <w:color w:val="000000"/>
          <w:szCs w:val="32"/>
          <w:lang w:val="en-US" w:eastAsia="zh-CN"/>
        </w:rPr>
        <w:t>有效降低</w:t>
      </w:r>
      <w:r>
        <w:rPr>
          <w:rFonts w:hint="default" w:ascii="Times New Roman" w:hAnsi="Times New Roman" w:cs="Times New Roman"/>
          <w:color w:val="000000"/>
          <w:szCs w:val="32"/>
        </w:rPr>
        <w:t>用能成本。</w:t>
      </w:r>
      <w:r>
        <w:rPr>
          <w:rFonts w:hint="eastAsia" w:ascii="Times New Roman" w:hAnsi="Times New Roman" w:cs="Times New Roman"/>
          <w:color w:val="000000"/>
          <w:szCs w:val="32"/>
          <w:lang w:val="en-US" w:eastAsia="zh-CN"/>
        </w:rPr>
        <w:t>充电网络持续提质扩面，充电枪数量实现</w:t>
      </w:r>
      <w:r>
        <w:rPr>
          <w:rFonts w:hint="eastAsia" w:ascii="Times New Roman" w:hAnsi="Times New Roman" w:cs="Times New Roman"/>
          <w:b/>
          <w:bCs/>
          <w:color w:val="000000"/>
          <w:szCs w:val="32"/>
          <w:lang w:val="en-US" w:eastAsia="zh-CN"/>
        </w:rPr>
        <w:t>倍增</w:t>
      </w:r>
      <w:r>
        <w:rPr>
          <w:rFonts w:hint="eastAsia" w:ascii="Times New Roman" w:hAnsi="Times New Roman" w:cs="Times New Roman"/>
          <w:color w:val="000000"/>
          <w:szCs w:val="32"/>
          <w:lang w:val="en-US" w:eastAsia="zh-CN"/>
        </w:rPr>
        <w:t>，达到4.2万个。</w:t>
      </w:r>
      <w:r>
        <w:rPr>
          <w:rFonts w:hint="default" w:ascii="Times New Roman" w:hAnsi="Times New Roman" w:cs="Times New Roman"/>
          <w:color w:val="000000"/>
          <w:szCs w:val="32"/>
        </w:rPr>
        <w:t>农村能源革命取得显著成效，清洁能源覆盖率大幅提升，</w:t>
      </w:r>
      <w:r>
        <w:rPr>
          <w:rFonts w:hint="default" w:ascii="Times New Roman" w:hAnsi="Times New Roman" w:cs="Times New Roman"/>
          <w:color w:val="000000"/>
          <w:szCs w:val="32"/>
          <w:lang w:val="en-US" w:eastAsia="zh-CN"/>
        </w:rPr>
        <w:t>有效带动农村就业与收入</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惠企富民取得重大</w:t>
      </w:r>
      <w:r>
        <w:rPr>
          <w:rFonts w:hint="default" w:ascii="Times New Roman" w:hAnsi="Times New Roman" w:cs="Times New Roman"/>
          <w:b/>
          <w:bCs/>
          <w:color w:val="000000"/>
          <w:szCs w:val="32"/>
        </w:rPr>
        <w:t>突破</w:t>
      </w:r>
      <w:r>
        <w:rPr>
          <w:rFonts w:hint="default" w:ascii="Times New Roman" w:hAnsi="Times New Roman" w:cs="Times New Roman"/>
          <w:b/>
          <w:bCs/>
          <w:color w:val="000000"/>
          <w:szCs w:val="32"/>
          <w:lang w:eastAsia="zh-CN"/>
        </w:rPr>
        <w:t>。</w:t>
      </w:r>
    </w:p>
    <w:tbl>
      <w:tblPr>
        <w:tblStyle w:val="19"/>
        <w:tblW w:w="5000" w:type="pct"/>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842"/>
        <w:gridCol w:w="2780"/>
        <w:gridCol w:w="1351"/>
        <w:gridCol w:w="1174"/>
        <w:gridCol w:w="1155"/>
        <w:gridCol w:w="1214"/>
      </w:tblGrid>
      <w:tr w14:paraId="2690850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1" w:hRule="atLeast"/>
          <w:tblHeader/>
          <w:jc w:val="center"/>
        </w:trPr>
        <w:tc>
          <w:tcPr>
            <w:tcW w:w="5000" w:type="pct"/>
            <w:gridSpan w:val="6"/>
            <w:tcBorders>
              <w:top w:val="single" w:color="000000" w:sz="8" w:space="0"/>
              <w:left w:val="single" w:color="000000" w:sz="8" w:space="0"/>
              <w:bottom w:val="single" w:color="000000" w:sz="8" w:space="0"/>
              <w:right w:val="single" w:color="000000" w:sz="8" w:space="0"/>
            </w:tcBorders>
            <w:vAlign w:val="center"/>
          </w:tcPr>
          <w:p w14:paraId="2EA2E7DE">
            <w:pPr>
              <w:keepNext/>
              <w:snapToGrid w:val="0"/>
              <w:spacing w:line="240" w:lineRule="auto"/>
              <w:ind w:left="0" w:leftChars="0" w:right="0" w:rightChars="0" w:firstLine="0" w:firstLineChars="0"/>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专栏2 </w:t>
            </w:r>
            <w:r>
              <w:rPr>
                <w:rFonts w:hint="eastAsia" w:ascii="黑体" w:hAnsi="黑体" w:eastAsia="黑体" w:cs="黑体"/>
                <w:color w:val="000000"/>
                <w:sz w:val="32"/>
                <w:szCs w:val="32"/>
              </w:rPr>
              <w:t>咸宁市“十五五”能源发展主要目标</w:t>
            </w:r>
          </w:p>
        </w:tc>
      </w:tr>
      <w:tr w14:paraId="3DE1C3F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blHeader/>
          <w:jc w:val="center"/>
        </w:trPr>
        <w:tc>
          <w:tcPr>
            <w:tcW w:w="495" w:type="pct"/>
            <w:tcBorders>
              <w:top w:val="single" w:color="000000" w:sz="8" w:space="0"/>
              <w:left w:val="single" w:color="000000" w:sz="8" w:space="0"/>
              <w:bottom w:val="single" w:color="000000" w:sz="8" w:space="0"/>
              <w:right w:val="single" w:color="000000" w:sz="8" w:space="0"/>
            </w:tcBorders>
            <w:vAlign w:val="center"/>
          </w:tcPr>
          <w:p w14:paraId="2F6D32CE">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r>
              <w:rPr>
                <w:rFonts w:hint="eastAsia" w:ascii="宋体" w:hAnsi="宋体" w:eastAsia="宋体" w:cs="宋体"/>
                <w:b/>
                <w:color w:val="000000"/>
                <w:sz w:val="28"/>
                <w:szCs w:val="28"/>
              </w:rPr>
              <w:t>分类</w:t>
            </w:r>
          </w:p>
        </w:tc>
        <w:tc>
          <w:tcPr>
            <w:tcW w:w="1632" w:type="pct"/>
            <w:tcBorders>
              <w:top w:val="single" w:color="000000" w:sz="8" w:space="0"/>
              <w:left w:val="single" w:color="000000" w:sz="8" w:space="0"/>
              <w:bottom w:val="single" w:color="000000" w:sz="8" w:space="0"/>
              <w:right w:val="single" w:color="000000" w:sz="8" w:space="0"/>
            </w:tcBorders>
            <w:vAlign w:val="center"/>
          </w:tcPr>
          <w:p w14:paraId="4D4C8F68">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r>
              <w:rPr>
                <w:rFonts w:hint="eastAsia" w:ascii="宋体" w:hAnsi="宋体" w:eastAsia="宋体" w:cs="宋体"/>
                <w:b/>
                <w:color w:val="000000"/>
                <w:sz w:val="28"/>
                <w:szCs w:val="28"/>
              </w:rPr>
              <w:t>指标</w:t>
            </w:r>
          </w:p>
        </w:tc>
        <w:tc>
          <w:tcPr>
            <w:tcW w:w="793" w:type="pct"/>
            <w:tcBorders>
              <w:top w:val="single" w:color="000000" w:sz="8" w:space="0"/>
              <w:left w:val="single" w:color="000000" w:sz="8" w:space="0"/>
              <w:bottom w:val="single" w:color="000000" w:sz="8" w:space="0"/>
              <w:right w:val="single" w:color="000000" w:sz="8" w:space="0"/>
            </w:tcBorders>
            <w:vAlign w:val="center"/>
          </w:tcPr>
          <w:p w14:paraId="2F0BDEF5">
            <w:pPr>
              <w:keepNext/>
              <w:snapToGrid w:val="0"/>
              <w:spacing w:line="240" w:lineRule="auto"/>
              <w:ind w:left="0" w:leftChars="0" w:right="0" w:rightChars="0" w:firstLine="0" w:firstLineChars="0"/>
              <w:jc w:val="center"/>
              <w:rPr>
                <w:rFonts w:hint="eastAsia" w:ascii="Times New Roman" w:hAnsi="Times New Roman" w:eastAsia="仿宋_GB2312" w:cs="Times New Roman"/>
                <w:b/>
                <w:color w:val="000000"/>
                <w:sz w:val="28"/>
                <w:szCs w:val="28"/>
                <w:lang w:val="en-US" w:eastAsia="zh-CN"/>
              </w:rPr>
            </w:pPr>
            <w:r>
              <w:rPr>
                <w:rFonts w:hint="eastAsia" w:ascii="Times New Roman" w:hAnsi="Times New Roman" w:cs="Times New Roman"/>
                <w:b/>
                <w:color w:val="000000"/>
                <w:sz w:val="28"/>
                <w:szCs w:val="28"/>
                <w:lang w:val="en-US" w:eastAsia="zh-CN"/>
              </w:rPr>
              <w:t>单位</w:t>
            </w:r>
          </w:p>
        </w:tc>
        <w:tc>
          <w:tcPr>
            <w:tcW w:w="689" w:type="pct"/>
            <w:tcBorders>
              <w:top w:val="single" w:color="000000" w:sz="8" w:space="0"/>
              <w:left w:val="single" w:color="000000" w:sz="8" w:space="0"/>
              <w:bottom w:val="single" w:color="000000" w:sz="8" w:space="0"/>
              <w:right w:val="single" w:color="000000" w:sz="8" w:space="0"/>
            </w:tcBorders>
            <w:vAlign w:val="center"/>
          </w:tcPr>
          <w:p w14:paraId="7C42664C">
            <w:pPr>
              <w:keepNext/>
              <w:snapToGrid w:val="0"/>
              <w:spacing w:line="240" w:lineRule="auto"/>
              <w:ind w:left="0" w:leftChars="0" w:right="0" w:rightChars="0"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cs="Times New Roman"/>
                <w:b/>
                <w:color w:val="000000"/>
                <w:sz w:val="28"/>
                <w:szCs w:val="28"/>
              </w:rPr>
              <w:t>2025</w:t>
            </w:r>
            <w:r>
              <w:rPr>
                <w:rFonts w:hint="eastAsia" w:ascii="宋体" w:hAnsi="宋体" w:eastAsia="宋体" w:cs="宋体"/>
                <w:b/>
                <w:color w:val="000000"/>
                <w:sz w:val="28"/>
                <w:szCs w:val="28"/>
                <w:lang w:val="en-US" w:eastAsia="zh-CN"/>
              </w:rPr>
              <w:t>年</w:t>
            </w:r>
          </w:p>
        </w:tc>
        <w:tc>
          <w:tcPr>
            <w:tcW w:w="678" w:type="pct"/>
            <w:tcBorders>
              <w:top w:val="single" w:color="000000" w:sz="8" w:space="0"/>
              <w:left w:val="single" w:color="000000" w:sz="8" w:space="0"/>
              <w:bottom w:val="single" w:color="000000" w:sz="8" w:space="0"/>
              <w:right w:val="single" w:color="000000" w:sz="8" w:space="0"/>
            </w:tcBorders>
            <w:vAlign w:val="center"/>
          </w:tcPr>
          <w:p w14:paraId="22C19532">
            <w:pPr>
              <w:keepNext/>
              <w:snapToGrid w:val="0"/>
              <w:spacing w:line="240" w:lineRule="auto"/>
              <w:ind w:left="0" w:leftChars="0" w:right="0" w:rightChars="0"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cs="Times New Roman"/>
                <w:b/>
                <w:color w:val="000000"/>
                <w:sz w:val="28"/>
                <w:szCs w:val="28"/>
              </w:rPr>
              <w:t>2030</w:t>
            </w:r>
            <w:r>
              <w:rPr>
                <w:rFonts w:hint="eastAsia" w:ascii="宋体" w:hAnsi="宋体" w:eastAsia="宋体" w:cs="宋体"/>
                <w:b/>
                <w:color w:val="000000"/>
                <w:sz w:val="28"/>
                <w:szCs w:val="28"/>
                <w:lang w:val="en-US" w:eastAsia="zh-CN"/>
              </w:rPr>
              <w:t>年</w:t>
            </w:r>
          </w:p>
        </w:tc>
        <w:tc>
          <w:tcPr>
            <w:tcW w:w="711" w:type="pct"/>
            <w:tcBorders>
              <w:top w:val="single" w:color="000000" w:sz="8" w:space="0"/>
              <w:left w:val="single" w:color="000000" w:sz="8" w:space="0"/>
              <w:bottom w:val="single" w:color="000000" w:sz="8" w:space="0"/>
              <w:right w:val="single" w:color="000000" w:sz="8" w:space="0"/>
            </w:tcBorders>
            <w:vAlign w:val="center"/>
          </w:tcPr>
          <w:p w14:paraId="31201E7E">
            <w:pPr>
              <w:keepNext/>
              <w:snapToGrid w:val="0"/>
              <w:spacing w:line="240" w:lineRule="auto"/>
              <w:ind w:left="0" w:leftChars="0" w:right="0" w:rightChars="0" w:firstLine="0" w:firstLineChars="0"/>
              <w:jc w:val="center"/>
              <w:rPr>
                <w:rFonts w:hint="eastAsia" w:ascii="Times New Roman" w:hAnsi="Times New Roman" w:eastAsia="仿宋_GB2312" w:cs="Times New Roman"/>
                <w:b/>
                <w:color w:val="000000"/>
                <w:sz w:val="28"/>
                <w:szCs w:val="28"/>
                <w:lang w:val="en-US" w:eastAsia="zh-CN"/>
              </w:rPr>
            </w:pPr>
            <w:r>
              <w:rPr>
                <w:rFonts w:hint="eastAsia" w:ascii="Times New Roman" w:hAnsi="Times New Roman" w:cs="Times New Roman"/>
                <w:b/>
                <w:color w:val="000000"/>
                <w:sz w:val="28"/>
                <w:szCs w:val="28"/>
                <w:lang w:val="en-US" w:eastAsia="zh-CN"/>
              </w:rPr>
              <w:t>属性</w:t>
            </w:r>
          </w:p>
        </w:tc>
      </w:tr>
      <w:tr w14:paraId="6564386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restart"/>
            <w:tcBorders>
              <w:top w:val="single" w:color="000000" w:sz="8" w:space="0"/>
              <w:left w:val="single" w:color="000000" w:sz="8" w:space="0"/>
              <w:bottom w:val="single" w:color="000000" w:sz="8" w:space="0"/>
              <w:right w:val="single" w:color="000000" w:sz="8" w:space="0"/>
            </w:tcBorders>
            <w:vAlign w:val="center"/>
          </w:tcPr>
          <w:p w14:paraId="313FCCCE">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多元安全</w:t>
            </w:r>
          </w:p>
        </w:tc>
        <w:tc>
          <w:tcPr>
            <w:tcW w:w="1632" w:type="pct"/>
            <w:tcBorders>
              <w:top w:val="single" w:color="000000" w:sz="8" w:space="0"/>
              <w:left w:val="single" w:color="000000" w:sz="2" w:space="0"/>
              <w:bottom w:val="single" w:color="000000" w:sz="8" w:space="0"/>
              <w:right w:val="single" w:color="000000" w:sz="8" w:space="0"/>
            </w:tcBorders>
            <w:vAlign w:val="center"/>
          </w:tcPr>
          <w:p w14:paraId="326874A1">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能源综合生产能力</w:t>
            </w:r>
          </w:p>
        </w:tc>
        <w:tc>
          <w:tcPr>
            <w:tcW w:w="793" w:type="pct"/>
            <w:tcBorders>
              <w:top w:val="single" w:color="000000" w:sz="8" w:space="0"/>
              <w:left w:val="single" w:color="000000" w:sz="2" w:space="0"/>
              <w:bottom w:val="single" w:color="000000" w:sz="8" w:space="0"/>
              <w:right w:val="single" w:color="000000" w:sz="8" w:space="0"/>
            </w:tcBorders>
            <w:vAlign w:val="center"/>
          </w:tcPr>
          <w:p w14:paraId="5FDD2BA1">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万吨标煤</w:t>
            </w:r>
          </w:p>
        </w:tc>
        <w:tc>
          <w:tcPr>
            <w:tcW w:w="689" w:type="pct"/>
            <w:tcBorders>
              <w:top w:val="single" w:color="000000" w:sz="8" w:space="0"/>
              <w:left w:val="single" w:color="000000" w:sz="2" w:space="0"/>
              <w:bottom w:val="single" w:color="000000" w:sz="8" w:space="0"/>
              <w:right w:val="single" w:color="000000" w:sz="8" w:space="0"/>
            </w:tcBorders>
            <w:vAlign w:val="center"/>
          </w:tcPr>
          <w:p w14:paraId="462469BF">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100</w:t>
            </w:r>
          </w:p>
        </w:tc>
        <w:tc>
          <w:tcPr>
            <w:tcW w:w="678" w:type="pct"/>
            <w:tcBorders>
              <w:top w:val="single" w:color="000000" w:sz="8" w:space="0"/>
              <w:left w:val="single" w:color="000000" w:sz="2" w:space="0"/>
              <w:bottom w:val="single" w:color="000000" w:sz="8" w:space="0"/>
              <w:right w:val="single" w:color="000000" w:sz="8" w:space="0"/>
            </w:tcBorders>
            <w:vAlign w:val="center"/>
          </w:tcPr>
          <w:p w14:paraId="32E96955">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2</w:t>
            </w:r>
            <w:r>
              <w:rPr>
                <w:rFonts w:hint="eastAsia" w:ascii="Times New Roman" w:hAnsi="Times New Roman" w:cs="Times New Roman"/>
                <w:color w:val="000000"/>
                <w:sz w:val="28"/>
                <w:szCs w:val="28"/>
                <w:lang w:val="en-US" w:eastAsia="zh-CN"/>
              </w:rPr>
              <w:t>54</w:t>
            </w:r>
          </w:p>
        </w:tc>
        <w:tc>
          <w:tcPr>
            <w:tcW w:w="711" w:type="pct"/>
            <w:tcBorders>
              <w:top w:val="single" w:color="000000" w:sz="8" w:space="0"/>
              <w:left w:val="single" w:color="000000" w:sz="2" w:space="0"/>
              <w:bottom w:val="single" w:color="000000" w:sz="8" w:space="0"/>
              <w:right w:val="single" w:color="000000" w:sz="8" w:space="0"/>
            </w:tcBorders>
            <w:vAlign w:val="center"/>
          </w:tcPr>
          <w:p w14:paraId="5EC0D430">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预期性</w:t>
            </w:r>
          </w:p>
        </w:tc>
      </w:tr>
      <w:tr w14:paraId="08832B4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8" w:space="0"/>
              <w:left w:val="single" w:color="000000" w:sz="8" w:space="0"/>
              <w:bottom w:val="single" w:color="000000" w:sz="8" w:space="0"/>
              <w:right w:val="single" w:color="000000" w:sz="8" w:space="0"/>
            </w:tcBorders>
            <w:vAlign w:val="center"/>
          </w:tcPr>
          <w:p w14:paraId="1F2832BF">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39083F58">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发电装机总规模</w:t>
            </w:r>
          </w:p>
        </w:tc>
        <w:tc>
          <w:tcPr>
            <w:tcW w:w="793" w:type="pct"/>
            <w:tcBorders>
              <w:top w:val="single" w:color="000000" w:sz="2" w:space="0"/>
              <w:left w:val="single" w:color="000000" w:sz="2" w:space="0"/>
              <w:bottom w:val="single" w:color="000000" w:sz="8" w:space="0"/>
              <w:right w:val="single" w:color="000000" w:sz="8" w:space="0"/>
            </w:tcBorders>
            <w:vAlign w:val="center"/>
          </w:tcPr>
          <w:p w14:paraId="1BEBDAED">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万千瓦</w:t>
            </w:r>
          </w:p>
        </w:tc>
        <w:tc>
          <w:tcPr>
            <w:tcW w:w="689" w:type="pct"/>
            <w:tcBorders>
              <w:top w:val="single" w:color="000000" w:sz="2" w:space="0"/>
              <w:left w:val="single" w:color="000000" w:sz="2" w:space="0"/>
              <w:bottom w:val="single" w:color="000000" w:sz="8" w:space="0"/>
              <w:right w:val="single" w:color="000000" w:sz="8" w:space="0"/>
            </w:tcBorders>
            <w:vAlign w:val="center"/>
          </w:tcPr>
          <w:p w14:paraId="6CD19923">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829.8</w:t>
            </w:r>
          </w:p>
        </w:tc>
        <w:tc>
          <w:tcPr>
            <w:tcW w:w="678" w:type="pct"/>
            <w:tcBorders>
              <w:top w:val="single" w:color="000000" w:sz="2" w:space="0"/>
              <w:left w:val="single" w:color="000000" w:sz="2" w:space="0"/>
              <w:bottom w:val="single" w:color="000000" w:sz="8" w:space="0"/>
              <w:right w:val="single" w:color="000000" w:sz="8" w:space="0"/>
            </w:tcBorders>
            <w:vAlign w:val="center"/>
          </w:tcPr>
          <w:p w14:paraId="7B66990A">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12</w:t>
            </w:r>
            <w:r>
              <w:rPr>
                <w:rFonts w:hint="eastAsia" w:ascii="Times New Roman" w:hAnsi="Times New Roman" w:cs="Times New Roman"/>
                <w:color w:val="000000"/>
                <w:sz w:val="28"/>
                <w:szCs w:val="28"/>
                <w:lang w:val="en-US" w:eastAsia="zh-CN"/>
              </w:rPr>
              <w:t>0</w:t>
            </w:r>
            <w:r>
              <w:rPr>
                <w:rFonts w:hint="default" w:ascii="Times New Roman" w:hAnsi="Times New Roman" w:cs="Times New Roman"/>
                <w:color w:val="000000"/>
                <w:sz w:val="28"/>
                <w:szCs w:val="28"/>
                <w:lang w:val="en-US" w:eastAsia="zh-CN"/>
              </w:rPr>
              <w:t>0</w:t>
            </w:r>
          </w:p>
        </w:tc>
        <w:tc>
          <w:tcPr>
            <w:tcW w:w="711" w:type="pct"/>
            <w:tcBorders>
              <w:top w:val="single" w:color="000000" w:sz="2" w:space="0"/>
              <w:left w:val="single" w:color="000000" w:sz="2" w:space="0"/>
              <w:bottom w:val="single" w:color="000000" w:sz="8" w:space="0"/>
              <w:right w:val="single" w:color="000000" w:sz="8" w:space="0"/>
            </w:tcBorders>
            <w:vAlign w:val="center"/>
          </w:tcPr>
          <w:p w14:paraId="4A1C5B6F">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4B77A04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6" w:hRule="atLeast"/>
          <w:jc w:val="center"/>
        </w:trPr>
        <w:tc>
          <w:tcPr>
            <w:tcW w:w="495" w:type="pct"/>
            <w:vMerge w:val="continue"/>
            <w:tcBorders>
              <w:top w:val="single" w:color="000000" w:sz="8" w:space="0"/>
              <w:left w:val="single" w:color="000000" w:sz="8" w:space="0"/>
              <w:bottom w:val="single" w:color="000000" w:sz="8" w:space="0"/>
              <w:right w:val="single" w:color="000000" w:sz="8" w:space="0"/>
            </w:tcBorders>
            <w:vAlign w:val="center"/>
          </w:tcPr>
          <w:p w14:paraId="410DB403">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7CFD6E5E">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油气</w:t>
            </w:r>
            <w:r>
              <w:rPr>
                <w:rFonts w:hint="eastAsia" w:ascii="宋体" w:hAnsi="宋体" w:eastAsia="宋体" w:cs="宋体"/>
                <w:color w:val="000000"/>
                <w:sz w:val="28"/>
                <w:szCs w:val="28"/>
                <w:lang w:val="en-US" w:eastAsia="zh-CN"/>
              </w:rPr>
              <w:t>长输管线</w:t>
            </w:r>
            <w:r>
              <w:rPr>
                <w:rFonts w:hint="eastAsia" w:ascii="宋体" w:hAnsi="宋体" w:eastAsia="宋体" w:cs="宋体"/>
                <w:color w:val="000000"/>
                <w:sz w:val="28"/>
                <w:szCs w:val="28"/>
              </w:rPr>
              <w:t>总里程</w:t>
            </w:r>
          </w:p>
        </w:tc>
        <w:tc>
          <w:tcPr>
            <w:tcW w:w="793" w:type="pct"/>
            <w:tcBorders>
              <w:top w:val="single" w:color="000000" w:sz="2" w:space="0"/>
              <w:left w:val="single" w:color="000000" w:sz="2" w:space="0"/>
              <w:bottom w:val="single" w:color="000000" w:sz="8" w:space="0"/>
              <w:right w:val="single" w:color="000000" w:sz="8" w:space="0"/>
            </w:tcBorders>
            <w:shd w:val="clear" w:color="auto" w:fill="auto"/>
            <w:vAlign w:val="center"/>
          </w:tcPr>
          <w:p w14:paraId="4D854410">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公里</w:t>
            </w:r>
          </w:p>
        </w:tc>
        <w:tc>
          <w:tcPr>
            <w:tcW w:w="689" w:type="pct"/>
            <w:tcBorders>
              <w:top w:val="single" w:color="000000" w:sz="2" w:space="0"/>
              <w:left w:val="single" w:color="000000" w:sz="2" w:space="0"/>
              <w:bottom w:val="single" w:color="000000" w:sz="8" w:space="0"/>
              <w:right w:val="single" w:color="000000" w:sz="8" w:space="0"/>
            </w:tcBorders>
            <w:shd w:val="clear" w:color="auto" w:fill="auto"/>
            <w:vAlign w:val="center"/>
          </w:tcPr>
          <w:p w14:paraId="6657C57A">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301.28</w:t>
            </w:r>
          </w:p>
        </w:tc>
        <w:tc>
          <w:tcPr>
            <w:tcW w:w="678" w:type="pct"/>
            <w:tcBorders>
              <w:top w:val="single" w:color="000000" w:sz="2" w:space="0"/>
              <w:left w:val="single" w:color="000000" w:sz="2" w:space="0"/>
              <w:bottom w:val="single" w:color="000000" w:sz="8" w:space="0"/>
              <w:right w:val="single" w:color="000000" w:sz="8" w:space="0"/>
            </w:tcBorders>
            <w:shd w:val="clear" w:color="auto" w:fill="auto"/>
            <w:vAlign w:val="center"/>
          </w:tcPr>
          <w:p w14:paraId="11029C66">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466</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6808D40">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eastAsia="zh-CN"/>
              </w:rPr>
              <w:t>预期性</w:t>
            </w:r>
          </w:p>
        </w:tc>
      </w:tr>
      <w:tr w14:paraId="6C4DEE5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8" w:space="0"/>
              <w:left w:val="single" w:color="000000" w:sz="8" w:space="0"/>
              <w:bottom w:val="single" w:color="000000" w:sz="8" w:space="0"/>
              <w:right w:val="single" w:color="000000" w:sz="8" w:space="0"/>
            </w:tcBorders>
            <w:vAlign w:val="center"/>
          </w:tcPr>
          <w:p w14:paraId="17699E1E">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11C09B25">
            <w:pPr>
              <w:keepNext/>
              <w:snapToGrid w:val="0"/>
              <w:spacing w:line="240" w:lineRule="auto"/>
              <w:ind w:left="0" w:leftChars="0" w:right="0" w:rightChars="0" w:firstLine="0" w:firstLineChars="0"/>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抽水蓄能装机规模</w:t>
            </w:r>
          </w:p>
        </w:tc>
        <w:tc>
          <w:tcPr>
            <w:tcW w:w="793" w:type="pct"/>
            <w:tcBorders>
              <w:top w:val="single" w:color="000000" w:sz="2" w:space="0"/>
              <w:left w:val="single" w:color="000000" w:sz="2" w:space="0"/>
              <w:bottom w:val="single" w:color="000000" w:sz="8" w:space="0"/>
              <w:right w:val="single" w:color="000000" w:sz="8" w:space="0"/>
            </w:tcBorders>
            <w:shd w:val="clear" w:color="auto" w:fill="auto"/>
            <w:vAlign w:val="center"/>
          </w:tcPr>
          <w:p w14:paraId="64ED2BC5">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万千瓦</w:t>
            </w:r>
          </w:p>
        </w:tc>
        <w:tc>
          <w:tcPr>
            <w:tcW w:w="689" w:type="pct"/>
            <w:tcBorders>
              <w:top w:val="single" w:color="000000" w:sz="2" w:space="0"/>
              <w:left w:val="single" w:color="000000" w:sz="2" w:space="0"/>
              <w:bottom w:val="single" w:color="000000" w:sz="8" w:space="0"/>
              <w:right w:val="single" w:color="000000" w:sz="8" w:space="0"/>
            </w:tcBorders>
            <w:shd w:val="clear" w:color="auto" w:fill="auto"/>
            <w:vAlign w:val="center"/>
          </w:tcPr>
          <w:p w14:paraId="09B3BF97">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0</w:t>
            </w:r>
          </w:p>
        </w:tc>
        <w:tc>
          <w:tcPr>
            <w:tcW w:w="678"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3BC2CE9">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140</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E1819F3">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预期性</w:t>
            </w:r>
          </w:p>
        </w:tc>
      </w:tr>
      <w:tr w14:paraId="318F7CF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8" w:space="0"/>
              <w:left w:val="single" w:color="000000" w:sz="8" w:space="0"/>
              <w:bottom w:val="single" w:color="000000" w:sz="8" w:space="0"/>
              <w:right w:val="single" w:color="000000" w:sz="8" w:space="0"/>
            </w:tcBorders>
            <w:vAlign w:val="center"/>
          </w:tcPr>
          <w:p w14:paraId="04E9651A">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54DCAAA1">
            <w:pPr>
              <w:keepNext/>
              <w:snapToGrid w:val="0"/>
              <w:spacing w:line="240" w:lineRule="auto"/>
              <w:ind w:left="0" w:leftChars="0" w:right="0" w:rightChars="0" w:firstLine="0" w:firstLineChars="0"/>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新型储能装机规模</w:t>
            </w:r>
          </w:p>
        </w:tc>
        <w:tc>
          <w:tcPr>
            <w:tcW w:w="793" w:type="pct"/>
            <w:tcBorders>
              <w:top w:val="single" w:color="000000" w:sz="2" w:space="0"/>
              <w:left w:val="single" w:color="000000" w:sz="2" w:space="0"/>
              <w:bottom w:val="single" w:color="000000" w:sz="8" w:space="0"/>
              <w:right w:val="single" w:color="000000" w:sz="8" w:space="0"/>
            </w:tcBorders>
            <w:shd w:val="clear" w:color="auto" w:fill="auto"/>
            <w:vAlign w:val="center"/>
          </w:tcPr>
          <w:p w14:paraId="6432C9E4">
            <w:pPr>
              <w:keepNext/>
              <w:snapToGrid w:val="0"/>
              <w:spacing w:line="240" w:lineRule="auto"/>
              <w:ind w:left="0" w:leftChars="0" w:right="0" w:righ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万千瓦</w:t>
            </w:r>
          </w:p>
        </w:tc>
        <w:tc>
          <w:tcPr>
            <w:tcW w:w="689"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56AC6E3">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10</w:t>
            </w:r>
          </w:p>
        </w:tc>
        <w:tc>
          <w:tcPr>
            <w:tcW w:w="678" w:type="pct"/>
            <w:tcBorders>
              <w:top w:val="single" w:color="000000" w:sz="2" w:space="0"/>
              <w:left w:val="single" w:color="000000" w:sz="2" w:space="0"/>
              <w:bottom w:val="single" w:color="000000" w:sz="8" w:space="0"/>
              <w:right w:val="single" w:color="000000" w:sz="8" w:space="0"/>
            </w:tcBorders>
            <w:shd w:val="clear" w:color="auto" w:fill="auto"/>
            <w:vAlign w:val="center"/>
          </w:tcPr>
          <w:p w14:paraId="0A397390">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50</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600013A">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6ABB7ED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8" w:space="0"/>
              <w:left w:val="single" w:color="000000" w:sz="8" w:space="0"/>
              <w:bottom w:val="single" w:color="000000" w:sz="8" w:space="0"/>
              <w:right w:val="single" w:color="000000" w:sz="8" w:space="0"/>
            </w:tcBorders>
            <w:vAlign w:val="center"/>
          </w:tcPr>
          <w:p w14:paraId="16933FFC">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237D8378">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需求侧响应能力</w:t>
            </w:r>
          </w:p>
        </w:tc>
        <w:tc>
          <w:tcPr>
            <w:tcW w:w="793" w:type="pct"/>
            <w:tcBorders>
              <w:top w:val="single" w:color="000000" w:sz="2" w:space="0"/>
              <w:left w:val="single" w:color="000000" w:sz="2" w:space="0"/>
              <w:bottom w:val="single" w:color="000000" w:sz="8" w:space="0"/>
              <w:right w:val="single" w:color="000000" w:sz="8" w:space="0"/>
            </w:tcBorders>
            <w:vAlign w:val="center"/>
          </w:tcPr>
          <w:p w14:paraId="30DE6BDD">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w:t>
            </w:r>
          </w:p>
        </w:tc>
        <w:tc>
          <w:tcPr>
            <w:tcW w:w="689" w:type="pct"/>
            <w:tcBorders>
              <w:top w:val="single" w:color="000000" w:sz="2" w:space="0"/>
              <w:left w:val="single" w:color="000000" w:sz="2" w:space="0"/>
              <w:bottom w:val="single" w:color="000000" w:sz="8" w:space="0"/>
              <w:right w:val="single" w:color="000000" w:sz="8" w:space="0"/>
            </w:tcBorders>
            <w:vAlign w:val="center"/>
          </w:tcPr>
          <w:p w14:paraId="5F021E17">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5</w:t>
            </w:r>
          </w:p>
        </w:tc>
        <w:tc>
          <w:tcPr>
            <w:tcW w:w="678" w:type="pct"/>
            <w:tcBorders>
              <w:top w:val="single" w:color="000000" w:sz="2" w:space="0"/>
              <w:left w:val="single" w:color="000000" w:sz="2" w:space="0"/>
              <w:bottom w:val="single" w:color="000000" w:sz="8" w:space="0"/>
              <w:right w:val="single" w:color="000000" w:sz="8" w:space="0"/>
            </w:tcBorders>
            <w:vAlign w:val="center"/>
          </w:tcPr>
          <w:p w14:paraId="3EB7DF5E">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8</w:t>
            </w:r>
          </w:p>
        </w:tc>
        <w:tc>
          <w:tcPr>
            <w:tcW w:w="711" w:type="pct"/>
            <w:tcBorders>
              <w:top w:val="single" w:color="000000" w:sz="2" w:space="0"/>
              <w:left w:val="single" w:color="000000" w:sz="2" w:space="0"/>
              <w:bottom w:val="single" w:color="000000" w:sz="8" w:space="0"/>
              <w:right w:val="single" w:color="000000" w:sz="8" w:space="0"/>
            </w:tcBorders>
            <w:vAlign w:val="center"/>
          </w:tcPr>
          <w:p w14:paraId="01810A5D">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1C84578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restart"/>
            <w:tcBorders>
              <w:top w:val="single" w:color="000000" w:sz="2" w:space="0"/>
              <w:left w:val="single" w:color="000000" w:sz="8" w:space="0"/>
              <w:bottom w:val="single" w:color="000000" w:sz="8" w:space="0"/>
              <w:right w:val="single" w:color="000000" w:sz="8" w:space="0"/>
            </w:tcBorders>
            <w:vAlign w:val="center"/>
          </w:tcPr>
          <w:p w14:paraId="4B681A0B">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绿色低碳</w:t>
            </w:r>
          </w:p>
        </w:tc>
        <w:tc>
          <w:tcPr>
            <w:tcW w:w="1632" w:type="pct"/>
            <w:tcBorders>
              <w:top w:val="single" w:color="000000" w:sz="2" w:space="0"/>
              <w:left w:val="single" w:color="000000" w:sz="2" w:space="0"/>
              <w:bottom w:val="single" w:color="000000" w:sz="8" w:space="0"/>
              <w:right w:val="single" w:color="000000" w:sz="8" w:space="0"/>
            </w:tcBorders>
            <w:vAlign w:val="center"/>
          </w:tcPr>
          <w:p w14:paraId="01F510DB">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新</w:t>
            </w:r>
            <w:r>
              <w:rPr>
                <w:rFonts w:hint="eastAsia" w:ascii="宋体" w:hAnsi="宋体" w:eastAsia="宋体" w:cs="宋体"/>
                <w:color w:val="000000"/>
                <w:sz w:val="28"/>
                <w:szCs w:val="28"/>
              </w:rPr>
              <w:t>能源发电装机</w:t>
            </w:r>
          </w:p>
        </w:tc>
        <w:tc>
          <w:tcPr>
            <w:tcW w:w="793" w:type="pct"/>
            <w:tcBorders>
              <w:top w:val="single" w:color="000000" w:sz="2" w:space="0"/>
              <w:left w:val="single" w:color="000000" w:sz="2" w:space="0"/>
              <w:bottom w:val="single" w:color="000000" w:sz="8" w:space="0"/>
              <w:right w:val="single" w:color="000000" w:sz="8" w:space="0"/>
            </w:tcBorders>
            <w:vAlign w:val="center"/>
          </w:tcPr>
          <w:p w14:paraId="0F62C6E9">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万千瓦</w:t>
            </w:r>
          </w:p>
        </w:tc>
        <w:tc>
          <w:tcPr>
            <w:tcW w:w="689" w:type="pct"/>
            <w:tcBorders>
              <w:top w:val="single" w:color="000000" w:sz="2" w:space="0"/>
              <w:left w:val="single" w:color="000000" w:sz="2" w:space="0"/>
              <w:bottom w:val="single" w:color="000000" w:sz="8" w:space="0"/>
              <w:right w:val="single" w:color="000000" w:sz="8" w:space="0"/>
            </w:tcBorders>
            <w:vAlign w:val="center"/>
          </w:tcPr>
          <w:p w14:paraId="630AB3DA">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318</w:t>
            </w:r>
          </w:p>
        </w:tc>
        <w:tc>
          <w:tcPr>
            <w:tcW w:w="678" w:type="pct"/>
            <w:tcBorders>
              <w:top w:val="single" w:color="000000" w:sz="2" w:space="0"/>
              <w:left w:val="single" w:color="000000" w:sz="2" w:space="0"/>
              <w:bottom w:val="single" w:color="000000" w:sz="8" w:space="0"/>
              <w:right w:val="single" w:color="000000" w:sz="8" w:space="0"/>
            </w:tcBorders>
            <w:vAlign w:val="center"/>
          </w:tcPr>
          <w:p w14:paraId="74299756">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700</w:t>
            </w:r>
          </w:p>
        </w:tc>
        <w:tc>
          <w:tcPr>
            <w:tcW w:w="711" w:type="pct"/>
            <w:tcBorders>
              <w:top w:val="single" w:color="000000" w:sz="2" w:space="0"/>
              <w:left w:val="single" w:color="000000" w:sz="2" w:space="0"/>
              <w:bottom w:val="single" w:color="000000" w:sz="8" w:space="0"/>
              <w:right w:val="single" w:color="000000" w:sz="8" w:space="0"/>
            </w:tcBorders>
            <w:vAlign w:val="center"/>
          </w:tcPr>
          <w:p w14:paraId="46735162">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3352099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2" w:space="0"/>
              <w:left w:val="single" w:color="000000" w:sz="8" w:space="0"/>
              <w:bottom w:val="single" w:color="000000" w:sz="8" w:space="0"/>
              <w:right w:val="single" w:color="000000" w:sz="8" w:space="0"/>
            </w:tcBorders>
            <w:vAlign w:val="center"/>
          </w:tcPr>
          <w:p w14:paraId="44840C98">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7E185DBB">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非化石能源消费比重</w:t>
            </w:r>
          </w:p>
        </w:tc>
        <w:tc>
          <w:tcPr>
            <w:tcW w:w="793" w:type="pct"/>
            <w:tcBorders>
              <w:top w:val="single" w:color="000000" w:sz="2" w:space="0"/>
              <w:left w:val="single" w:color="000000" w:sz="2" w:space="0"/>
              <w:bottom w:val="single" w:color="000000" w:sz="8" w:space="0"/>
              <w:right w:val="single" w:color="000000" w:sz="8" w:space="0"/>
            </w:tcBorders>
            <w:vAlign w:val="center"/>
          </w:tcPr>
          <w:p w14:paraId="1D008921">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w:t>
            </w:r>
          </w:p>
        </w:tc>
        <w:tc>
          <w:tcPr>
            <w:tcW w:w="689" w:type="pct"/>
            <w:tcBorders>
              <w:top w:val="single" w:color="000000" w:sz="2" w:space="0"/>
              <w:left w:val="single" w:color="000000" w:sz="2" w:space="0"/>
              <w:bottom w:val="single" w:color="000000" w:sz="8" w:space="0"/>
              <w:right w:val="single" w:color="000000" w:sz="8" w:space="0"/>
            </w:tcBorders>
            <w:vAlign w:val="center"/>
          </w:tcPr>
          <w:p w14:paraId="1727D8C1">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w:t>
            </w:r>
          </w:p>
        </w:tc>
        <w:tc>
          <w:tcPr>
            <w:tcW w:w="678" w:type="pct"/>
            <w:tcBorders>
              <w:top w:val="single" w:color="000000" w:sz="2" w:space="0"/>
              <w:left w:val="single" w:color="000000" w:sz="2" w:space="0"/>
              <w:bottom w:val="single" w:color="000000" w:sz="8" w:space="0"/>
              <w:right w:val="single" w:color="000000" w:sz="8" w:space="0"/>
            </w:tcBorders>
            <w:vAlign w:val="center"/>
          </w:tcPr>
          <w:p w14:paraId="20A6F15C">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达到省定目标</w:t>
            </w:r>
          </w:p>
        </w:tc>
        <w:tc>
          <w:tcPr>
            <w:tcW w:w="711" w:type="pct"/>
            <w:tcBorders>
              <w:top w:val="single" w:color="000000" w:sz="2" w:space="0"/>
              <w:left w:val="single" w:color="000000" w:sz="2" w:space="0"/>
              <w:bottom w:val="single" w:color="000000" w:sz="8" w:space="0"/>
              <w:right w:val="single" w:color="000000" w:sz="8" w:space="0"/>
            </w:tcBorders>
            <w:vAlign w:val="center"/>
          </w:tcPr>
          <w:p w14:paraId="3A516486">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约束</w:t>
            </w:r>
            <w:r>
              <w:rPr>
                <w:rFonts w:hint="default" w:ascii="Times New Roman" w:hAnsi="Times New Roman" w:cs="Times New Roman"/>
                <w:color w:val="000000"/>
                <w:sz w:val="28"/>
                <w:szCs w:val="28"/>
                <w:lang w:val="en-US" w:eastAsia="zh-CN"/>
              </w:rPr>
              <w:t>性</w:t>
            </w:r>
          </w:p>
        </w:tc>
      </w:tr>
      <w:tr w14:paraId="2005C2A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top w:val="single" w:color="000000" w:sz="2" w:space="0"/>
              <w:left w:val="single" w:color="000000" w:sz="8" w:space="0"/>
              <w:bottom w:val="single" w:color="000000" w:sz="8" w:space="0"/>
              <w:right w:val="single" w:color="000000" w:sz="8" w:space="0"/>
            </w:tcBorders>
            <w:vAlign w:val="center"/>
          </w:tcPr>
          <w:p w14:paraId="5C4558F4">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39309349">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新能源</w:t>
            </w:r>
            <w:r>
              <w:rPr>
                <w:rFonts w:hint="eastAsia" w:ascii="宋体" w:hAnsi="宋体" w:eastAsia="宋体" w:cs="宋体"/>
                <w:color w:val="000000"/>
                <w:sz w:val="28"/>
                <w:szCs w:val="28"/>
              </w:rPr>
              <w:t>装机比重</w:t>
            </w:r>
          </w:p>
        </w:tc>
        <w:tc>
          <w:tcPr>
            <w:tcW w:w="793" w:type="pct"/>
            <w:tcBorders>
              <w:top w:val="single" w:color="000000" w:sz="2" w:space="0"/>
              <w:left w:val="single" w:color="000000" w:sz="2" w:space="0"/>
              <w:bottom w:val="single" w:color="000000" w:sz="8" w:space="0"/>
              <w:right w:val="single" w:color="000000" w:sz="8" w:space="0"/>
            </w:tcBorders>
            <w:vAlign w:val="center"/>
          </w:tcPr>
          <w:p w14:paraId="64AC99B5">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w:t>
            </w:r>
          </w:p>
        </w:tc>
        <w:tc>
          <w:tcPr>
            <w:tcW w:w="689" w:type="pct"/>
            <w:tcBorders>
              <w:top w:val="single" w:color="000000" w:sz="2" w:space="0"/>
              <w:left w:val="single" w:color="000000" w:sz="2" w:space="0"/>
              <w:bottom w:val="single" w:color="000000" w:sz="8" w:space="0"/>
              <w:right w:val="single" w:color="000000" w:sz="8" w:space="0"/>
            </w:tcBorders>
            <w:vAlign w:val="center"/>
          </w:tcPr>
          <w:p w14:paraId="2A8F2EF0">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38</w:t>
            </w:r>
          </w:p>
        </w:tc>
        <w:tc>
          <w:tcPr>
            <w:tcW w:w="678" w:type="pct"/>
            <w:tcBorders>
              <w:top w:val="single" w:color="000000" w:sz="2" w:space="0"/>
              <w:left w:val="single" w:color="000000" w:sz="2" w:space="0"/>
              <w:bottom w:val="single" w:color="000000" w:sz="8" w:space="0"/>
              <w:right w:val="single" w:color="000000" w:sz="8" w:space="0"/>
            </w:tcBorders>
            <w:vAlign w:val="center"/>
          </w:tcPr>
          <w:p w14:paraId="586AA9FF">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cs="Times New Roman"/>
                <w:color w:val="000000"/>
                <w:sz w:val="28"/>
                <w:szCs w:val="28"/>
                <w:lang w:val="en-US" w:eastAsia="zh-CN"/>
              </w:rPr>
              <w:t>5</w:t>
            </w:r>
            <w:r>
              <w:rPr>
                <w:rFonts w:hint="eastAsia" w:ascii="Times New Roman" w:hAnsi="Times New Roman" w:cs="Times New Roman"/>
                <w:color w:val="000000"/>
                <w:sz w:val="28"/>
                <w:szCs w:val="28"/>
                <w:lang w:val="en-US" w:eastAsia="zh-CN"/>
              </w:rPr>
              <w:t>8</w:t>
            </w:r>
          </w:p>
        </w:tc>
        <w:tc>
          <w:tcPr>
            <w:tcW w:w="711" w:type="pct"/>
            <w:tcBorders>
              <w:top w:val="single" w:color="000000" w:sz="2" w:space="0"/>
              <w:left w:val="single" w:color="000000" w:sz="2" w:space="0"/>
              <w:bottom w:val="single" w:color="000000" w:sz="8" w:space="0"/>
              <w:right w:val="single" w:color="000000" w:sz="8" w:space="0"/>
            </w:tcBorders>
            <w:vAlign w:val="center"/>
          </w:tcPr>
          <w:p w14:paraId="7E70AC84">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0F8A18C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restart"/>
            <w:tcBorders>
              <w:top w:val="single" w:color="000000" w:sz="2" w:space="0"/>
              <w:left w:val="single" w:color="000000" w:sz="8" w:space="0"/>
              <w:right w:val="single" w:color="000000" w:sz="8" w:space="0"/>
            </w:tcBorders>
            <w:vAlign w:val="center"/>
          </w:tcPr>
          <w:p w14:paraId="599473E7">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创新聚合</w:t>
            </w:r>
          </w:p>
        </w:tc>
        <w:tc>
          <w:tcPr>
            <w:tcW w:w="1632" w:type="pct"/>
            <w:tcBorders>
              <w:top w:val="single" w:color="000000" w:sz="2" w:space="0"/>
              <w:left w:val="single" w:color="000000" w:sz="2" w:space="0"/>
              <w:bottom w:val="single" w:color="000000" w:sz="8" w:space="0"/>
              <w:right w:val="single" w:color="000000" w:sz="8" w:space="0"/>
            </w:tcBorders>
            <w:vAlign w:val="center"/>
          </w:tcPr>
          <w:p w14:paraId="41ECB9D0">
            <w:pPr>
              <w:keepNext/>
              <w:snapToGrid w:val="0"/>
              <w:spacing w:line="240" w:lineRule="auto"/>
              <w:ind w:left="0" w:leftChars="0" w:right="0" w:righ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rPr>
              <w:t>系统友好型新能源装机规模</w:t>
            </w:r>
          </w:p>
        </w:tc>
        <w:tc>
          <w:tcPr>
            <w:tcW w:w="793" w:type="pct"/>
            <w:tcBorders>
              <w:top w:val="single" w:color="000000" w:sz="2" w:space="0"/>
              <w:left w:val="single" w:color="000000" w:sz="2" w:space="0"/>
              <w:bottom w:val="single" w:color="000000" w:sz="8" w:space="0"/>
              <w:right w:val="single" w:color="000000" w:sz="8" w:space="0"/>
            </w:tcBorders>
            <w:vAlign w:val="center"/>
          </w:tcPr>
          <w:p w14:paraId="441BFC48">
            <w:pPr>
              <w:keepNext/>
              <w:snapToGrid w:val="0"/>
              <w:spacing w:line="240" w:lineRule="auto"/>
              <w:ind w:left="0" w:leftChars="0" w:right="0" w:righ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万千瓦</w:t>
            </w:r>
          </w:p>
        </w:tc>
        <w:tc>
          <w:tcPr>
            <w:tcW w:w="689" w:type="pct"/>
            <w:tcBorders>
              <w:top w:val="single" w:color="000000" w:sz="2" w:space="0"/>
              <w:left w:val="single" w:color="000000" w:sz="2" w:space="0"/>
              <w:bottom w:val="single" w:color="000000" w:sz="8" w:space="0"/>
              <w:right w:val="single" w:color="000000" w:sz="8" w:space="0"/>
            </w:tcBorders>
            <w:vAlign w:val="center"/>
          </w:tcPr>
          <w:p w14:paraId="4D4D16CD">
            <w:pPr>
              <w:keepNext/>
              <w:snapToGrid w:val="0"/>
              <w:spacing w:line="240" w:lineRule="auto"/>
              <w:ind w:left="0" w:leftChars="0" w:right="0" w:rightChars="0" w:firstLine="0" w:firstLineChars="0"/>
              <w:jc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w:t>
            </w:r>
          </w:p>
        </w:tc>
        <w:tc>
          <w:tcPr>
            <w:tcW w:w="678" w:type="pct"/>
            <w:tcBorders>
              <w:top w:val="single" w:color="000000" w:sz="2" w:space="0"/>
              <w:left w:val="single" w:color="000000" w:sz="2" w:space="0"/>
              <w:bottom w:val="single" w:color="000000" w:sz="8" w:space="0"/>
              <w:right w:val="single" w:color="000000" w:sz="8" w:space="0"/>
            </w:tcBorders>
            <w:vAlign w:val="center"/>
          </w:tcPr>
          <w:p w14:paraId="2036B1A8">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50</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56D68116">
            <w:pPr>
              <w:keepNext/>
              <w:snapToGrid w:val="0"/>
              <w:spacing w:line="240" w:lineRule="auto"/>
              <w:ind w:left="0" w:leftChars="0" w:right="0" w:rightChars="0" w:firstLine="0" w:firstLineChars="0"/>
              <w:jc w:val="center"/>
              <w:rPr>
                <w:rFonts w:hint="eastAsia" w:ascii="Times New Roman" w:hAnsi="Times New Roman" w:eastAsia="仿宋_GB2312" w:cs="Times New Roman"/>
                <w:color w:val="000000"/>
                <w:kern w:val="2"/>
                <w:sz w:val="28"/>
                <w:szCs w:val="28"/>
                <w:lang w:val="en-US" w:eastAsia="zh-CN" w:bidi="ar-SA"/>
              </w:rPr>
            </w:pPr>
            <w:r>
              <w:rPr>
                <w:rFonts w:hint="default" w:ascii="Times New Roman" w:hAnsi="Times New Roman" w:cs="Times New Roman"/>
                <w:color w:val="000000"/>
                <w:sz w:val="28"/>
                <w:szCs w:val="28"/>
                <w:lang w:val="en-US" w:eastAsia="zh-CN"/>
              </w:rPr>
              <w:t>预期性</w:t>
            </w:r>
          </w:p>
        </w:tc>
      </w:tr>
      <w:tr w14:paraId="75701EA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left w:val="single" w:color="000000" w:sz="8" w:space="0"/>
              <w:bottom w:val="single" w:color="000000" w:sz="8" w:space="0"/>
              <w:right w:val="single" w:color="000000" w:sz="8" w:space="0"/>
            </w:tcBorders>
            <w:vAlign w:val="center"/>
          </w:tcPr>
          <w:p w14:paraId="2EE9C625">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2" w:space="0"/>
              <w:left w:val="single" w:color="000000" w:sz="2" w:space="0"/>
              <w:bottom w:val="single" w:color="000000" w:sz="8" w:space="0"/>
              <w:right w:val="single" w:color="000000" w:sz="8" w:space="0"/>
            </w:tcBorders>
            <w:vAlign w:val="center"/>
          </w:tcPr>
          <w:p w14:paraId="2AD0AADF">
            <w:pPr>
              <w:keepNext/>
              <w:snapToGrid w:val="0"/>
              <w:spacing w:line="240" w:lineRule="auto"/>
              <w:ind w:left="0" w:leftChars="0" w:right="0" w:rightChars="0" w:firstLine="0"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绿色能源产业产值</w:t>
            </w:r>
          </w:p>
        </w:tc>
        <w:tc>
          <w:tcPr>
            <w:tcW w:w="793" w:type="pct"/>
            <w:tcBorders>
              <w:top w:val="single" w:color="000000" w:sz="2" w:space="0"/>
              <w:left w:val="single" w:color="000000" w:sz="2" w:space="0"/>
              <w:bottom w:val="single" w:color="000000" w:sz="8" w:space="0"/>
              <w:right w:val="single" w:color="000000" w:sz="8" w:space="0"/>
            </w:tcBorders>
            <w:vAlign w:val="center"/>
          </w:tcPr>
          <w:p w14:paraId="0614E209">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亿元</w:t>
            </w:r>
          </w:p>
        </w:tc>
        <w:tc>
          <w:tcPr>
            <w:tcW w:w="689" w:type="pct"/>
            <w:tcBorders>
              <w:top w:val="single" w:color="000000" w:sz="2" w:space="0"/>
              <w:left w:val="single" w:color="000000" w:sz="2" w:space="0"/>
              <w:bottom w:val="single" w:color="000000" w:sz="8" w:space="0"/>
              <w:right w:val="single" w:color="000000" w:sz="8" w:space="0"/>
            </w:tcBorders>
            <w:vAlign w:val="center"/>
          </w:tcPr>
          <w:p w14:paraId="5FFF5BC6">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80</w:t>
            </w:r>
          </w:p>
        </w:tc>
        <w:tc>
          <w:tcPr>
            <w:tcW w:w="678" w:type="pct"/>
            <w:tcBorders>
              <w:top w:val="single" w:color="000000" w:sz="2" w:space="0"/>
              <w:left w:val="single" w:color="000000" w:sz="2" w:space="0"/>
              <w:bottom w:val="single" w:color="000000" w:sz="8" w:space="0"/>
              <w:right w:val="single" w:color="000000" w:sz="8" w:space="0"/>
            </w:tcBorders>
            <w:vAlign w:val="center"/>
          </w:tcPr>
          <w:p w14:paraId="00A59EA7">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cs="Times New Roman"/>
                <w:color w:val="000000"/>
                <w:sz w:val="28"/>
                <w:szCs w:val="28"/>
                <w:lang w:val="en-US" w:eastAsia="zh-CN"/>
              </w:rPr>
              <w:t>160</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26379446">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cs="Times New Roman"/>
                <w:color w:val="000000"/>
                <w:sz w:val="28"/>
                <w:szCs w:val="28"/>
                <w:lang w:val="en-US" w:eastAsia="zh-CN"/>
              </w:rPr>
              <w:t>预期性</w:t>
            </w:r>
          </w:p>
        </w:tc>
      </w:tr>
      <w:tr w14:paraId="7C92835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restart"/>
            <w:tcBorders>
              <w:left w:val="single" w:color="000000" w:sz="8" w:space="0"/>
              <w:right w:val="single" w:color="000000" w:sz="8" w:space="0"/>
            </w:tcBorders>
            <w:vAlign w:val="center"/>
          </w:tcPr>
          <w:p w14:paraId="48D31938">
            <w:pPr>
              <w:keepNext/>
              <w:snapToGrid w:val="0"/>
              <w:spacing w:line="240" w:lineRule="auto"/>
              <w:ind w:left="0" w:leftChars="0" w:right="0" w:rightChars="0" w:firstLine="0" w:firstLineChars="0"/>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普惠高效</w:t>
            </w:r>
          </w:p>
        </w:tc>
        <w:tc>
          <w:tcPr>
            <w:tcW w:w="1632" w:type="pct"/>
            <w:tcBorders>
              <w:top w:val="single" w:color="000000" w:sz="2" w:space="0"/>
              <w:left w:val="single" w:color="000000" w:sz="2" w:space="0"/>
              <w:bottom w:val="single" w:color="000000" w:sz="8" w:space="0"/>
              <w:right w:val="single" w:color="000000" w:sz="8" w:space="0"/>
            </w:tcBorders>
            <w:shd w:val="clear" w:color="auto" w:fill="auto"/>
            <w:vAlign w:val="center"/>
          </w:tcPr>
          <w:p w14:paraId="4E4AB8AD">
            <w:pPr>
              <w:keepNext/>
              <w:snapToGrid w:val="0"/>
              <w:spacing w:line="240" w:lineRule="auto"/>
              <w:ind w:left="0" w:leftChars="0" w:right="0" w:rightChars="0" w:firstLine="0" w:firstLine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供电可靠率</w:t>
            </w:r>
          </w:p>
        </w:tc>
        <w:tc>
          <w:tcPr>
            <w:tcW w:w="793" w:type="pct"/>
            <w:tcBorders>
              <w:top w:val="single" w:color="000000" w:sz="2" w:space="0"/>
              <w:left w:val="single" w:color="000000" w:sz="2" w:space="0"/>
              <w:bottom w:val="single" w:color="000000" w:sz="8" w:space="0"/>
              <w:right w:val="single" w:color="000000" w:sz="8" w:space="0"/>
            </w:tcBorders>
            <w:shd w:val="clear" w:color="auto" w:fill="auto"/>
            <w:vAlign w:val="center"/>
          </w:tcPr>
          <w:p w14:paraId="3AEFF4DC">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w:t>
            </w:r>
          </w:p>
        </w:tc>
        <w:tc>
          <w:tcPr>
            <w:tcW w:w="689" w:type="pct"/>
            <w:tcBorders>
              <w:top w:val="single" w:color="000000" w:sz="2" w:space="0"/>
              <w:left w:val="single" w:color="000000" w:sz="2" w:space="0"/>
              <w:bottom w:val="single" w:color="000000" w:sz="8" w:space="0"/>
              <w:right w:val="single" w:color="000000" w:sz="8" w:space="0"/>
            </w:tcBorders>
            <w:shd w:val="clear" w:color="auto" w:fill="auto"/>
            <w:vAlign w:val="center"/>
          </w:tcPr>
          <w:p w14:paraId="09907186">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99.9236</w:t>
            </w:r>
          </w:p>
        </w:tc>
        <w:tc>
          <w:tcPr>
            <w:tcW w:w="678" w:type="pct"/>
            <w:tcBorders>
              <w:top w:val="single" w:color="000000" w:sz="2" w:space="0"/>
              <w:left w:val="single" w:color="000000" w:sz="2" w:space="0"/>
              <w:bottom w:val="single" w:color="000000" w:sz="8" w:space="0"/>
              <w:right w:val="single" w:color="000000" w:sz="8" w:space="0"/>
            </w:tcBorders>
            <w:shd w:val="clear" w:color="auto" w:fill="auto"/>
            <w:vAlign w:val="center"/>
          </w:tcPr>
          <w:p w14:paraId="6A083C06">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99.98</w:t>
            </w:r>
          </w:p>
        </w:tc>
        <w:tc>
          <w:tcPr>
            <w:tcW w:w="711" w:type="pct"/>
            <w:tcBorders>
              <w:top w:val="single" w:color="000000" w:sz="2" w:space="0"/>
              <w:left w:val="single" w:color="000000" w:sz="2" w:space="0"/>
              <w:bottom w:val="single" w:color="000000" w:sz="8" w:space="0"/>
              <w:right w:val="single" w:color="000000" w:sz="8" w:space="0"/>
            </w:tcBorders>
            <w:shd w:val="clear" w:color="auto" w:fill="auto"/>
            <w:vAlign w:val="center"/>
          </w:tcPr>
          <w:p w14:paraId="59A7A780">
            <w:pPr>
              <w:keepNext/>
              <w:snapToGrid w:val="0"/>
              <w:spacing w:line="240" w:lineRule="auto"/>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预期性</w:t>
            </w:r>
          </w:p>
        </w:tc>
      </w:tr>
      <w:tr w14:paraId="2202351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left w:val="single" w:color="000000" w:sz="8" w:space="0"/>
              <w:bottom w:val="single" w:color="000000" w:sz="8" w:space="0"/>
              <w:right w:val="single" w:color="000000" w:sz="8" w:space="0"/>
            </w:tcBorders>
            <w:vAlign w:val="center"/>
          </w:tcPr>
          <w:p w14:paraId="75540CD5">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11B6CC">
            <w:pPr>
              <w:keepNext/>
              <w:snapToGrid w:val="0"/>
              <w:spacing w:line="240" w:lineRule="atLeast"/>
              <w:ind w:left="0" w:leftChars="0" w:right="0" w:rightChars="0" w:firstLine="0" w:firstLineChars="0"/>
              <w:jc w:val="left"/>
              <w:rPr>
                <w:rFonts w:hint="default" w:ascii="宋体" w:hAnsi="宋体" w:eastAsia="宋体" w:cs="宋体"/>
                <w:color w:val="000000"/>
                <w:sz w:val="28"/>
                <w:szCs w:val="28"/>
              </w:rPr>
            </w:pPr>
            <w:r>
              <w:rPr>
                <w:rFonts w:hint="eastAsia" w:ascii="宋体" w:hAnsi="宋体" w:eastAsia="宋体" w:cs="宋体"/>
                <w:color w:val="000000"/>
                <w:sz w:val="28"/>
                <w:szCs w:val="28"/>
                <w:lang w:val="en-US" w:eastAsia="zh-CN"/>
              </w:rPr>
              <w:t>管道燃气普及率</w:t>
            </w:r>
          </w:p>
        </w:tc>
        <w:tc>
          <w:tcPr>
            <w:tcW w:w="7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0771ED">
            <w:pPr>
              <w:keepNext/>
              <w:snapToGrid w:val="0"/>
              <w:spacing w:line="240" w:lineRule="atLeast"/>
              <w:ind w:left="0" w:leftChars="0" w:right="0" w:righ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w:t>
            </w:r>
          </w:p>
        </w:tc>
        <w:tc>
          <w:tcPr>
            <w:tcW w:w="6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6F97FF">
            <w:pPr>
              <w:keepNext/>
              <w:snapToGrid w:val="0"/>
              <w:spacing w:line="240" w:lineRule="atLeast"/>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69</w:t>
            </w:r>
          </w:p>
        </w:tc>
        <w:tc>
          <w:tcPr>
            <w:tcW w:w="6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C0F405">
            <w:pPr>
              <w:keepNext/>
              <w:snapToGrid w:val="0"/>
              <w:spacing w:line="240" w:lineRule="atLeast"/>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80</w:t>
            </w:r>
          </w:p>
        </w:tc>
        <w:tc>
          <w:tcPr>
            <w:tcW w:w="7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F2F47B">
            <w:pPr>
              <w:keepNext/>
              <w:snapToGrid w:val="0"/>
              <w:spacing w:line="240" w:lineRule="atLeast"/>
              <w:ind w:left="0" w:leftChars="0" w:right="0" w:righ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预期性</w:t>
            </w:r>
          </w:p>
        </w:tc>
      </w:tr>
      <w:tr w14:paraId="31CD472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jc w:val="center"/>
        </w:trPr>
        <w:tc>
          <w:tcPr>
            <w:tcW w:w="495" w:type="pct"/>
            <w:vMerge w:val="continue"/>
            <w:tcBorders>
              <w:left w:val="single" w:color="000000" w:sz="8" w:space="0"/>
              <w:bottom w:val="single" w:color="000000" w:sz="8" w:space="0"/>
              <w:right w:val="single" w:color="000000" w:sz="8" w:space="0"/>
            </w:tcBorders>
            <w:vAlign w:val="center"/>
          </w:tcPr>
          <w:p w14:paraId="7380C36A">
            <w:pPr>
              <w:keepNext/>
              <w:snapToGrid w:val="0"/>
              <w:spacing w:line="240" w:lineRule="auto"/>
              <w:ind w:left="0" w:leftChars="0" w:right="0" w:rightChars="0" w:firstLine="0" w:firstLineChars="0"/>
              <w:jc w:val="center"/>
              <w:rPr>
                <w:rFonts w:hint="eastAsia" w:ascii="宋体" w:hAnsi="宋体" w:eastAsia="宋体" w:cs="宋体"/>
                <w:color w:val="000000"/>
                <w:sz w:val="28"/>
                <w:szCs w:val="28"/>
              </w:rPr>
            </w:pPr>
          </w:p>
        </w:tc>
        <w:tc>
          <w:tcPr>
            <w:tcW w:w="1632" w:type="pct"/>
            <w:tcBorders>
              <w:top w:val="single" w:color="000000" w:sz="8" w:space="0"/>
              <w:left w:val="single" w:color="000000" w:sz="8" w:space="0"/>
              <w:bottom w:val="single" w:color="000000" w:sz="8" w:space="0"/>
              <w:right w:val="single" w:color="000000" w:sz="8" w:space="0"/>
            </w:tcBorders>
            <w:vAlign w:val="center"/>
          </w:tcPr>
          <w:p w14:paraId="5A2890DF">
            <w:pPr>
              <w:keepNext/>
              <w:snapToGrid w:val="0"/>
              <w:spacing w:line="240" w:lineRule="auto"/>
              <w:ind w:left="0" w:leftChars="0" w:right="0" w:rightChars="0" w:firstLine="0" w:firstLineChars="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电动汽车充电</w:t>
            </w:r>
            <w:r>
              <w:rPr>
                <w:rFonts w:hint="eastAsia" w:ascii="宋体" w:hAnsi="宋体" w:eastAsia="宋体" w:cs="宋体"/>
                <w:color w:val="000000"/>
                <w:sz w:val="28"/>
                <w:szCs w:val="28"/>
                <w:highlight w:val="none"/>
                <w:lang w:eastAsia="zh-CN"/>
              </w:rPr>
              <w:t>枪</w:t>
            </w:r>
            <w:r>
              <w:rPr>
                <w:rFonts w:hint="eastAsia" w:ascii="宋体" w:hAnsi="宋体" w:eastAsia="宋体" w:cs="宋体"/>
                <w:color w:val="000000"/>
                <w:sz w:val="28"/>
                <w:szCs w:val="28"/>
                <w:highlight w:val="none"/>
              </w:rPr>
              <w:t>数量</w:t>
            </w:r>
          </w:p>
        </w:tc>
        <w:tc>
          <w:tcPr>
            <w:tcW w:w="7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5E2B0D">
            <w:pPr>
              <w:keepNext/>
              <w:snapToGrid w:val="0"/>
              <w:spacing w:line="240" w:lineRule="auto"/>
              <w:ind w:left="0" w:leftChars="0" w:right="0" w:rightChars="0" w:firstLine="0" w:firstLineChars="0"/>
              <w:jc w:val="center"/>
              <w:rPr>
                <w:rFonts w:hint="eastAsia" w:ascii="Times New Roman" w:hAnsi="Times New Roman"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万个</w:t>
            </w:r>
          </w:p>
        </w:tc>
        <w:tc>
          <w:tcPr>
            <w:tcW w:w="6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408B19">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2.1</w:t>
            </w:r>
          </w:p>
        </w:tc>
        <w:tc>
          <w:tcPr>
            <w:tcW w:w="6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B0D983">
            <w:pPr>
              <w:keepNext/>
              <w:snapToGrid w:val="0"/>
              <w:spacing w:line="240" w:lineRule="auto"/>
              <w:ind w:left="0" w:leftChars="0" w:right="0" w:rightChars="0" w:firstLine="0" w:firstLineChars="0"/>
              <w:jc w:val="center"/>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4.2</w:t>
            </w:r>
          </w:p>
        </w:tc>
        <w:tc>
          <w:tcPr>
            <w:tcW w:w="7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26CFA6">
            <w:pPr>
              <w:keepNext/>
              <w:snapToGrid w:val="0"/>
              <w:spacing w:line="240" w:lineRule="auto"/>
              <w:ind w:left="0" w:leftChars="0" w:right="0" w:rightChars="0" w:firstLine="0" w:firstLineChars="0"/>
              <w:jc w:val="center"/>
              <w:rPr>
                <w:rFonts w:hint="eastAsia"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cs="Times New Roman"/>
                <w:color w:val="000000"/>
                <w:sz w:val="28"/>
                <w:szCs w:val="28"/>
                <w:highlight w:val="none"/>
                <w:lang w:val="en-US" w:eastAsia="zh-CN"/>
              </w:rPr>
              <w:t>预期性</w:t>
            </w:r>
          </w:p>
        </w:tc>
      </w:tr>
    </w:tbl>
    <w:p w14:paraId="3BDCA00A">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7" w:name="_Toc20787"/>
      <w:r>
        <w:rPr>
          <w:rFonts w:hint="eastAsia"/>
          <w:b/>
          <w:bCs w:val="0"/>
          <w:lang w:val="en-US" w:eastAsia="zh-CN"/>
        </w:rPr>
        <w:t>空间布局</w:t>
      </w:r>
      <w:bookmarkEnd w:id="7"/>
    </w:p>
    <w:p w14:paraId="6A4FE7DB">
      <w:pPr>
        <w:rPr>
          <w:rFonts w:hint="eastAsia"/>
          <w:b/>
          <w:bCs/>
          <w:lang w:val="en-US" w:eastAsia="zh-CN"/>
        </w:rPr>
      </w:pPr>
      <w:r>
        <w:rPr>
          <w:rFonts w:hint="default"/>
          <w:lang w:val="en-US" w:eastAsia="zh-CN"/>
        </w:rPr>
        <w:t>立足各区县资源禀赋与产业基础，构建优势互补、特色鲜明的县域能源差异化发展格局。依托主城区和咸宁高新区产业集聚优势，积极承接能源科技项目转移，加快培育新型储能、氢能装备等新兴产业，</w:t>
      </w:r>
      <w:r>
        <w:rPr>
          <w:rFonts w:hint="default"/>
          <w:b w:val="0"/>
          <w:bCs w:val="0"/>
          <w:lang w:val="en-US" w:eastAsia="zh-CN"/>
        </w:rPr>
        <w:t>建设</w:t>
      </w:r>
      <w:r>
        <w:rPr>
          <w:rFonts w:hint="default"/>
          <w:b/>
          <w:bCs/>
          <w:lang w:val="en-US" w:eastAsia="zh-CN"/>
        </w:rPr>
        <w:t>咸安能源</w:t>
      </w:r>
      <w:r>
        <w:rPr>
          <w:rFonts w:hint="eastAsia"/>
          <w:b/>
          <w:bCs/>
          <w:lang w:val="en-US" w:eastAsia="zh-CN"/>
        </w:rPr>
        <w:t>装备</w:t>
      </w:r>
      <w:r>
        <w:rPr>
          <w:rFonts w:hint="default"/>
          <w:b/>
          <w:bCs/>
          <w:lang w:val="en-US" w:eastAsia="zh-CN"/>
        </w:rPr>
        <w:t>创新发展区</w:t>
      </w:r>
      <w:r>
        <w:rPr>
          <w:rFonts w:hint="default"/>
          <w:lang w:val="en-US" w:eastAsia="zh-CN"/>
        </w:rPr>
        <w:t>；依托蒲圻电厂及百万千瓦新能源基地，</w:t>
      </w:r>
      <w:r>
        <w:rPr>
          <w:rFonts w:hint="eastAsia"/>
          <w:lang w:val="en-US" w:eastAsia="zh-CN"/>
        </w:rPr>
        <w:t>推动新能源开发与乡村振兴深度融合</w:t>
      </w:r>
      <w:r>
        <w:rPr>
          <w:rFonts w:hint="default"/>
          <w:lang w:val="en-US" w:eastAsia="zh-CN"/>
        </w:rPr>
        <w:t>，打造</w:t>
      </w:r>
      <w:r>
        <w:rPr>
          <w:rFonts w:hint="default"/>
          <w:b/>
          <w:bCs/>
          <w:lang w:val="en-US" w:eastAsia="zh-CN"/>
        </w:rPr>
        <w:t>赤壁农村能源革命先行县</w:t>
      </w:r>
      <w:r>
        <w:rPr>
          <w:rFonts w:hint="default"/>
          <w:lang w:val="en-US" w:eastAsia="zh-CN"/>
        </w:rPr>
        <w:t>；依托省级低碳冶金特色产业集群及金盛兰源网荷储一体化项目，推进</w:t>
      </w:r>
      <w:r>
        <w:rPr>
          <w:rFonts w:hint="eastAsia"/>
          <w:lang w:val="en-US" w:eastAsia="zh-CN"/>
        </w:rPr>
        <w:t>绿电直连、</w:t>
      </w:r>
      <w:r>
        <w:rPr>
          <w:rFonts w:hint="default"/>
          <w:lang w:val="en-US" w:eastAsia="zh-CN"/>
        </w:rPr>
        <w:t>生物质供热、地热利用等特色应用，打造</w:t>
      </w:r>
      <w:r>
        <w:rPr>
          <w:rFonts w:hint="default"/>
          <w:b/>
          <w:bCs/>
          <w:lang w:val="en-US" w:eastAsia="zh-CN"/>
        </w:rPr>
        <w:t>嘉鱼新能源集成融合发展样板</w:t>
      </w:r>
      <w:r>
        <w:rPr>
          <w:rFonts w:hint="eastAsia"/>
          <w:b/>
          <w:bCs/>
          <w:lang w:val="en-US" w:eastAsia="zh-CN"/>
        </w:rPr>
        <w:t>县</w:t>
      </w:r>
      <w:r>
        <w:rPr>
          <w:rFonts w:hint="default"/>
          <w:lang w:val="en-US" w:eastAsia="zh-CN"/>
        </w:rPr>
        <w:t>；充分发挥大畈核电、大幕山抽蓄等重大项目聚集优势，</w:t>
      </w:r>
      <w:r>
        <w:rPr>
          <w:rFonts w:hint="eastAsia"/>
          <w:lang w:val="en-US" w:eastAsia="zh-CN"/>
        </w:rPr>
        <w:t>统筹推进重大项目落地，</w:t>
      </w:r>
      <w:r>
        <w:rPr>
          <w:rFonts w:hint="default"/>
          <w:lang w:val="en-US" w:eastAsia="zh-CN"/>
        </w:rPr>
        <w:t>打造</w:t>
      </w:r>
      <w:r>
        <w:rPr>
          <w:rFonts w:hint="default"/>
          <w:b/>
          <w:bCs/>
          <w:lang w:val="en-US" w:eastAsia="zh-CN"/>
        </w:rPr>
        <w:t>通山风光</w:t>
      </w:r>
      <w:r>
        <w:rPr>
          <w:rFonts w:hint="eastAsia"/>
          <w:b/>
          <w:bCs/>
          <w:lang w:val="en-US" w:eastAsia="zh-CN"/>
        </w:rPr>
        <w:t>核</w:t>
      </w:r>
      <w:r>
        <w:rPr>
          <w:rFonts w:hint="default"/>
          <w:b/>
          <w:bCs/>
          <w:lang w:val="en-US" w:eastAsia="zh-CN"/>
        </w:rPr>
        <w:t>储绿色能源基地</w:t>
      </w:r>
      <w:r>
        <w:rPr>
          <w:rFonts w:hint="default"/>
          <w:lang w:val="en-US" w:eastAsia="zh-CN"/>
        </w:rPr>
        <w:t>；依托国家级云母电子材料产业集群及电池材料产业基础，打造</w:t>
      </w:r>
      <w:r>
        <w:rPr>
          <w:rFonts w:hint="default"/>
          <w:b/>
          <w:bCs/>
          <w:lang w:val="en-US" w:eastAsia="zh-CN"/>
        </w:rPr>
        <w:t>通城</w:t>
      </w:r>
      <w:r>
        <w:rPr>
          <w:rFonts w:hint="eastAsia"/>
          <w:b/>
          <w:bCs/>
          <w:lang w:val="en-US" w:eastAsia="zh-CN"/>
        </w:rPr>
        <w:t>、崇阳</w:t>
      </w:r>
      <w:r>
        <w:rPr>
          <w:rFonts w:hint="default"/>
          <w:b/>
          <w:bCs/>
          <w:lang w:val="en-US" w:eastAsia="zh-CN"/>
        </w:rPr>
        <w:t>储能材料及装备制造集群</w:t>
      </w:r>
      <w:r>
        <w:rPr>
          <w:rFonts w:hint="eastAsia"/>
          <w:b/>
          <w:bCs/>
          <w:lang w:val="en-US" w:eastAsia="zh-CN"/>
        </w:rPr>
        <w:t>，</w:t>
      </w:r>
      <w:r>
        <w:rPr>
          <w:rFonts w:hint="eastAsia"/>
          <w:b w:val="0"/>
          <w:bCs w:val="0"/>
          <w:lang w:val="en-US" w:eastAsia="zh-CN"/>
        </w:rPr>
        <w:t>加快构建重点突出、协同联动的市域能源发展新格局。</w:t>
      </w:r>
    </w:p>
    <w:p w14:paraId="3B271B9B">
      <w:pPr>
        <w:rPr>
          <w:rFonts w:hint="default"/>
          <w:b/>
          <w:bCs/>
          <w:lang w:val="en-US" w:eastAsia="zh-CN"/>
        </w:rPr>
      </w:pPr>
    </w:p>
    <w:p w14:paraId="35EE2021">
      <w:pPr>
        <w:pStyle w:val="2"/>
        <w:bidi w:val="0"/>
        <w:jc w:val="center"/>
        <w:rPr>
          <w:rFonts w:hint="default"/>
        </w:rPr>
      </w:pPr>
      <w:bookmarkStart w:id="8" w:name="_Toc11351"/>
      <w:r>
        <w:rPr>
          <w:rFonts w:hint="default"/>
        </w:rPr>
        <w:t>加快构建新型电力系统</w:t>
      </w:r>
      <w:bookmarkEnd w:id="8"/>
    </w:p>
    <w:p w14:paraId="117E1F4A">
      <w:pPr>
        <w:rPr>
          <w:rFonts w:hint="default"/>
        </w:rPr>
      </w:pPr>
    </w:p>
    <w:p w14:paraId="2B5CE99A">
      <w:pPr>
        <w:rPr>
          <w:rFonts w:hint="default"/>
        </w:rPr>
      </w:pPr>
      <w:r>
        <w:rPr>
          <w:rFonts w:hint="default"/>
        </w:rPr>
        <w:t>围绕构建以新能源为主体的新型电力系统目标，统筹推进</w:t>
      </w:r>
      <w:r>
        <w:rPr>
          <w:rFonts w:hint="eastAsia"/>
          <w:lang w:eastAsia="zh-CN"/>
        </w:rPr>
        <w:t>“</w:t>
      </w:r>
      <w:r>
        <w:rPr>
          <w:rFonts w:hint="default"/>
        </w:rPr>
        <w:t>源网荷储</w:t>
      </w:r>
      <w:r>
        <w:rPr>
          <w:rFonts w:hint="eastAsia"/>
          <w:lang w:eastAsia="zh-CN"/>
        </w:rPr>
        <w:t>”</w:t>
      </w:r>
      <w:r>
        <w:rPr>
          <w:rFonts w:hint="default"/>
        </w:rPr>
        <w:t>一体化发展，加快形成核电突破引领、风光规模开发、电网柔性支撑、储能多元布局的电力高质量发展新格局。</w:t>
      </w:r>
    </w:p>
    <w:p w14:paraId="3BC0C4D2">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9" w:name="_Toc10466"/>
      <w:bookmarkStart w:id="10" w:name="_Toc21302"/>
      <w:bookmarkStart w:id="11" w:name="_Toc16329"/>
      <w:bookmarkStart w:id="12" w:name="_Toc14615"/>
      <w:r>
        <w:rPr>
          <w:rFonts w:hint="default"/>
          <w:b/>
          <w:bCs w:val="0"/>
          <w:lang w:val="en-US" w:eastAsia="zh-CN"/>
        </w:rPr>
        <w:t>建设</w:t>
      </w:r>
      <w:r>
        <w:rPr>
          <w:rFonts w:hint="eastAsia"/>
          <w:b/>
          <w:bCs w:val="0"/>
          <w:lang w:val="en-US" w:eastAsia="zh-CN"/>
        </w:rPr>
        <w:t>全省</w:t>
      </w:r>
      <w:r>
        <w:rPr>
          <w:rFonts w:hint="default"/>
          <w:b/>
          <w:bCs w:val="0"/>
          <w:lang w:val="en-US" w:eastAsia="zh-CN"/>
        </w:rPr>
        <w:t>内陆核电创新中心</w:t>
      </w:r>
      <w:bookmarkEnd w:id="9"/>
      <w:bookmarkEnd w:id="10"/>
      <w:bookmarkEnd w:id="11"/>
      <w:bookmarkEnd w:id="12"/>
    </w:p>
    <w:p w14:paraId="5FD3EEBB">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强化厂址资源保护。</w:t>
      </w:r>
      <w:r>
        <w:rPr>
          <w:rFonts w:hint="default" w:ascii="Times New Roman" w:hAnsi="Times New Roman" w:cs="Times New Roman"/>
          <w:lang w:val="en-US" w:eastAsia="zh-CN"/>
        </w:rPr>
        <w:t>坚持将大畈核电项目厂址作为重要的战略储备资源予以最严格的保护。落实《咸宁核电厂址保护办法》，严守厂址半径10公里应急计划区与5公里规划限制区，严格控制区内人口增长和项目开发，确保厂址完整性和适宜性。持续深化核电科普“进校园、进机关、进社区”活动，增强群众获得感和支持度。深化与黄石等周边地区协同保护机制，为项目重启创造良好条件。</w:t>
      </w:r>
    </w:p>
    <w:p w14:paraId="3F6874B8">
      <w:pPr>
        <w:bidi w:val="0"/>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布局“4+1”核电堆型。</w:t>
      </w:r>
      <w:r>
        <w:rPr>
          <w:rFonts w:hint="default" w:ascii="Times New Roman" w:hAnsi="Times New Roman" w:cs="Times New Roman"/>
          <w:b w:val="0"/>
          <w:bCs w:val="0"/>
          <w:lang w:val="en-US" w:eastAsia="zh-CN"/>
        </w:rPr>
        <w:t>把握国家“积极安全有序发展核电”政策窗口，力争“十五五”末期大畈核电实现核准突破。积极布局ACLR-100铅铋快堆等第四代先进核能系统实验堆，探索构建“4台大型动力堆+1座先进技术实验堆”的“4+1”差异化、互补式发展格局，打造内陆核电示范工程，抢占核能科技创新制高点。</w:t>
      </w:r>
    </w:p>
    <w:p w14:paraId="303FCAF2">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拓展核能综合利用。</w:t>
      </w:r>
      <w:r>
        <w:rPr>
          <w:rFonts w:hint="default" w:ascii="Times New Roman" w:hAnsi="Times New Roman" w:cs="Times New Roman"/>
          <w:b w:val="0"/>
          <w:bCs w:val="0"/>
          <w:lang w:val="en-US" w:eastAsia="zh-CN"/>
        </w:rPr>
        <w:t>发挥第四代核能系统多用途、高参数技术优势，以先进模块化小堆为主要载体，积极拓展核能综合利用场景，培育“核能+”新业态。重点推动核能供热应用，利用反应堆出口高温蒸汽或热能，为工业园区提供工业蒸汽和大规模集中清洁供暖。同步开展医用同位素生产示范，将同位素生产纳入核能反应堆重要应用场景，在保障能源供应的同时服务国家战略需求。通过多元综合利用，打造核能多用途协同开发创新基地。</w:t>
      </w:r>
    </w:p>
    <w:p w14:paraId="29AFEA7C">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13" w:name="_Toc30929"/>
      <w:bookmarkStart w:id="14" w:name="_Toc23509"/>
      <w:bookmarkStart w:id="15" w:name="_Toc9250"/>
      <w:bookmarkStart w:id="16" w:name="_Toc22052"/>
      <w:r>
        <w:rPr>
          <w:rFonts w:hint="default"/>
          <w:b/>
          <w:bCs w:val="0"/>
          <w:lang w:val="en-US" w:eastAsia="zh-CN"/>
        </w:rPr>
        <w:t>大力推动新能源发展</w:t>
      </w:r>
      <w:bookmarkEnd w:id="13"/>
      <w:bookmarkEnd w:id="14"/>
      <w:bookmarkEnd w:id="15"/>
      <w:bookmarkEnd w:id="16"/>
    </w:p>
    <w:p w14:paraId="7E5E57DA">
      <w:pPr>
        <w:ind w:firstLine="643"/>
        <w:rPr>
          <w:rFonts w:hint="default" w:ascii="Times New Roman" w:hAnsi="Times New Roman" w:eastAsia="仿宋_GB2312" w:cs="Times New Roman"/>
          <w:lang w:val="en-US" w:eastAsia="zh-CN"/>
        </w:rPr>
      </w:pPr>
      <w:r>
        <w:rPr>
          <w:rFonts w:hint="default" w:ascii="Times New Roman" w:hAnsi="Times New Roman" w:cs="Times New Roman"/>
          <w:b/>
          <w:bCs/>
        </w:rPr>
        <w:t>推动风光发电资源集约高效利用。</w:t>
      </w:r>
      <w:r>
        <w:rPr>
          <w:rFonts w:hint="default" w:ascii="Times New Roman" w:hAnsi="Times New Roman" w:cs="Times New Roman"/>
          <w:lang w:val="en-US" w:eastAsia="zh-CN"/>
        </w:rPr>
        <w:t>统筹规划全市新能源资源开发利用，依托通山大幕山抽水蓄能电站、大畈核电站等重大工程，布局一批新能源项目，着力构建风光</w:t>
      </w:r>
      <w:r>
        <w:rPr>
          <w:rFonts w:hint="eastAsia" w:ascii="Times New Roman" w:hAnsi="Times New Roman" w:cs="Times New Roman"/>
          <w:lang w:val="en-US" w:eastAsia="zh-CN"/>
        </w:rPr>
        <w:t>核</w:t>
      </w:r>
      <w:r>
        <w:rPr>
          <w:rFonts w:hint="default" w:ascii="Times New Roman" w:hAnsi="Times New Roman" w:cs="Times New Roman"/>
          <w:lang w:val="en-US" w:eastAsia="zh-CN"/>
        </w:rPr>
        <w:t>储多能互补千万千瓦级新能源大基地，打造鄂东南电力供应基地。创新推广“光伏+农业”“风电+文旅”等融合发展模式。探索新能源非电化利用路径，在具备条件的工业园区、物流园区开展新能源供热示范。积极推动新能源制氢氨醇项目发展。</w:t>
      </w:r>
    </w:p>
    <w:p w14:paraId="3066A1C9">
      <w:pPr>
        <w:ind w:firstLine="643"/>
        <w:rPr>
          <w:rFonts w:hint="default" w:ascii="Times New Roman" w:hAnsi="Times New Roman" w:cs="Times New Roman"/>
        </w:rPr>
      </w:pPr>
      <w:r>
        <w:rPr>
          <w:rFonts w:hint="default" w:ascii="Times New Roman" w:hAnsi="Times New Roman" w:cs="Times New Roman"/>
          <w:b/>
          <w:bCs/>
        </w:rPr>
        <w:t>推进分布式光伏健康有序发展。</w:t>
      </w:r>
      <w:r>
        <w:rPr>
          <w:rFonts w:hint="default" w:ascii="Times New Roman" w:hAnsi="Times New Roman" w:cs="Times New Roman"/>
        </w:rPr>
        <w:t>统筹平衡集中式与分布式光伏发展需求，综合考虑电网消纳条件和系统承载力，科学确定分布式光伏建设规模和时序。推动分布式光伏与乡村振兴、工业园区、交通、建筑、新基建深度融合，推进工商业“自发自用”分布式光伏模式，推广光伏建筑一体化（BIPV）应用。促进工商业分布式光伏公平承担系统调节责任，鼓励分布式光伏与智能微网、用户侧储能相结合的源网荷储一体化建设，推动源网荷储协同发展。</w:t>
      </w:r>
    </w:p>
    <w:p w14:paraId="7B4CD07A">
      <w:pPr>
        <w:ind w:firstLine="643"/>
        <w:rPr>
          <w:rFonts w:hint="default" w:ascii="Times New Roman" w:hAnsi="Times New Roman" w:cs="Times New Roman"/>
        </w:rPr>
      </w:pPr>
      <w:r>
        <w:rPr>
          <w:rFonts w:hint="default" w:ascii="Times New Roman" w:hAnsi="Times New Roman" w:cs="Times New Roman"/>
          <w:b/>
        </w:rPr>
        <w:t>推动生物质能循环利用。</w:t>
      </w:r>
      <w:r>
        <w:rPr>
          <w:rFonts w:hint="default" w:ascii="Times New Roman" w:hAnsi="Times New Roman" w:cs="Times New Roman"/>
        </w:rPr>
        <w:t>构建以可再生能源与传统能源协同互补、梯级利用为特征的清洁供热体系。合理布局生物质热电联产，推动有条件的生活垃圾、农林废弃物等生物质直燃发电项目向热电联产转型。在热负荷集中、条件成熟的工业园区及产业集聚区，有序布局生物质集中供热项目。加快推进中德环保二期生物质发电、凤凰工业园热电联产等重点项目建设。统筹布局生活垃圾焚烧发电与农林生物质发电，支持开展燃煤与生物质耦合发电技术改造，构建多元化、高效率的生物质能利用路径。</w:t>
      </w:r>
    </w:p>
    <w:p w14:paraId="44077B24">
      <w:pPr>
        <w:ind w:firstLine="643"/>
        <w:rPr>
          <w:rFonts w:hint="default" w:ascii="Times New Roman" w:hAnsi="Times New Roman" w:cs="Times New Roman"/>
          <w:szCs w:val="32"/>
        </w:rPr>
      </w:pPr>
      <w:r>
        <w:rPr>
          <w:rFonts w:hint="default" w:ascii="Times New Roman" w:hAnsi="Times New Roman" w:cs="Times New Roman"/>
          <w:b/>
        </w:rPr>
        <w:t>推动地热能规模化应用。</w:t>
      </w:r>
      <w:r>
        <w:rPr>
          <w:rFonts w:hint="default" w:ascii="Times New Roman" w:hAnsi="Times New Roman" w:cs="Times New Roman"/>
          <w:bCs/>
        </w:rPr>
        <w:t>实施重点区域浅层地热能资源调查评价、文旅康养区中深层地热资源勘查、嘉鱼-洪湖地区中高温地热资源勘查等，进一步查明地热资源条件和资源量，为科学有序开发利用提供支撑。</w:t>
      </w:r>
      <w:r>
        <w:rPr>
          <w:rFonts w:hint="default" w:ascii="Times New Roman" w:hAnsi="Times New Roman" w:cs="Times New Roman"/>
        </w:rPr>
        <w:t>合理发展工业余热和再生水源热泵，推动地热能建筑试点示范工程建设。适度推进浅层地热能利用由公共建筑向住宅和工业建筑延伸、由城镇向农村地区拓展。</w:t>
      </w:r>
      <w:r>
        <w:rPr>
          <w:rFonts w:hint="default" w:ascii="Times New Roman" w:hAnsi="Times New Roman" w:cs="Times New Roman"/>
          <w:szCs w:val="32"/>
        </w:rPr>
        <w:t>对于市政供热管网难以到达或敷设供热管网经济效益差的地区，探索采用地热能作为集中供热的补充热源，对同时具有冬季采暖和夏季空调制冷需求的住宅小区或公建商业用户实行集中供热（冷）。</w:t>
      </w:r>
    </w:p>
    <w:p w14:paraId="458A4180">
      <w:pPr>
        <w:ind w:firstLine="643"/>
        <w:rPr>
          <w:rFonts w:hint="default" w:ascii="Times New Roman" w:hAnsi="Times New Roman" w:cs="Times New Roman"/>
          <w:szCs w:val="32"/>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0E9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60BB270">
            <w:pPr>
              <w:widowControl/>
              <w:spacing w:line="640" w:lineRule="exact"/>
              <w:ind w:firstLine="0" w:firstLineChars="0"/>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Cs w:val="32"/>
              </w:rPr>
              <w:t>专栏</w:t>
            </w:r>
            <w:r>
              <w:rPr>
                <w:rFonts w:hint="eastAsia" w:ascii="Times New Roman" w:hAnsi="Times New Roman" w:eastAsia="黑体" w:cs="Times New Roman"/>
                <w:color w:val="000000"/>
                <w:szCs w:val="32"/>
                <w:lang w:val="en-US" w:eastAsia="zh-CN"/>
              </w:rPr>
              <w:t>3</w:t>
            </w:r>
            <w:r>
              <w:rPr>
                <w:rFonts w:hint="default" w:ascii="Times New Roman" w:hAnsi="Times New Roman" w:eastAsia="黑体" w:cs="Times New Roman"/>
                <w:color w:val="000000"/>
                <w:szCs w:val="32"/>
              </w:rPr>
              <w:t xml:space="preserve">  新能源重点工程</w:t>
            </w:r>
          </w:p>
        </w:tc>
      </w:tr>
      <w:tr w14:paraId="3520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tcBorders>
              <w:top w:val="single" w:color="auto" w:sz="4" w:space="0"/>
              <w:left w:val="single" w:color="auto" w:sz="4" w:space="0"/>
              <w:bottom w:val="single" w:color="auto" w:sz="4" w:space="0"/>
              <w:right w:val="single" w:color="auto" w:sz="4" w:space="0"/>
            </w:tcBorders>
          </w:tcPr>
          <w:p w14:paraId="727E4041">
            <w:pPr>
              <w:numPr>
                <w:ilvl w:val="0"/>
                <w:numId w:val="0"/>
              </w:numPr>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lang w:val="en-US" w:eastAsia="zh-CN"/>
              </w:rPr>
              <w:t>核电。</w:t>
            </w:r>
            <w:r>
              <w:rPr>
                <w:rFonts w:hint="default" w:ascii="Times New Roman" w:hAnsi="Times New Roman" w:eastAsia="宋体" w:cs="Times New Roman"/>
                <w:b w:val="0"/>
                <w:bCs/>
                <w:sz w:val="28"/>
                <w:szCs w:val="28"/>
                <w:lang w:val="en-US" w:eastAsia="zh-CN"/>
              </w:rPr>
              <w:t>咸宁大畈核电站，采用世界上最先进的第三代非能动核电技术路线，四台百万千瓦级压水堆核电机组。</w:t>
            </w:r>
          </w:p>
          <w:p w14:paraId="0B0C4380">
            <w:pPr>
              <w:numPr>
                <w:ilvl w:val="0"/>
                <w:numId w:val="0"/>
              </w:numPr>
              <w:rPr>
                <w:rFonts w:hint="default" w:ascii="Times New Roman" w:hAnsi="Times New Roman" w:eastAsia="宋体" w:cs="Times New Roman"/>
                <w:b w:val="0"/>
                <w:bCs/>
                <w:sz w:val="28"/>
                <w:szCs w:val="28"/>
              </w:rPr>
            </w:pPr>
            <w:r>
              <w:rPr>
                <w:rFonts w:hint="default" w:ascii="Times New Roman" w:hAnsi="Times New Roman" w:eastAsia="宋体" w:cs="Times New Roman"/>
                <w:b/>
                <w:sz w:val="28"/>
                <w:szCs w:val="28"/>
              </w:rPr>
              <w:t>风光发电</w:t>
            </w: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val="0"/>
                <w:bCs/>
                <w:sz w:val="28"/>
                <w:szCs w:val="28"/>
              </w:rPr>
              <w:t>咸安区300MW集中式</w:t>
            </w:r>
            <w:r>
              <w:rPr>
                <w:rFonts w:hint="eastAsia" w:ascii="Times New Roman" w:hAnsi="Times New Roman" w:eastAsia="宋体" w:cs="Times New Roman"/>
                <w:b w:val="0"/>
                <w:bCs/>
                <w:sz w:val="28"/>
                <w:szCs w:val="28"/>
                <w:lang w:eastAsia="zh-CN"/>
              </w:rPr>
              <w:t>风电</w:t>
            </w:r>
            <w:r>
              <w:rPr>
                <w:rFonts w:hint="default" w:ascii="Times New Roman" w:hAnsi="Times New Roman" w:eastAsia="宋体" w:cs="Times New Roman"/>
                <w:b w:val="0"/>
                <w:bCs/>
                <w:sz w:val="28"/>
                <w:szCs w:val="28"/>
              </w:rPr>
              <w:t>项目</w:t>
            </w:r>
            <w:r>
              <w:rPr>
                <w:rFonts w:hint="default" w:ascii="Times New Roman" w:hAnsi="Times New Roman" w:eastAsia="宋体" w:cs="Times New Roman"/>
                <w:b w:val="0"/>
                <w:bCs/>
                <w:sz w:val="28"/>
                <w:szCs w:val="28"/>
                <w:lang w:eastAsia="zh-CN"/>
              </w:rPr>
              <w:t>、赤壁赵李桥100MW风电项目、崇阳沙坪100MW风电项目、通山杨芳100MW风力发电项目、咸安区大幕乡150MW农光互补光伏发电项目、柳山湖100MW复合光伏发电项目、崇阳石城300MW复合光伏电站项目</w:t>
            </w:r>
            <w:r>
              <w:rPr>
                <w:rFonts w:hint="eastAsia" w:ascii="Times New Roman" w:hAnsi="Times New Roman" w:eastAsia="宋体" w:cs="Times New Roman"/>
                <w:b w:val="0"/>
                <w:bCs/>
                <w:sz w:val="28"/>
                <w:szCs w:val="28"/>
                <w:lang w:eastAsia="zh-CN"/>
              </w:rPr>
              <w:t>等</w:t>
            </w:r>
            <w:r>
              <w:rPr>
                <w:rFonts w:hint="default" w:ascii="Times New Roman" w:hAnsi="Times New Roman" w:eastAsia="宋体" w:cs="Times New Roman"/>
                <w:b w:val="0"/>
                <w:bCs/>
                <w:sz w:val="28"/>
                <w:szCs w:val="28"/>
              </w:rPr>
              <w:t>。</w:t>
            </w:r>
          </w:p>
          <w:p w14:paraId="6DC41322">
            <w:pPr>
              <w:numPr>
                <w:ilvl w:val="0"/>
                <w:numId w:val="0"/>
              </w:numPr>
              <w:rPr>
                <w:rFonts w:hint="default" w:ascii="Times New Roman" w:hAnsi="Times New Roman" w:eastAsia="宋体" w:cs="Times New Roman"/>
                <w:bCs/>
                <w:sz w:val="28"/>
                <w:szCs w:val="28"/>
              </w:rPr>
            </w:pPr>
            <w:r>
              <w:rPr>
                <w:rFonts w:hint="default" w:ascii="Times New Roman" w:hAnsi="Times New Roman" w:eastAsia="宋体" w:cs="Times New Roman"/>
                <w:b/>
                <w:bCs/>
                <w:sz w:val="28"/>
                <w:szCs w:val="28"/>
              </w:rPr>
              <w:t>多能互补一体化基地</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Cs/>
                <w:sz w:val="28"/>
                <w:szCs w:val="28"/>
              </w:rPr>
              <w:t>依托</w:t>
            </w:r>
            <w:r>
              <w:rPr>
                <w:rFonts w:hint="default" w:ascii="Times New Roman" w:hAnsi="Times New Roman" w:eastAsia="宋体" w:cs="Times New Roman"/>
                <w:bCs/>
                <w:sz w:val="28"/>
                <w:szCs w:val="28"/>
                <w:lang w:val="en-US" w:eastAsia="zh-CN"/>
              </w:rPr>
              <w:t>蒲圻</w:t>
            </w:r>
            <w:r>
              <w:rPr>
                <w:rFonts w:hint="eastAsia" w:ascii="Times New Roman" w:hAnsi="Times New Roman" w:eastAsia="宋体" w:cs="Times New Roman"/>
                <w:bCs/>
                <w:sz w:val="28"/>
                <w:szCs w:val="28"/>
                <w:lang w:val="en-US" w:eastAsia="zh-CN"/>
              </w:rPr>
              <w:t>电厂建设</w:t>
            </w:r>
            <w:r>
              <w:rPr>
                <w:rFonts w:hint="default" w:ascii="Times New Roman" w:hAnsi="Times New Roman" w:eastAsia="宋体" w:cs="Times New Roman"/>
                <w:bCs/>
                <w:sz w:val="28"/>
                <w:szCs w:val="28"/>
              </w:rPr>
              <w:t>风光火储百万千瓦新能源基地，共享输电通道，探索一体化调度，推进火电与新能源联营；以抽水蓄能和一定规模储能设施为基础，布局建设一批风光水储新能源基地；在风光资源富集地区，探索规划建设风光氢储一体化基地，谋划区域绿氢输送管道，构建区域氢能储运网络。</w:t>
            </w:r>
          </w:p>
          <w:p w14:paraId="67D59732">
            <w:pPr>
              <w:numPr>
                <w:ilvl w:val="0"/>
                <w:numId w:val="0"/>
              </w:numPr>
              <w:rPr>
                <w:rFonts w:hint="default" w:ascii="Times New Roman" w:hAnsi="Times New Roman" w:cs="Times New Roman"/>
                <w:sz w:val="28"/>
                <w:szCs w:val="28"/>
              </w:rPr>
            </w:pPr>
            <w:r>
              <w:rPr>
                <w:rFonts w:hint="default" w:ascii="Times New Roman" w:hAnsi="Times New Roman" w:eastAsia="宋体" w:cs="Times New Roman"/>
                <w:b/>
                <w:bCs/>
                <w:sz w:val="28"/>
                <w:szCs w:val="28"/>
              </w:rPr>
              <w:t>生物质</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sz w:val="28"/>
                <w:szCs w:val="28"/>
              </w:rPr>
              <w:t>咸宁市中德环保二期</w:t>
            </w:r>
            <w:r>
              <w:rPr>
                <w:rFonts w:hint="default" w:ascii="Times New Roman" w:hAnsi="Times New Roman" w:eastAsia="宋体" w:cs="Times New Roman"/>
                <w:sz w:val="28"/>
                <w:szCs w:val="28"/>
                <w:lang w:val="en-US" w:eastAsia="zh-CN"/>
              </w:rPr>
              <w:t>9MW生物质发电</w:t>
            </w:r>
            <w:r>
              <w:rPr>
                <w:rFonts w:hint="default" w:ascii="Times New Roman" w:hAnsi="Times New Roman" w:eastAsia="宋体" w:cs="Times New Roman"/>
                <w:sz w:val="28"/>
                <w:szCs w:val="28"/>
                <w:lang w:eastAsia="zh-CN"/>
              </w:rPr>
              <w:t>、咸安凤凰工业园</w:t>
            </w:r>
            <w:r>
              <w:rPr>
                <w:rFonts w:hint="default" w:ascii="Times New Roman" w:hAnsi="Times New Roman" w:eastAsia="宋体" w:cs="Times New Roman"/>
                <w:sz w:val="28"/>
                <w:szCs w:val="28"/>
                <w:lang w:val="en-US" w:eastAsia="zh-CN"/>
              </w:rPr>
              <w:t>24MW</w:t>
            </w:r>
            <w:r>
              <w:rPr>
                <w:rFonts w:hint="default" w:ascii="Times New Roman" w:hAnsi="Times New Roman" w:eastAsia="宋体" w:cs="Times New Roman"/>
                <w:sz w:val="28"/>
                <w:szCs w:val="28"/>
                <w:lang w:eastAsia="zh-CN"/>
              </w:rPr>
              <w:t>热电联产项目、蓝焰生物质热解联产联供项目、</w:t>
            </w:r>
            <w:r>
              <w:rPr>
                <w:rFonts w:hint="default" w:ascii="Times New Roman" w:hAnsi="Times New Roman" w:eastAsia="宋体" w:cs="Times New Roman"/>
                <w:sz w:val="28"/>
                <w:szCs w:val="28"/>
                <w:lang w:val="en-US" w:eastAsia="zh-CN"/>
              </w:rPr>
              <w:t>通城县园区热电联产项目</w:t>
            </w:r>
            <w:r>
              <w:rPr>
                <w:rFonts w:hint="default" w:ascii="Times New Roman" w:hAnsi="Times New Roman" w:eastAsia="宋体" w:cs="Times New Roman"/>
                <w:sz w:val="28"/>
                <w:szCs w:val="28"/>
              </w:rPr>
              <w:t>。</w:t>
            </w:r>
          </w:p>
          <w:p w14:paraId="02BBF3BC">
            <w:pPr>
              <w:numPr>
                <w:ilvl w:val="0"/>
                <w:numId w:val="0"/>
              </w:numPr>
              <w:rPr>
                <w:rFonts w:hint="default" w:ascii="Times New Roman" w:hAnsi="Times New Roman" w:cs="Times New Roman"/>
                <w:sz w:val="28"/>
                <w:szCs w:val="28"/>
              </w:rPr>
            </w:pPr>
            <w:r>
              <w:rPr>
                <w:rFonts w:hint="default" w:ascii="Times New Roman" w:hAnsi="Times New Roman" w:eastAsia="宋体" w:cs="Times New Roman"/>
                <w:b/>
                <w:bCs/>
                <w:sz w:val="28"/>
                <w:szCs w:val="28"/>
                <w:lang w:val="en-US" w:eastAsia="zh-CN"/>
              </w:rPr>
              <w:t>地热能。</w:t>
            </w:r>
            <w:r>
              <w:rPr>
                <w:rFonts w:hint="default" w:ascii="Times New Roman" w:hAnsi="Times New Roman" w:eastAsia="宋体" w:cs="Times New Roman"/>
                <w:b w:val="0"/>
                <w:bCs w:val="0"/>
                <w:sz w:val="28"/>
                <w:szCs w:val="28"/>
                <w:lang w:val="en-US" w:eastAsia="zh-CN"/>
              </w:rPr>
              <w:t>嘉鱼县石泉地热管道建设项目，从高铁岭镇地热井口铺设管道至县内文旅项目。</w:t>
            </w:r>
          </w:p>
        </w:tc>
      </w:tr>
    </w:tbl>
    <w:p w14:paraId="4B0EE5AA">
      <w:pPr>
        <w:numPr>
          <w:ilvl w:val="0"/>
          <w:numId w:val="0"/>
        </w:numPr>
        <w:bidi w:val="0"/>
        <w:ind w:leftChars="200"/>
        <w:rPr>
          <w:rFonts w:hint="default" w:ascii="Times New Roman" w:hAnsi="Times New Roman" w:cs="Times New Roman"/>
          <w:lang w:val="en-US" w:eastAsia="zh-CN"/>
        </w:rPr>
      </w:pPr>
    </w:p>
    <w:p w14:paraId="100CFD52">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17" w:name="_Toc10752"/>
      <w:bookmarkStart w:id="18" w:name="_Toc29583"/>
      <w:bookmarkStart w:id="19" w:name="_Toc14094"/>
      <w:bookmarkStart w:id="20" w:name="_Toc12581"/>
      <w:r>
        <w:rPr>
          <w:rFonts w:hint="default"/>
          <w:b/>
          <w:bCs w:val="0"/>
          <w:lang w:val="en-US" w:eastAsia="zh-CN"/>
        </w:rPr>
        <w:t>建设坚强韧性输配电网络</w:t>
      </w:r>
      <w:bookmarkEnd w:id="17"/>
      <w:bookmarkEnd w:id="18"/>
      <w:bookmarkEnd w:id="19"/>
      <w:bookmarkEnd w:id="20"/>
    </w:p>
    <w:p w14:paraId="53A46AB6">
      <w:pPr>
        <w:ind w:firstLine="643"/>
        <w:rPr>
          <w:rFonts w:hint="default" w:ascii="Times New Roman" w:hAnsi="Times New Roman" w:cs="Times New Roman"/>
          <w:b w:val="0"/>
          <w:bCs/>
          <w:highlight w:val="none"/>
          <w:lang w:val="en-US" w:eastAsia="zh-CN"/>
        </w:rPr>
      </w:pPr>
      <w:r>
        <w:rPr>
          <w:rFonts w:hint="default" w:ascii="Times New Roman" w:hAnsi="Times New Roman" w:cs="Times New Roman"/>
          <w:b/>
          <w:bCs w:val="0"/>
          <w:lang w:val="en-US" w:eastAsia="zh-CN"/>
        </w:rPr>
        <w:t>提升主网架承载能力。</w:t>
      </w:r>
      <w:r>
        <w:rPr>
          <w:rFonts w:hint="default" w:ascii="Times New Roman" w:hAnsi="Times New Roman" w:cs="Times New Roman"/>
          <w:b w:val="0"/>
          <w:bCs/>
          <w:lang w:val="en-US" w:eastAsia="zh-CN"/>
        </w:rPr>
        <w:t>扩建赤壁500千伏变电站，满足蒲圻三期和新能源外送需求，增强区域电网互联互通能力。探索在通山县建设汇集站将南三县新能源资源打捆</w:t>
      </w:r>
      <w:r>
        <w:rPr>
          <w:rFonts w:hint="eastAsia" w:ascii="Times New Roman" w:hAnsi="Times New Roman" w:cs="Times New Roman"/>
          <w:b w:val="0"/>
          <w:bCs/>
          <w:lang w:val="en-US" w:eastAsia="zh-CN"/>
        </w:rPr>
        <w:t>送出，提升资源整体利用效率</w:t>
      </w:r>
      <w:r>
        <w:rPr>
          <w:rFonts w:hint="default" w:ascii="Times New Roman" w:hAnsi="Times New Roman" w:cs="Times New Roman"/>
          <w:b w:val="0"/>
          <w:bCs/>
          <w:lang w:val="en-US" w:eastAsia="zh-CN"/>
        </w:rPr>
        <w:t>。加快升级改造电网薄弱网架，着力提升电网外送能力，建设闯王、官庄等220千伏输变电工程，加强骨干输电通道</w:t>
      </w:r>
      <w:r>
        <w:rPr>
          <w:rFonts w:hint="eastAsia" w:ascii="Times New Roman" w:hAnsi="Times New Roman" w:cs="Times New Roman"/>
          <w:b w:val="0"/>
          <w:bCs/>
          <w:lang w:val="en-US" w:eastAsia="zh-CN"/>
        </w:rPr>
        <w:t>建设，</w:t>
      </w:r>
      <w:r>
        <w:rPr>
          <w:rFonts w:hint="default" w:ascii="Times New Roman" w:hAnsi="Times New Roman" w:cs="Times New Roman"/>
          <w:b w:val="0"/>
          <w:bCs/>
          <w:lang w:val="en-US" w:eastAsia="zh-CN"/>
        </w:rPr>
        <w:t>解决局部区域输电瓶颈，全面</w:t>
      </w:r>
      <w:r>
        <w:rPr>
          <w:rFonts w:hint="eastAsia" w:ascii="Times New Roman" w:hAnsi="Times New Roman" w:cs="Times New Roman"/>
          <w:b w:val="0"/>
          <w:bCs/>
          <w:lang w:val="en-US" w:eastAsia="zh-CN"/>
        </w:rPr>
        <w:t>构建</w:t>
      </w:r>
      <w:r>
        <w:rPr>
          <w:rFonts w:hint="default" w:ascii="Times New Roman" w:hAnsi="Times New Roman" w:cs="Times New Roman"/>
          <w:b w:val="0"/>
          <w:bCs/>
          <w:lang w:val="en-US" w:eastAsia="zh-CN"/>
        </w:rPr>
        <w:t>220千伏电网</w:t>
      </w:r>
      <w:r>
        <w:rPr>
          <w:rFonts w:hint="default" w:ascii="Times New Roman" w:hAnsi="Times New Roman" w:cs="Times New Roman"/>
          <w:b w:val="0"/>
          <w:bCs/>
          <w:highlight w:val="none"/>
          <w:lang w:val="en-US" w:eastAsia="zh-CN"/>
        </w:rPr>
        <w:t>以链式为主、环网为辅的网络结构。到“十五五”末，公用变容量达到917万千伏安，电网承载能力</w:t>
      </w:r>
      <w:r>
        <w:rPr>
          <w:rFonts w:hint="eastAsia" w:ascii="Times New Roman" w:hAnsi="Times New Roman" w:cs="Times New Roman"/>
          <w:b w:val="0"/>
          <w:bCs/>
          <w:highlight w:val="none"/>
          <w:lang w:val="en-US" w:eastAsia="zh-CN"/>
        </w:rPr>
        <w:t>实现</w:t>
      </w:r>
      <w:r>
        <w:rPr>
          <w:rFonts w:hint="default" w:ascii="Times New Roman" w:hAnsi="Times New Roman" w:cs="Times New Roman"/>
          <w:b w:val="0"/>
          <w:bCs/>
          <w:highlight w:val="none"/>
          <w:lang w:val="en-US" w:eastAsia="zh-CN"/>
        </w:rPr>
        <w:t>倍增。</w:t>
      </w:r>
    </w:p>
    <w:p w14:paraId="351CC8A0">
      <w:pPr>
        <w:ind w:firstLine="643"/>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提升供电质量与可靠性。</w:t>
      </w:r>
      <w:r>
        <w:rPr>
          <w:rFonts w:hint="default" w:ascii="Times New Roman" w:hAnsi="Times New Roman" w:cs="Times New Roman"/>
          <w:b w:val="0"/>
          <w:bCs/>
          <w:lang w:val="en-US" w:eastAsia="zh-CN"/>
        </w:rPr>
        <w:t>重点加强城市中心区、新兴产业园区和乡村振兴重点区域的电网建设与改造，新建咸安渔水路、通山沙堤、嘉鱼北门等110千伏输变电工程。推进线路联络和分段合理化，</w:t>
      </w:r>
      <w:r>
        <w:rPr>
          <w:rFonts w:hint="eastAsia" w:ascii="Times New Roman" w:hAnsi="Times New Roman" w:cs="Times New Roman"/>
          <w:b w:val="0"/>
          <w:bCs/>
          <w:lang w:val="en-US" w:eastAsia="zh-CN"/>
        </w:rPr>
        <w:t>提高</w:t>
      </w:r>
      <w:r>
        <w:rPr>
          <w:rFonts w:hint="default" w:ascii="Times New Roman" w:hAnsi="Times New Roman" w:cs="Times New Roman"/>
          <w:b w:val="0"/>
          <w:bCs/>
          <w:lang w:val="en-US" w:eastAsia="zh-CN"/>
        </w:rPr>
        <w:t>负荷转供能力和供电质量。到“十五五”末，全市供电可靠性达到99.98%以上，综合电压合格率保持在99.99%以上。</w:t>
      </w:r>
    </w:p>
    <w:p w14:paraId="538F041E">
      <w:pPr>
        <w:ind w:firstLine="643"/>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构建新型配电网。</w:t>
      </w:r>
      <w:r>
        <w:rPr>
          <w:rFonts w:hint="default" w:ascii="Times New Roman" w:hAnsi="Times New Roman" w:cs="Times New Roman"/>
          <w:b w:val="0"/>
          <w:bCs/>
          <w:lang w:val="en-US" w:eastAsia="zh-CN"/>
        </w:rPr>
        <w:t>加快补齐配电网安全可靠供电和应对极端灾害能力短板，提升配电网智能化水平，满足分布式新能源和新能源汽车充电设施大规模发展需要，全面提升配电网服务保障能力。深化配电网承载能力分析，发挥电网平台资源配置功能，实现分布式新能源就地接入、就近消纳。沿幕阜山、湖区等区域，布局建设一批智能微电网、分布式能源等基础设施网络。</w:t>
      </w:r>
    </w:p>
    <w:p w14:paraId="2164821A">
      <w:pPr>
        <w:ind w:firstLine="643"/>
        <w:rPr>
          <w:rFonts w:hint="default" w:ascii="Times New Roman" w:hAnsi="Times New Roman" w:cs="Times New Roman"/>
          <w:b w:val="0"/>
          <w:bCs/>
          <w:lang w:val="en-US" w:eastAsia="zh-CN"/>
        </w:rPr>
      </w:pPr>
    </w:p>
    <w:tbl>
      <w:tblPr>
        <w:tblStyle w:val="19"/>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8516"/>
      </w:tblGrid>
      <w:tr w14:paraId="0E19C4F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14:paraId="6E4A54A5">
            <w:pPr>
              <w:widowControl/>
              <w:spacing w:line="240" w:lineRule="auto"/>
              <w:ind w:firstLine="0" w:firstLineChars="0"/>
              <w:jc w:val="center"/>
              <w:rPr>
                <w:rFonts w:hint="default" w:ascii="Times New Roman" w:hAnsi="Times New Roman" w:eastAsia="等线" w:cs="Times New Roman"/>
                <w:color w:val="000000"/>
                <w:sz w:val="28"/>
                <w:szCs w:val="28"/>
              </w:rPr>
            </w:pPr>
            <w:r>
              <w:rPr>
                <w:rFonts w:hint="default" w:ascii="Times New Roman" w:hAnsi="Times New Roman" w:eastAsia="黑体" w:cs="Times New Roman"/>
                <w:color w:val="000000"/>
                <w:szCs w:val="32"/>
              </w:rPr>
              <w:t>专栏</w:t>
            </w:r>
            <w:r>
              <w:rPr>
                <w:rFonts w:hint="eastAsia" w:ascii="Times New Roman" w:hAnsi="Times New Roman" w:eastAsia="黑体" w:cs="Times New Roman"/>
                <w:color w:val="000000"/>
                <w:szCs w:val="32"/>
                <w:lang w:val="en-US" w:eastAsia="zh-CN"/>
              </w:rPr>
              <w:t>4</w:t>
            </w:r>
            <w:r>
              <w:rPr>
                <w:rFonts w:hint="default" w:ascii="Times New Roman" w:hAnsi="Times New Roman" w:eastAsia="黑体" w:cs="Times New Roman"/>
                <w:color w:val="000000"/>
                <w:szCs w:val="32"/>
              </w:rPr>
              <w:t xml:space="preserve">  </w:t>
            </w:r>
            <w:r>
              <w:rPr>
                <w:rFonts w:hint="default" w:ascii="Times New Roman" w:hAnsi="Times New Roman" w:eastAsia="黑体" w:cs="Times New Roman"/>
                <w:color w:val="000000"/>
                <w:szCs w:val="32"/>
                <w:lang w:val="en-US" w:eastAsia="zh-CN"/>
              </w:rPr>
              <w:t>输配电网络重点工程</w:t>
            </w:r>
          </w:p>
        </w:tc>
      </w:tr>
      <w:tr w14:paraId="3E15A7D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14:paraId="245E5440">
            <w:pPr>
              <w:numPr>
                <w:ilvl w:val="0"/>
                <w:numId w:val="0"/>
              </w:numPr>
              <w:rPr>
                <w:rFonts w:hint="default" w:ascii="Times New Roman" w:hAnsi="Times New Roman" w:eastAsia="宋体" w:cs="Times New Roman"/>
                <w:b/>
                <w:bCs/>
                <w:color w:val="000000"/>
                <w:sz w:val="28"/>
                <w:szCs w:val="28"/>
              </w:rPr>
            </w:pPr>
            <w:r>
              <w:rPr>
                <w:rFonts w:hint="default" w:ascii="Times New Roman" w:hAnsi="Times New Roman" w:eastAsia="宋体" w:cs="Times New Roman"/>
                <w:b/>
                <w:bCs/>
                <w:color w:val="000000"/>
                <w:sz w:val="28"/>
                <w:szCs w:val="28"/>
                <w:lang w:val="en-US" w:eastAsia="zh-CN"/>
              </w:rPr>
              <w:t>220千伏以上主网架</w:t>
            </w:r>
            <w:r>
              <w:rPr>
                <w:rFonts w:hint="default" w:ascii="Times New Roman" w:hAnsi="Times New Roman" w:eastAsia="宋体" w:cs="Times New Roman"/>
                <w:b/>
                <w:bCs/>
                <w:color w:val="000000"/>
                <w:sz w:val="28"/>
                <w:szCs w:val="28"/>
              </w:rPr>
              <w:t>。</w:t>
            </w:r>
            <w:r>
              <w:rPr>
                <w:rFonts w:hint="default" w:ascii="Times New Roman" w:hAnsi="Times New Roman" w:eastAsia="宋体" w:cs="Times New Roman"/>
                <w:b w:val="0"/>
                <w:bCs w:val="0"/>
                <w:color w:val="000000"/>
                <w:sz w:val="28"/>
                <w:szCs w:val="28"/>
              </w:rPr>
              <w:t>赤壁500千伏</w:t>
            </w:r>
            <w:r>
              <w:rPr>
                <w:rFonts w:hint="default" w:ascii="Times New Roman" w:hAnsi="Times New Roman" w:eastAsia="宋体" w:cs="Times New Roman"/>
                <w:b w:val="0"/>
                <w:bCs w:val="0"/>
                <w:color w:val="000000"/>
                <w:sz w:val="28"/>
                <w:szCs w:val="28"/>
                <w:lang w:val="en-US" w:eastAsia="zh-CN"/>
              </w:rPr>
              <w:t>主变扩建</w:t>
            </w:r>
            <w:r>
              <w:rPr>
                <w:rFonts w:hint="default" w:ascii="Times New Roman" w:hAnsi="Times New Roman" w:eastAsia="宋体" w:cs="Times New Roman"/>
                <w:b w:val="0"/>
                <w:bCs w:val="0"/>
                <w:color w:val="000000"/>
                <w:sz w:val="28"/>
                <w:szCs w:val="28"/>
              </w:rPr>
              <w:t>工程</w:t>
            </w:r>
            <w:r>
              <w:rPr>
                <w:rFonts w:hint="default" w:ascii="Times New Roman" w:hAnsi="Times New Roman" w:eastAsia="宋体" w:cs="Times New Roman"/>
                <w:b w:val="0"/>
                <w:bCs w:val="0"/>
                <w:color w:val="000000"/>
                <w:sz w:val="28"/>
                <w:szCs w:val="28"/>
                <w:lang w:eastAsia="zh-CN"/>
              </w:rPr>
              <w:t>；</w:t>
            </w:r>
            <w:r>
              <w:rPr>
                <w:rFonts w:hint="default" w:ascii="Times New Roman" w:hAnsi="Times New Roman" w:eastAsia="宋体" w:cs="Times New Roman"/>
                <w:b w:val="0"/>
                <w:bCs w:val="0"/>
                <w:color w:val="000000"/>
                <w:sz w:val="28"/>
                <w:szCs w:val="28"/>
                <w:lang w:val="en-US" w:eastAsia="zh-CN"/>
              </w:rPr>
              <w:t>闯王、官庄、肖家洲、关刀等220千伏输变电工程。</w:t>
            </w:r>
          </w:p>
          <w:p w14:paraId="5B78A43B">
            <w:pPr>
              <w:numPr>
                <w:ilvl w:val="0"/>
                <w:numId w:val="0"/>
              </w:numPr>
              <w:rPr>
                <w:rFonts w:hint="default" w:ascii="Times New Roman" w:hAnsi="Times New Roman" w:eastAsia="宋体" w:cs="Times New Roman"/>
                <w:color w:val="000000"/>
                <w:sz w:val="28"/>
                <w:szCs w:val="28"/>
              </w:rPr>
            </w:pPr>
            <w:r>
              <w:rPr>
                <w:rFonts w:hint="default" w:ascii="Times New Roman" w:hAnsi="Times New Roman" w:eastAsia="宋体" w:cs="Times New Roman"/>
                <w:b/>
                <w:bCs/>
                <w:color w:val="000000"/>
                <w:sz w:val="28"/>
                <w:szCs w:val="28"/>
                <w:lang w:val="en-US" w:eastAsia="zh-CN"/>
              </w:rPr>
              <w:t>110千伏网架</w:t>
            </w:r>
            <w:r>
              <w:rPr>
                <w:rFonts w:hint="default" w:ascii="Times New Roman" w:hAnsi="Times New Roman" w:eastAsia="宋体" w:cs="Times New Roman"/>
                <w:b/>
                <w:bCs/>
                <w:color w:val="000000"/>
                <w:sz w:val="28"/>
                <w:szCs w:val="28"/>
              </w:rPr>
              <w:t>。</w:t>
            </w:r>
            <w:r>
              <w:rPr>
                <w:rFonts w:hint="default" w:ascii="Times New Roman" w:hAnsi="Times New Roman" w:eastAsia="宋体" w:cs="Times New Roman"/>
                <w:color w:val="000000"/>
                <w:sz w:val="28"/>
                <w:szCs w:val="28"/>
                <w:lang w:val="en-US" w:eastAsia="zh-CN"/>
              </w:rPr>
              <w:t>新建咸安渔水路、通山沙堤、嘉鱼北门、咸安滨湖、通山厦铺、崇阳华陂、通城五里、高新区彭家庄、赤壁望山、崇阳浮桥等110千伏变新建及主变扩建工程</w:t>
            </w:r>
            <w:r>
              <w:rPr>
                <w:rFonts w:hint="default" w:ascii="Times New Roman" w:hAnsi="Times New Roman" w:eastAsia="宋体" w:cs="Times New Roman"/>
                <w:color w:val="000000"/>
                <w:sz w:val="28"/>
                <w:szCs w:val="28"/>
              </w:rPr>
              <w:t>。</w:t>
            </w:r>
          </w:p>
          <w:p w14:paraId="5C2413AE">
            <w:pPr>
              <w:numPr>
                <w:ilvl w:val="0"/>
                <w:numId w:val="0"/>
              </w:numPr>
              <w:rPr>
                <w:rFonts w:hint="default" w:ascii="Times New Roman" w:hAnsi="Times New Roman" w:cs="Times New Roman"/>
                <w:color w:val="000000"/>
                <w:sz w:val="28"/>
                <w:szCs w:val="21"/>
              </w:rPr>
            </w:pPr>
            <w:r>
              <w:rPr>
                <w:rFonts w:hint="default" w:ascii="Times New Roman" w:hAnsi="Times New Roman" w:eastAsia="宋体" w:cs="Times New Roman"/>
                <w:b/>
                <w:bCs/>
                <w:color w:val="000000"/>
                <w:sz w:val="28"/>
                <w:szCs w:val="28"/>
                <w:lang w:eastAsia="zh"/>
              </w:rPr>
              <w:t>新型配电系统</w:t>
            </w:r>
            <w:r>
              <w:rPr>
                <w:rFonts w:hint="default" w:ascii="Times New Roman" w:hAnsi="Times New Roman" w:eastAsia="宋体" w:cs="Times New Roman"/>
                <w:b/>
                <w:bCs/>
                <w:color w:val="000000"/>
                <w:sz w:val="28"/>
                <w:szCs w:val="28"/>
              </w:rPr>
              <w:t>。</w:t>
            </w:r>
            <w:r>
              <w:rPr>
                <w:rFonts w:hint="default" w:ascii="Times New Roman" w:hAnsi="Times New Roman" w:eastAsia="宋体" w:cs="Times New Roman"/>
                <w:color w:val="000000"/>
                <w:sz w:val="28"/>
                <w:szCs w:val="28"/>
              </w:rPr>
              <w:t>建设安全高效、清洁低碳、柔性灵活、智慧融合的新型配电系统。</w:t>
            </w:r>
            <w:r>
              <w:rPr>
                <w:rFonts w:hint="default" w:ascii="Times New Roman" w:hAnsi="Times New Roman" w:eastAsia="宋体" w:cs="Times New Roman"/>
                <w:color w:val="000000"/>
                <w:sz w:val="28"/>
                <w:szCs w:val="28"/>
                <w:lang w:val="en-US" w:eastAsia="zh-CN"/>
              </w:rPr>
              <w:t>实施城市配电网改造工程，</w:t>
            </w:r>
            <w:r>
              <w:rPr>
                <w:rFonts w:hint="default" w:ascii="Times New Roman" w:hAnsi="Times New Roman" w:eastAsia="宋体" w:cs="Times New Roman"/>
                <w:color w:val="000000"/>
                <w:sz w:val="28"/>
                <w:szCs w:val="28"/>
              </w:rPr>
              <w:t>提升供电保障及综合承载能力，加强主动平衡型、透明化、数智化、平台化、标准化新型配电网建设，实现分布式光伏“可观、可测、可调、可控”，提升配电网就地平衡能力和主网支撑能力，适应“有源”配电网双向交互控制要求。</w:t>
            </w:r>
          </w:p>
        </w:tc>
      </w:tr>
    </w:tbl>
    <w:p w14:paraId="34E011FE">
      <w:pPr>
        <w:numPr>
          <w:ilvl w:val="0"/>
          <w:numId w:val="0"/>
        </w:numPr>
        <w:bidi w:val="0"/>
        <w:ind w:leftChars="200"/>
        <w:rPr>
          <w:rFonts w:hint="default" w:ascii="Times New Roman" w:hAnsi="Times New Roman" w:cs="Times New Roman"/>
          <w:lang w:val="en-US" w:eastAsia="zh-CN"/>
        </w:rPr>
      </w:pPr>
    </w:p>
    <w:p w14:paraId="6BEFB319">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21" w:name="_Toc13784"/>
      <w:bookmarkStart w:id="22" w:name="_Toc26315"/>
      <w:bookmarkStart w:id="23" w:name="_Toc330"/>
      <w:bookmarkStart w:id="24" w:name="_Toc7786"/>
      <w:r>
        <w:rPr>
          <w:rFonts w:hint="default"/>
          <w:b/>
          <w:bCs w:val="0"/>
          <w:lang w:val="en-US" w:eastAsia="zh-CN"/>
        </w:rPr>
        <w:t>提升电力系统灵活调节能力</w:t>
      </w:r>
      <w:bookmarkEnd w:id="21"/>
      <w:bookmarkEnd w:id="22"/>
      <w:bookmarkEnd w:id="23"/>
      <w:bookmarkEnd w:id="24"/>
    </w:p>
    <w:p w14:paraId="29C496E8">
      <w:pPr>
        <w:ind w:firstLine="643"/>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推进抽水蓄能项目建设。</w:t>
      </w:r>
      <w:r>
        <w:rPr>
          <w:rFonts w:hint="default" w:ascii="Times New Roman" w:hAnsi="Times New Roman" w:cs="Times New Roman"/>
          <w:b w:val="0"/>
          <w:bCs/>
          <w:lang w:val="en-US" w:eastAsia="zh-CN"/>
        </w:rPr>
        <w:t>加快大幕山抽水蓄能电站建设进度，探索有利于本地新能源消纳的调度运行方案，有效提升电力系统调节能力。加快推进洪港抽水蓄能电站</w:t>
      </w:r>
      <w:r>
        <w:rPr>
          <w:rFonts w:hint="eastAsia" w:ascii="Times New Roman" w:hAnsi="Times New Roman" w:cs="Times New Roman"/>
          <w:b w:val="0"/>
          <w:bCs/>
          <w:lang w:val="en-US" w:eastAsia="zh-CN"/>
        </w:rPr>
        <w:t>、</w:t>
      </w:r>
      <w:r>
        <w:rPr>
          <w:rFonts w:hint="default" w:ascii="Times New Roman" w:hAnsi="Times New Roman" w:cs="Times New Roman"/>
          <w:b w:val="0"/>
          <w:bCs/>
          <w:lang w:val="en-US" w:eastAsia="zh-CN"/>
        </w:rPr>
        <w:t>土桥抽水蓄能项目前期工作。做好平等、洪源等抽水蓄能项目场址保护。</w:t>
      </w:r>
    </w:p>
    <w:p w14:paraId="0CABA8F0">
      <w:pPr>
        <w:ind w:firstLine="643"/>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因地制宜发展新型储能。</w:t>
      </w:r>
      <w:r>
        <w:rPr>
          <w:rFonts w:hint="default" w:ascii="Times New Roman" w:hAnsi="Times New Roman" w:cs="Times New Roman"/>
          <w:b w:val="0"/>
          <w:bCs/>
          <w:lang w:val="en-US" w:eastAsia="zh-CN"/>
        </w:rPr>
        <w:t>推进电源侧储能配置，支持新能源与储能联合调用，建设系统友好型新能源电站，提升电站可靠出力水平和调节能力。优化电网侧储能布局，在南三县新能源富集区、外送卡口段以及负荷集中、供电压力大的区域建设独立储能电站。鼓励用户侧储能多元发展，提升电力安全保障水平和系统综合效率。到2030年，新型储能装机规模达到50万千瓦</w:t>
      </w:r>
      <w:r>
        <w:rPr>
          <w:rFonts w:hint="eastAsia" w:ascii="Times New Roman" w:hAnsi="Times New Roman" w:cs="Times New Roman"/>
          <w:b w:val="0"/>
          <w:bCs/>
          <w:lang w:val="en-US" w:eastAsia="zh-CN"/>
        </w:rPr>
        <w:t>。</w:t>
      </w:r>
    </w:p>
    <w:p w14:paraId="17713124">
      <w:pPr>
        <w:ind w:firstLine="643"/>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持续</w:t>
      </w:r>
      <w:r>
        <w:rPr>
          <w:rFonts w:hint="eastAsia" w:ascii="Times New Roman" w:hAnsi="Times New Roman" w:cs="Times New Roman"/>
          <w:b/>
          <w:bCs w:val="0"/>
          <w:lang w:val="en-US" w:eastAsia="zh-CN"/>
        </w:rPr>
        <w:t>提升需求侧响应</w:t>
      </w:r>
      <w:r>
        <w:rPr>
          <w:rFonts w:hint="default" w:ascii="Times New Roman" w:hAnsi="Times New Roman" w:cs="Times New Roman"/>
          <w:b/>
          <w:bCs w:val="0"/>
          <w:lang w:val="en-US" w:eastAsia="zh-CN"/>
        </w:rPr>
        <w:t>能力。</w:t>
      </w:r>
      <w:r>
        <w:rPr>
          <w:rFonts w:hint="default" w:ascii="Times New Roman" w:hAnsi="Times New Roman" w:cs="Times New Roman"/>
          <w:b w:val="0"/>
          <w:bCs/>
          <w:lang w:val="en-US" w:eastAsia="zh-CN"/>
        </w:rPr>
        <w:t>支持可调节工业负荷、大型空调负荷、新能源汽车充换电负荷等柔性负荷主动参与需求侧响应。建立常态化可调节资源排查机制，持续扩大负荷侧灵活性调节资源库，增强需求侧响应能力。鼓励各类社会资本通过企企合作、政企合作等方式，聚合分布式电源、可调节负荷、储能等分散资源，投资建设虚拟电厂。</w:t>
      </w:r>
      <w:r>
        <w:rPr>
          <w:rFonts w:hint="eastAsia" w:ascii="Times New Roman" w:hAnsi="Times New Roman" w:cs="Times New Roman"/>
          <w:b w:val="0"/>
          <w:bCs/>
          <w:lang w:val="en-US" w:eastAsia="zh-CN"/>
        </w:rPr>
        <w:t>到2030年，需求侧响应能力提升至8%。</w:t>
      </w:r>
    </w:p>
    <w:p w14:paraId="41947215">
      <w:pPr>
        <w:ind w:firstLine="643"/>
        <w:rPr>
          <w:rFonts w:hint="default" w:ascii="Times New Roman" w:hAnsi="Times New Roman" w:cs="Times New Roman"/>
          <w:b w:val="0"/>
          <w:bCs/>
          <w:lang w:val="en-US" w:eastAsia="zh-CN"/>
        </w:rPr>
      </w:pPr>
    </w:p>
    <w:tbl>
      <w:tblPr>
        <w:tblStyle w:val="19"/>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8516"/>
      </w:tblGrid>
      <w:tr w14:paraId="5B9D83B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14:paraId="5C5F385E">
            <w:pPr>
              <w:widowControl/>
              <w:spacing w:line="240" w:lineRule="auto"/>
              <w:ind w:firstLine="0" w:firstLineChars="0"/>
              <w:jc w:val="center"/>
              <w:rPr>
                <w:rFonts w:hint="default" w:ascii="Times New Roman" w:hAnsi="Times New Roman" w:eastAsia="等线" w:cs="Times New Roman"/>
                <w:color w:val="000000"/>
                <w:sz w:val="28"/>
                <w:szCs w:val="28"/>
              </w:rPr>
            </w:pPr>
            <w:r>
              <w:rPr>
                <w:rFonts w:hint="default" w:ascii="Times New Roman" w:hAnsi="Times New Roman" w:eastAsia="黑体" w:cs="Times New Roman"/>
                <w:color w:val="000000"/>
                <w:szCs w:val="32"/>
              </w:rPr>
              <w:t>专栏</w:t>
            </w:r>
            <w:r>
              <w:rPr>
                <w:rFonts w:hint="eastAsia" w:ascii="Times New Roman" w:hAnsi="Times New Roman" w:eastAsia="黑体" w:cs="Times New Roman"/>
                <w:color w:val="000000"/>
                <w:szCs w:val="32"/>
                <w:lang w:val="en-US" w:eastAsia="zh-CN"/>
              </w:rPr>
              <w:t>5</w:t>
            </w:r>
            <w:r>
              <w:rPr>
                <w:rFonts w:hint="default" w:ascii="Times New Roman" w:hAnsi="Times New Roman" w:eastAsia="黑体" w:cs="Times New Roman"/>
                <w:color w:val="000000"/>
                <w:szCs w:val="32"/>
              </w:rPr>
              <w:t xml:space="preserve"> </w:t>
            </w:r>
            <w:r>
              <w:rPr>
                <w:rFonts w:hint="default" w:ascii="Times New Roman" w:hAnsi="Times New Roman" w:eastAsia="黑体" w:cs="Times New Roman"/>
                <w:color w:val="000000"/>
                <w:szCs w:val="32"/>
                <w:lang w:val="en-US" w:eastAsia="zh-CN"/>
              </w:rPr>
              <w:t>调节能力提升</w:t>
            </w:r>
            <w:r>
              <w:rPr>
                <w:rFonts w:hint="default" w:ascii="Times New Roman" w:hAnsi="Times New Roman" w:eastAsia="黑体" w:cs="Times New Roman"/>
                <w:color w:val="000000"/>
                <w:szCs w:val="32"/>
              </w:rPr>
              <w:t>重点工程</w:t>
            </w:r>
          </w:p>
        </w:tc>
      </w:tr>
      <w:tr w14:paraId="066B798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14:paraId="2488A1DB">
            <w:pPr>
              <w:numPr>
                <w:ilvl w:val="0"/>
                <w:numId w:val="0"/>
              </w:numPr>
              <w:rPr>
                <w:rFonts w:hint="default" w:ascii="Times New Roman" w:hAnsi="Times New Roman" w:cs="Times New Roman"/>
                <w:color w:val="000000"/>
                <w:sz w:val="28"/>
                <w:szCs w:val="21"/>
              </w:rPr>
            </w:pPr>
            <w:r>
              <w:rPr>
                <w:rFonts w:hint="default" w:ascii="Times New Roman" w:hAnsi="Times New Roman" w:eastAsia="宋体" w:cs="Times New Roman"/>
                <w:b/>
                <w:bCs/>
                <w:color w:val="000000"/>
                <w:sz w:val="28"/>
                <w:szCs w:val="28"/>
                <w:lang w:val="en-US" w:eastAsia="zh-CN"/>
              </w:rPr>
              <w:t>抽水蓄能</w:t>
            </w:r>
            <w:r>
              <w:rPr>
                <w:rFonts w:hint="default" w:ascii="Times New Roman" w:hAnsi="Times New Roman" w:eastAsia="宋体" w:cs="Times New Roman"/>
                <w:b/>
                <w:bCs/>
                <w:color w:val="000000"/>
                <w:sz w:val="28"/>
                <w:szCs w:val="28"/>
              </w:rPr>
              <w:t>。</w:t>
            </w:r>
            <w:r>
              <w:rPr>
                <w:rFonts w:hint="default" w:ascii="Times New Roman" w:hAnsi="Times New Roman" w:eastAsia="宋体" w:cs="Times New Roman"/>
                <w:b w:val="0"/>
                <w:bCs w:val="0"/>
                <w:color w:val="000000"/>
                <w:sz w:val="28"/>
                <w:szCs w:val="28"/>
              </w:rPr>
              <w:t>通山（大幕山）抽水蓄能</w:t>
            </w:r>
            <w:r>
              <w:rPr>
                <w:rFonts w:hint="default" w:ascii="Times New Roman" w:hAnsi="Times New Roman" w:eastAsia="宋体" w:cs="Times New Roman"/>
                <w:b w:val="0"/>
                <w:bCs w:val="0"/>
                <w:color w:val="000000"/>
                <w:sz w:val="28"/>
                <w:szCs w:val="28"/>
                <w:lang w:val="en-US" w:eastAsia="zh-CN"/>
              </w:rPr>
              <w:t>电站、通山洪港抽水蓄能电站、土桥抽水蓄能电站项目、通城平等抽水蓄能电站、洪源抽水蓄能电站。</w:t>
            </w:r>
          </w:p>
          <w:p w14:paraId="32E7FB21">
            <w:pPr>
              <w:numPr>
                <w:ilvl w:val="0"/>
                <w:numId w:val="0"/>
              </w:numPr>
              <w:rPr>
                <w:rFonts w:hint="default" w:ascii="Times New Roman" w:hAnsi="Times New Roman" w:cs="Times New Roman"/>
                <w:color w:val="000000"/>
                <w:sz w:val="28"/>
                <w:szCs w:val="21"/>
              </w:rPr>
            </w:pPr>
            <w:r>
              <w:rPr>
                <w:rFonts w:hint="default" w:ascii="Times New Roman" w:hAnsi="Times New Roman" w:eastAsia="宋体" w:cs="Times New Roman"/>
                <w:b/>
                <w:bCs/>
                <w:color w:val="000000"/>
                <w:sz w:val="28"/>
                <w:szCs w:val="28"/>
                <w:lang w:val="en-US" w:eastAsia="zh-CN"/>
              </w:rPr>
              <w:t>新型储能。</w:t>
            </w:r>
            <w:r>
              <w:rPr>
                <w:rFonts w:hint="default" w:ascii="Times New Roman" w:hAnsi="Times New Roman" w:eastAsia="宋体" w:cs="Times New Roman"/>
                <w:b w:val="0"/>
                <w:bCs w:val="0"/>
                <w:color w:val="000000"/>
                <w:sz w:val="28"/>
                <w:szCs w:val="28"/>
                <w:lang w:val="en-US" w:eastAsia="zh-CN"/>
              </w:rPr>
              <w:t>凤凰工业园50MW/200MWh独立储能项目、咸安区100MW/200MWh独立储能电站、崇阳县14MW/28MWh集中式储能电站等</w:t>
            </w:r>
            <w:r>
              <w:rPr>
                <w:rFonts w:hint="default" w:ascii="Times New Roman" w:hAnsi="Times New Roman" w:eastAsia="宋体" w:cs="Times New Roman"/>
                <w:b w:val="0"/>
                <w:bCs w:val="0"/>
                <w:color w:val="000000"/>
                <w:sz w:val="28"/>
                <w:szCs w:val="28"/>
              </w:rPr>
              <w:t>。</w:t>
            </w:r>
          </w:p>
        </w:tc>
      </w:tr>
    </w:tbl>
    <w:p w14:paraId="286F4B42">
      <w:pPr>
        <w:bidi w:val="0"/>
        <w:rPr>
          <w:rFonts w:hint="default" w:ascii="Times New Roman" w:hAnsi="Times New Roman" w:cs="Times New Roman"/>
          <w:lang w:val="en-US" w:eastAsia="zh-CN"/>
        </w:rPr>
      </w:pPr>
    </w:p>
    <w:p w14:paraId="3278F0D0">
      <w:pPr>
        <w:pStyle w:val="2"/>
        <w:bidi w:val="0"/>
        <w:jc w:val="center"/>
        <w:rPr>
          <w:rFonts w:hint="default"/>
          <w:lang w:val="en-US" w:eastAsia="zh-CN"/>
        </w:rPr>
      </w:pPr>
      <w:bookmarkStart w:id="25" w:name="_Toc10361"/>
      <w:r>
        <w:rPr>
          <w:rFonts w:hint="default"/>
          <w:lang w:val="en-US" w:eastAsia="zh-CN"/>
        </w:rPr>
        <w:t>强化化石能源兜底保障</w:t>
      </w:r>
      <w:bookmarkEnd w:id="25"/>
    </w:p>
    <w:p w14:paraId="5080ED27">
      <w:pPr>
        <w:rPr>
          <w:rFonts w:hint="default"/>
          <w:lang w:val="en-US" w:eastAsia="zh-CN"/>
        </w:rPr>
      </w:pPr>
    </w:p>
    <w:p w14:paraId="4DCEAAE8">
      <w:pPr>
        <w:rPr>
          <w:rFonts w:hint="default"/>
          <w:lang w:val="en-US" w:eastAsia="zh-CN"/>
        </w:rPr>
      </w:pPr>
      <w:r>
        <w:rPr>
          <w:rFonts w:hint="default"/>
          <w:lang w:val="en-US" w:eastAsia="zh-CN"/>
        </w:rPr>
        <w:t>立足能源安全底线，充分发挥化石能源兜底保障作用，着力稳定供应源头、完善储备体系，推动传统能源清洁高效利用，确保能源安全平稳过渡。</w:t>
      </w:r>
    </w:p>
    <w:p w14:paraId="4D6281F2">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26" w:name="_Toc3104"/>
      <w:bookmarkStart w:id="27" w:name="_Toc5843"/>
      <w:bookmarkStart w:id="28" w:name="_Toc18100"/>
      <w:bookmarkStart w:id="29" w:name="_Toc8250"/>
      <w:bookmarkStart w:id="30" w:name="_Toc29908"/>
      <w:bookmarkStart w:id="31" w:name="_Toc201246033"/>
      <w:bookmarkStart w:id="32" w:name="_Toc201251240"/>
      <w:r>
        <w:rPr>
          <w:rFonts w:hint="default"/>
          <w:b/>
          <w:bCs w:val="0"/>
          <w:lang w:val="en-US" w:eastAsia="zh-CN"/>
        </w:rPr>
        <w:t>强化传统能源供应链</w:t>
      </w:r>
      <w:bookmarkEnd w:id="26"/>
      <w:bookmarkEnd w:id="27"/>
      <w:bookmarkEnd w:id="28"/>
      <w:bookmarkEnd w:id="29"/>
      <w:bookmarkEnd w:id="30"/>
      <w:bookmarkEnd w:id="31"/>
      <w:bookmarkEnd w:id="32"/>
    </w:p>
    <w:p w14:paraId="7A1AE73A">
      <w:pPr>
        <w:rPr>
          <w:rFonts w:hint="default" w:ascii="Times New Roman" w:hAnsi="Times New Roman" w:cs="Times New Roman"/>
          <w:lang w:val="en-US" w:eastAsia="zh-CN"/>
        </w:rPr>
      </w:pPr>
      <w:r>
        <w:rPr>
          <w:rFonts w:hint="default" w:ascii="Times New Roman" w:hAnsi="Times New Roman" w:cs="Times New Roman"/>
          <w:b/>
          <w:bCs/>
          <w:lang w:val="en-US" w:eastAsia="zh-CN"/>
        </w:rPr>
        <w:t>积极发展新一代煤电。</w:t>
      </w:r>
      <w:r>
        <w:rPr>
          <w:rFonts w:hint="default" w:ascii="Times New Roman" w:hAnsi="Times New Roman" w:cs="Times New Roman"/>
          <w:b w:val="0"/>
          <w:bCs w:val="0"/>
          <w:lang w:val="en-US" w:eastAsia="zh-CN"/>
        </w:rPr>
        <w:t>围绕清洁降碳、安全可靠、高效调节、智能运行</w:t>
      </w:r>
      <w:r>
        <w:rPr>
          <w:rFonts w:hint="eastAsia" w:ascii="Times New Roman" w:hAnsi="Times New Roman" w:cs="Times New Roman"/>
          <w:b w:val="0"/>
          <w:bCs w:val="0"/>
          <w:lang w:val="en-US" w:eastAsia="zh-CN"/>
        </w:rPr>
        <w:t>推进煤电转型升级。重点提升煤电机</w:t>
      </w:r>
      <w:r>
        <w:rPr>
          <w:rFonts w:hint="eastAsia" w:ascii="Times New Roman" w:hAnsi="Times New Roman" w:cs="Times New Roman"/>
          <w:lang w:val="en-US" w:eastAsia="zh-CN"/>
        </w:rPr>
        <w:t>组</w:t>
      </w:r>
      <w:r>
        <w:rPr>
          <w:rFonts w:hint="default" w:ascii="Times New Roman" w:hAnsi="Times New Roman" w:cs="Times New Roman"/>
          <w:lang w:val="en-US" w:eastAsia="zh-CN"/>
        </w:rPr>
        <w:t>快速变负荷能力</w:t>
      </w:r>
      <w:r>
        <w:rPr>
          <w:rFonts w:hint="eastAsia" w:ascii="Times New Roman" w:hAnsi="Times New Roman" w:cs="Times New Roman"/>
          <w:lang w:val="en-US" w:eastAsia="zh-CN"/>
        </w:rPr>
        <w:t>及深度调峰能力，有序开展低碳化改造建设，推广零碳低碳燃料掺烧、碳捕集利用与封存、煤电与新能源耦合等新技术，降低度电碳排放水平</w:t>
      </w:r>
      <w:r>
        <w:rPr>
          <w:rFonts w:hint="default" w:ascii="Times New Roman" w:hAnsi="Times New Roman" w:cs="Times New Roman"/>
          <w:lang w:val="en-US" w:eastAsia="zh-CN"/>
        </w:rPr>
        <w:t>，全面提升现役煤电机组清洁低碳水平和高效运行能力</w:t>
      </w:r>
      <w:r>
        <w:rPr>
          <w:rFonts w:hint="eastAsia" w:ascii="Times New Roman" w:hAnsi="Times New Roman" w:cs="Times New Roman"/>
          <w:lang w:val="en-US" w:eastAsia="zh-CN"/>
        </w:rPr>
        <w:t>。</w:t>
      </w:r>
    </w:p>
    <w:p w14:paraId="44DB1940">
      <w:pPr>
        <w:ind w:firstLine="643"/>
        <w:rPr>
          <w:rFonts w:hint="default" w:ascii="Times New Roman" w:hAnsi="Times New Roman" w:cs="Times New Roman"/>
          <w:b/>
        </w:rPr>
      </w:pPr>
      <w:r>
        <w:rPr>
          <w:rFonts w:hint="default" w:ascii="Times New Roman" w:hAnsi="Times New Roman" w:cs="Times New Roman"/>
          <w:b/>
        </w:rPr>
        <w:t>保障煤炭多元稳定供应。</w:t>
      </w:r>
      <w:r>
        <w:rPr>
          <w:rFonts w:hint="default" w:ascii="Times New Roman" w:hAnsi="Times New Roman" w:cs="Times New Roman"/>
          <w:b w:val="0"/>
          <w:bCs/>
        </w:rPr>
        <w:t>鼓励</w:t>
      </w:r>
      <w:r>
        <w:rPr>
          <w:rFonts w:hint="eastAsia" w:ascii="Times New Roman" w:hAnsi="Times New Roman" w:cs="Times New Roman"/>
          <w:b w:val="0"/>
          <w:bCs/>
          <w:lang w:val="en-US" w:eastAsia="zh-CN"/>
        </w:rPr>
        <w:t>蒲圻</w:t>
      </w:r>
      <w:r>
        <w:rPr>
          <w:rFonts w:hint="default" w:ascii="Times New Roman" w:hAnsi="Times New Roman" w:cs="Times New Roman"/>
          <w:b w:val="0"/>
          <w:bCs/>
        </w:rPr>
        <w:t>电厂与陕蒙晋等煤炭主产区大型煤企建立长期战略合作关系，实行煤电联营，中长期合同履约率不低于90%。支持燃煤电厂等用煤企业推进现有储煤场地扩容改造，推动重点用煤企业建立不低于20天消费量的煤炭储备能力，加快智能化煤场建设，实现储运全流程可视化监控。鼓励有条件的企业积极参与社会责任储备，持续夯实煤炭供应保障基础</w:t>
      </w:r>
      <w:r>
        <w:rPr>
          <w:rFonts w:hint="default" w:ascii="Times New Roman" w:hAnsi="Times New Roman" w:cs="Times New Roman"/>
          <w:b w:val="0"/>
          <w:bCs/>
          <w:lang w:val="en-US" w:eastAsia="zh-CN"/>
        </w:rPr>
        <w:t>。</w:t>
      </w:r>
    </w:p>
    <w:p w14:paraId="6C149A67">
      <w:pPr>
        <w:ind w:firstLine="643"/>
        <w:rPr>
          <w:rFonts w:hint="default" w:ascii="Times New Roman" w:hAnsi="Times New Roman" w:cs="Times New Roman"/>
          <w:b w:val="0"/>
          <w:bCs/>
          <w:lang w:val="en-US"/>
        </w:rPr>
      </w:pPr>
      <w:r>
        <w:rPr>
          <w:rFonts w:hint="default" w:ascii="Times New Roman" w:hAnsi="Times New Roman" w:cs="Times New Roman"/>
          <w:b/>
        </w:rPr>
        <w:t>推进燃气管网升级改造。</w:t>
      </w:r>
      <w:r>
        <w:rPr>
          <w:rFonts w:hint="default" w:ascii="Times New Roman" w:hAnsi="Times New Roman" w:cs="Times New Roman"/>
          <w:b w:val="0"/>
          <w:bCs/>
        </w:rPr>
        <w:t>全面建成咸宁南三县输气管道，实现通城、崇阳、通山管道天然气全覆盖</w:t>
      </w: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力争到2030年，管道燃气普及率提升至80%。</w:t>
      </w:r>
      <w:r>
        <w:rPr>
          <w:rFonts w:hint="default" w:ascii="Times New Roman" w:hAnsi="Times New Roman" w:cs="Times New Roman"/>
          <w:b w:val="0"/>
          <w:bCs/>
        </w:rPr>
        <w:t>加速推进城市燃气管网智能化改造，在嘉鱼、赤壁等重点工业园区加装压力、流量、泄漏监测传感器，建设“智慧燃气监管平台”，实现管网泄漏自动预警与应急联动响应。积极争取中央预算内资金和超长期特别国债支持，对运行年限超过30年或评估不合格的管网实施滚动更新。</w:t>
      </w:r>
      <w:r>
        <w:rPr>
          <w:rFonts w:hint="eastAsia" w:ascii="Times New Roman" w:hAnsi="Times New Roman" w:cs="Times New Roman"/>
          <w:b w:val="0"/>
          <w:bCs/>
          <w:lang w:val="en-US" w:eastAsia="zh-CN"/>
        </w:rPr>
        <w:t>推进仪长原油、兰郑长成品油及武赤天然气等管道搬迁改造工程，积极融入国家“六网”基础设施布局，提升区域管网整体安全水平，降低环境风险。</w:t>
      </w:r>
    </w:p>
    <w:p w14:paraId="30FFBF25">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33" w:name="_Toc20643"/>
      <w:bookmarkStart w:id="34" w:name="_Toc4893"/>
      <w:bookmarkStart w:id="35" w:name="_Toc7905"/>
      <w:bookmarkStart w:id="36" w:name="_Toc2004"/>
      <w:r>
        <w:rPr>
          <w:rFonts w:hint="default"/>
          <w:b/>
          <w:bCs w:val="0"/>
          <w:lang w:val="en-US" w:eastAsia="zh-CN"/>
        </w:rPr>
        <w:t>保障化石能源储备能力</w:t>
      </w:r>
      <w:bookmarkEnd w:id="33"/>
      <w:bookmarkEnd w:id="34"/>
      <w:bookmarkEnd w:id="35"/>
      <w:bookmarkEnd w:id="36"/>
    </w:p>
    <w:p w14:paraId="2BC6048A">
      <w:pPr>
        <w:ind w:firstLine="643"/>
        <w:rPr>
          <w:rFonts w:hint="default" w:ascii="Times New Roman" w:hAnsi="Times New Roman" w:cs="Times New Roman"/>
        </w:rPr>
      </w:pPr>
      <w:r>
        <w:rPr>
          <w:rFonts w:hint="default" w:ascii="Times New Roman" w:hAnsi="Times New Roman" w:cs="Times New Roman"/>
          <w:b/>
          <w:bCs/>
        </w:rPr>
        <w:t>健全天然气储用联动调峰机制。</w:t>
      </w:r>
      <w:r>
        <w:rPr>
          <w:rFonts w:hint="default" w:ascii="Times New Roman" w:hAnsi="Times New Roman" w:cs="Times New Roman"/>
        </w:rPr>
        <w:t>构建“城燃企业自储、区域集中储备、跨区应急调配”三级储气体系，支持用气需求快速增长区域建设储气库。推动城燃企业落实不低于年用气量5%的储气能力，鼓励工业用户建设自备储气设施。建立燃气应急调度平台，实现储气设施与管网、用户智能联动，提升极端天气等场景下的应急保供能力</w:t>
      </w:r>
      <w:r>
        <w:rPr>
          <w:rFonts w:hint="default" w:ascii="Times New Roman" w:hAnsi="Times New Roman" w:cs="Times New Roman"/>
          <w:lang w:val="en-US" w:eastAsia="zh-CN"/>
        </w:rPr>
        <w:t>。</w:t>
      </w:r>
    </w:p>
    <w:p w14:paraId="276F0AC7">
      <w:pPr>
        <w:ind w:firstLine="643"/>
        <w:rPr>
          <w:rFonts w:hint="default" w:ascii="Times New Roman" w:hAnsi="Times New Roman" w:cs="Times New Roman"/>
          <w:lang w:val="en-US" w:eastAsia="zh-CN"/>
        </w:rPr>
      </w:pPr>
      <w:r>
        <w:rPr>
          <w:rFonts w:hint="default" w:ascii="Times New Roman" w:hAnsi="Times New Roman" w:cs="Times New Roman"/>
          <w:b/>
          <w:bCs/>
        </w:rPr>
        <w:t>强化油品安全储备与高效输配。</w:t>
      </w:r>
      <w:r>
        <w:rPr>
          <w:rFonts w:hint="default" w:ascii="Times New Roman" w:hAnsi="Times New Roman" w:cs="Times New Roman"/>
        </w:rPr>
        <w:t>加大成品油资源筹措协调力度，确保</w:t>
      </w:r>
      <w:r>
        <w:rPr>
          <w:rFonts w:hint="eastAsia" w:ascii="Times New Roman" w:hAnsi="Times New Roman" w:cs="Times New Roman"/>
          <w:lang w:val="en-US" w:eastAsia="zh-CN"/>
        </w:rPr>
        <w:t>全市成品油</w:t>
      </w:r>
      <w:r>
        <w:rPr>
          <w:rFonts w:hint="default" w:ascii="Times New Roman" w:hAnsi="Times New Roman" w:cs="Times New Roman"/>
        </w:rPr>
        <w:t>满足不低于日均消费量15天的储备要求。优化加油站布局，在交通干线、农村地区按需新增站点，推动加油站向“综合能源站”转型，集成加油、充电、换电等多重功能。开展加油站智能化升级，推广应用油罐渗漏在线监测、AI视频监控等技术，全面提升安全运行水平。推进输油管道互联互通，增强区域油品调配灵活性</w:t>
      </w:r>
      <w:r>
        <w:rPr>
          <w:rFonts w:hint="default" w:ascii="Times New Roman" w:hAnsi="Times New Roman" w:cs="Times New Roman"/>
          <w:lang w:val="en-US" w:eastAsia="zh-CN"/>
        </w:rPr>
        <w:t>。</w:t>
      </w:r>
    </w:p>
    <w:p w14:paraId="5D42821C">
      <w:pPr>
        <w:ind w:firstLine="643"/>
        <w:rPr>
          <w:rFonts w:hint="default" w:ascii="Times New Roman" w:hAnsi="Times New Roman" w:cs="Times New Roman"/>
          <w:lang w:val="en-US"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26B1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32802A6">
            <w:pPr>
              <w:autoSpaceDE w:val="0"/>
              <w:ind w:firstLine="0" w:firstLineChars="0"/>
              <w:jc w:val="center"/>
              <w:rPr>
                <w:rFonts w:hint="default" w:ascii="Times New Roman" w:hAnsi="Times New Roman" w:eastAsia="黑体" w:cs="Times New Roman"/>
                <w:color w:val="000000"/>
                <w:sz w:val="36"/>
                <w:szCs w:val="36"/>
              </w:rPr>
            </w:pPr>
            <w:r>
              <w:rPr>
                <w:rFonts w:hint="default" w:ascii="Times New Roman" w:hAnsi="Times New Roman" w:cs="Times New Roman"/>
                <w:color w:val="000000"/>
                <w:lang w:eastAsia="zh"/>
              </w:rPr>
              <w:br w:type="page"/>
            </w:r>
            <w:r>
              <w:rPr>
                <w:rFonts w:hint="default" w:ascii="Times New Roman" w:hAnsi="Times New Roman" w:eastAsia="黑体" w:cs="Times New Roman"/>
                <w:color w:val="000000"/>
                <w:szCs w:val="32"/>
              </w:rPr>
              <w:t>专栏</w:t>
            </w:r>
            <w:r>
              <w:rPr>
                <w:rFonts w:hint="eastAsia" w:ascii="Times New Roman" w:hAnsi="Times New Roman" w:eastAsia="黑体" w:cs="Times New Roman"/>
                <w:color w:val="000000"/>
                <w:szCs w:val="32"/>
                <w:lang w:val="en-US" w:eastAsia="zh-CN"/>
              </w:rPr>
              <w:t>6</w:t>
            </w:r>
            <w:r>
              <w:rPr>
                <w:rFonts w:hint="default" w:ascii="Times New Roman" w:hAnsi="Times New Roman" w:eastAsia="黑体" w:cs="Times New Roman"/>
                <w:color w:val="000000"/>
                <w:szCs w:val="32"/>
              </w:rPr>
              <w:t xml:space="preserve">  </w:t>
            </w:r>
            <w:r>
              <w:rPr>
                <w:rFonts w:hint="default" w:ascii="Times New Roman" w:hAnsi="Times New Roman" w:eastAsia="黑体" w:cs="Times New Roman"/>
                <w:color w:val="000000"/>
                <w:szCs w:val="32"/>
                <w:lang w:eastAsia="zh"/>
              </w:rPr>
              <w:t>能源供应链强化</w:t>
            </w:r>
            <w:r>
              <w:rPr>
                <w:rFonts w:hint="default" w:ascii="Times New Roman" w:hAnsi="Times New Roman" w:eastAsia="黑体" w:cs="Times New Roman"/>
                <w:color w:val="000000"/>
                <w:szCs w:val="32"/>
              </w:rPr>
              <w:t>工程</w:t>
            </w:r>
          </w:p>
        </w:tc>
      </w:tr>
      <w:tr w14:paraId="31DC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tcBorders>
              <w:top w:val="single" w:color="auto" w:sz="4" w:space="0"/>
              <w:left w:val="single" w:color="auto" w:sz="4" w:space="0"/>
              <w:bottom w:val="single" w:color="auto" w:sz="4" w:space="0"/>
              <w:right w:val="single" w:color="auto" w:sz="4" w:space="0"/>
            </w:tcBorders>
          </w:tcPr>
          <w:p w14:paraId="220BFC01">
            <w:pPr>
              <w:numPr>
                <w:ilvl w:val="0"/>
                <w:numId w:val="0"/>
              </w:numPr>
              <w:rPr>
                <w:rFonts w:hint="default" w:ascii="Times New Roman" w:hAnsi="Times New Roman" w:eastAsia="宋体" w:cs="Times New Roman"/>
                <w:color w:val="000000"/>
                <w:sz w:val="28"/>
                <w:szCs w:val="28"/>
              </w:rPr>
            </w:pPr>
            <w:r>
              <w:rPr>
                <w:rFonts w:hint="default" w:ascii="Times New Roman" w:hAnsi="Times New Roman" w:eastAsia="宋体" w:cs="Times New Roman"/>
                <w:b/>
                <w:bCs/>
                <w:color w:val="000000"/>
                <w:sz w:val="28"/>
                <w:szCs w:val="28"/>
                <w:lang w:eastAsia="zh"/>
              </w:rPr>
              <w:t>天然气管网重点工程</w:t>
            </w:r>
            <w:r>
              <w:rPr>
                <w:rFonts w:hint="default" w:ascii="Times New Roman" w:hAnsi="Times New Roman" w:eastAsia="宋体" w:cs="Times New Roman"/>
                <w:b/>
                <w:bCs/>
                <w:color w:val="000000"/>
                <w:sz w:val="28"/>
                <w:szCs w:val="28"/>
                <w:lang w:eastAsia="zh-CN"/>
              </w:rPr>
              <w:t>。</w:t>
            </w:r>
            <w:r>
              <w:rPr>
                <w:rFonts w:hint="default" w:ascii="Times New Roman" w:hAnsi="Times New Roman" w:eastAsia="宋体" w:cs="Times New Roman"/>
                <w:b w:val="0"/>
                <w:bCs w:val="0"/>
                <w:color w:val="000000"/>
                <w:sz w:val="28"/>
                <w:szCs w:val="28"/>
                <w:lang w:val="en-US" w:eastAsia="zh-CN"/>
              </w:rPr>
              <w:t>咸宁南三县138公里输气管道、</w:t>
            </w:r>
            <w:r>
              <w:rPr>
                <w:rFonts w:hint="default" w:ascii="Times New Roman" w:hAnsi="Times New Roman" w:eastAsia="宋体" w:cs="Times New Roman"/>
                <w:color w:val="000000"/>
                <w:sz w:val="28"/>
                <w:szCs w:val="28"/>
                <w:lang w:eastAsia="zh"/>
              </w:rPr>
              <w:t>通城“西北三镇”天然气项目</w:t>
            </w:r>
            <w:r>
              <w:rPr>
                <w:rFonts w:hint="default" w:ascii="Times New Roman" w:hAnsi="Times New Roman" w:eastAsia="宋体" w:cs="Times New Roman"/>
                <w:color w:val="000000"/>
                <w:sz w:val="28"/>
                <w:szCs w:val="28"/>
                <w:lang w:eastAsia="zh-CN"/>
              </w:rPr>
              <w:t>、崇阳县天然气接收门站工程及南三</w:t>
            </w:r>
            <w:r>
              <w:rPr>
                <w:rFonts w:hint="default" w:ascii="Times New Roman" w:hAnsi="Times New Roman" w:eastAsia="宋体" w:cs="Times New Roman"/>
                <w:color w:val="000000"/>
                <w:sz w:val="28"/>
                <w:szCs w:val="28"/>
                <w:lang w:val="en-US" w:eastAsia="zh-CN"/>
              </w:rPr>
              <w:t>县</w:t>
            </w:r>
            <w:r>
              <w:rPr>
                <w:rFonts w:hint="default" w:ascii="Times New Roman" w:hAnsi="Times New Roman" w:eastAsia="宋体" w:cs="Times New Roman"/>
                <w:color w:val="000000"/>
                <w:sz w:val="28"/>
                <w:szCs w:val="28"/>
                <w:lang w:eastAsia="zh-CN"/>
              </w:rPr>
              <w:t>长输管线连接线工程、嘉鱼县“武赤线”天然气管道搬迁改造工程。</w:t>
            </w:r>
          </w:p>
          <w:p w14:paraId="6655FBC2">
            <w:pPr>
              <w:numPr>
                <w:ilvl w:val="0"/>
                <w:numId w:val="0"/>
              </w:numPr>
              <w:rPr>
                <w:rFonts w:hint="default" w:ascii="Times New Roman" w:hAnsi="Times New Roman" w:eastAsia="宋体" w:cs="Times New Roman"/>
                <w:color w:val="000000"/>
                <w:sz w:val="28"/>
                <w:szCs w:val="28"/>
              </w:rPr>
            </w:pPr>
            <w:r>
              <w:rPr>
                <w:rFonts w:hint="default" w:ascii="Times New Roman" w:hAnsi="Times New Roman" w:eastAsia="宋体" w:cs="Times New Roman"/>
                <w:b/>
                <w:bCs/>
                <w:color w:val="000000"/>
                <w:sz w:val="28"/>
                <w:szCs w:val="28"/>
                <w:lang w:val="en-US" w:eastAsia="zh-CN"/>
              </w:rPr>
              <w:t>原油管道重点工程。</w:t>
            </w:r>
            <w:r>
              <w:rPr>
                <w:rFonts w:hint="default" w:ascii="Times New Roman" w:hAnsi="Times New Roman" w:eastAsia="宋体" w:cs="Times New Roman"/>
                <w:color w:val="000000"/>
                <w:sz w:val="28"/>
                <w:szCs w:val="28"/>
                <w:lang w:val="en-US" w:eastAsia="zh-CN"/>
              </w:rPr>
              <w:t>咸安区仪长原油管道外迁项目、咸安区兰郑长成品油管道外迁项目。</w:t>
            </w:r>
          </w:p>
        </w:tc>
      </w:tr>
    </w:tbl>
    <w:p w14:paraId="0440C530">
      <w:pPr>
        <w:bidi w:val="0"/>
        <w:rPr>
          <w:rFonts w:hint="default" w:ascii="Times New Roman" w:hAnsi="Times New Roman" w:cs="Times New Roman"/>
        </w:rPr>
      </w:pPr>
    </w:p>
    <w:p w14:paraId="425AEBBF">
      <w:pPr>
        <w:bidi w:val="0"/>
        <w:rPr>
          <w:rFonts w:hint="default" w:ascii="Times New Roman" w:hAnsi="Times New Roman" w:cs="Times New Roman"/>
        </w:rPr>
      </w:pPr>
    </w:p>
    <w:p w14:paraId="504CD72A">
      <w:pPr>
        <w:pStyle w:val="2"/>
        <w:bidi w:val="0"/>
        <w:jc w:val="center"/>
        <w:rPr>
          <w:rFonts w:hint="default"/>
        </w:rPr>
      </w:pPr>
      <w:bookmarkStart w:id="37" w:name="_Toc25425"/>
      <w:r>
        <w:rPr>
          <w:rFonts w:hint="default"/>
          <w:lang w:val="en-US" w:eastAsia="zh-CN"/>
        </w:rPr>
        <w:t>推动能源消费绿色低碳转型</w:t>
      </w:r>
      <w:bookmarkEnd w:id="37"/>
    </w:p>
    <w:p w14:paraId="010B05C3">
      <w:pPr>
        <w:rPr>
          <w:rFonts w:hint="default"/>
        </w:rPr>
      </w:pPr>
    </w:p>
    <w:p w14:paraId="7CD9B24A">
      <w:pPr>
        <w:rPr>
          <w:rFonts w:hint="default"/>
        </w:rPr>
      </w:pPr>
      <w:r>
        <w:rPr>
          <w:rFonts w:hint="default"/>
        </w:rPr>
        <w:t>坚持把绿色低碳理念贯穿能源消费全过程，以工业、交通、建筑等领域为重点，深入实施节能降碳行动，积极倡导绿色生活方式，加快形成节约高效、清洁低碳的用能新模式。</w:t>
      </w:r>
    </w:p>
    <w:p w14:paraId="62B66983">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38" w:name="_Toc201251244"/>
      <w:bookmarkStart w:id="39" w:name="_Toc201246037"/>
      <w:bookmarkStart w:id="40" w:name="_Toc15972"/>
      <w:bookmarkStart w:id="41" w:name="_Toc20995"/>
      <w:bookmarkStart w:id="42" w:name="_Toc3094"/>
      <w:bookmarkStart w:id="43" w:name="_Toc2791"/>
      <w:bookmarkStart w:id="44" w:name="_Toc23639"/>
      <w:r>
        <w:rPr>
          <w:rFonts w:hint="default"/>
          <w:b/>
          <w:bCs w:val="0"/>
          <w:lang w:val="en-US" w:eastAsia="zh-CN"/>
        </w:rPr>
        <w:t>推动工商业领域节能降碳</w:t>
      </w:r>
      <w:bookmarkEnd w:id="38"/>
      <w:bookmarkEnd w:id="39"/>
      <w:bookmarkEnd w:id="40"/>
      <w:bookmarkEnd w:id="41"/>
      <w:bookmarkEnd w:id="42"/>
      <w:bookmarkEnd w:id="43"/>
      <w:bookmarkEnd w:id="44"/>
    </w:p>
    <w:p w14:paraId="2FFEBE75">
      <w:pPr>
        <w:ind w:firstLine="643"/>
        <w:rPr>
          <w:rFonts w:hint="default" w:ascii="Times New Roman" w:hAnsi="Times New Roman" w:cs="Times New Roman"/>
          <w:color w:val="000000"/>
          <w:lang w:val="en-US" w:eastAsia="zh-CN"/>
        </w:rPr>
      </w:pPr>
      <w:r>
        <w:rPr>
          <w:rFonts w:hint="default" w:ascii="Times New Roman" w:hAnsi="Times New Roman" w:cs="Times New Roman"/>
          <w:b/>
          <w:lang w:val="en-US" w:eastAsia="zh-CN"/>
        </w:rPr>
        <w:t>实施碳排放双控新制度。</w:t>
      </w:r>
      <w:r>
        <w:rPr>
          <w:rFonts w:hint="default" w:ascii="Times New Roman" w:hAnsi="Times New Roman" w:cs="Times New Roman"/>
          <w:b w:val="0"/>
          <w:bCs/>
          <w:lang w:val="en-US" w:eastAsia="zh-CN"/>
        </w:rPr>
        <w:t>加快构建以强度控制为主、总量控制为辅的碳排放双控管理体系。加快建立</w:t>
      </w:r>
      <w:r>
        <w:rPr>
          <w:rFonts w:hint="eastAsia" w:ascii="Times New Roman" w:hAnsi="Times New Roman" w:cs="Times New Roman"/>
          <w:b w:val="0"/>
          <w:bCs/>
          <w:lang w:val="en-US" w:eastAsia="zh-CN"/>
        </w:rPr>
        <w:t>市</w:t>
      </w:r>
      <w:r>
        <w:rPr>
          <w:rFonts w:hint="default" w:ascii="Times New Roman" w:hAnsi="Times New Roman" w:cs="Times New Roman"/>
          <w:b w:val="0"/>
          <w:bCs/>
          <w:lang w:val="en-US" w:eastAsia="zh-CN"/>
        </w:rPr>
        <w:t>级碳排放双控管理体系，主动承接省下达的碳排放强度降低等约束性指标，构建覆盖全域的碳排放双控责任传导机制，科学分解至重点产业、重点园区和重点企业</w:t>
      </w:r>
      <w:r>
        <w:rPr>
          <w:rFonts w:hint="default" w:ascii="Times New Roman" w:hAnsi="Times New Roman" w:cs="Times New Roman"/>
          <w:b w:val="0"/>
          <w:bCs/>
          <w:lang w:val="en-US" w:eastAsia="zh-CN"/>
        </w:rPr>
        <w:fldChar w:fldCharType="begin"/>
      </w:r>
      <w:r>
        <w:rPr>
          <w:rFonts w:hint="default" w:ascii="Times New Roman" w:hAnsi="Times New Roman" w:cs="Times New Roman"/>
          <w:b w:val="0"/>
          <w:bCs/>
          <w:lang w:val="en-US" w:eastAsia="zh-CN"/>
        </w:rPr>
        <w:instrText xml:space="preserve"> HYPERLINK "https://res.cenews.com.cn/hjw/news.html?aid=1782595" \t "_blank" </w:instrText>
      </w:r>
      <w:r>
        <w:rPr>
          <w:rFonts w:hint="default" w:ascii="Times New Roman" w:hAnsi="Times New Roman" w:cs="Times New Roman"/>
          <w:b w:val="0"/>
          <w:bCs/>
          <w:lang w:val="en-US" w:eastAsia="zh-CN"/>
        </w:rPr>
        <w:fldChar w:fldCharType="separate"/>
      </w:r>
      <w:r>
        <w:rPr>
          <w:rFonts w:hint="default" w:ascii="Times New Roman" w:hAnsi="Times New Roman" w:cs="Times New Roman"/>
          <w:b w:val="0"/>
          <w:bCs/>
          <w:lang w:val="en-US" w:eastAsia="zh-CN"/>
        </w:rPr>
        <w:fldChar w:fldCharType="end"/>
      </w:r>
      <w:r>
        <w:rPr>
          <w:rFonts w:hint="default" w:ascii="Times New Roman" w:hAnsi="Times New Roman" w:cs="Times New Roman"/>
          <w:b w:val="0"/>
          <w:bCs/>
          <w:lang w:val="en-US" w:eastAsia="zh-CN"/>
        </w:rPr>
        <w:t>。严格固定资产投资项目节能审查和碳排放评价，对不符合能效、环保、安全、质量等强制性标准的项目一律禁止新建。</w:t>
      </w:r>
    </w:p>
    <w:p w14:paraId="3B70AA43">
      <w:pPr>
        <w:ind w:firstLine="643"/>
        <w:rPr>
          <w:rFonts w:hint="default" w:ascii="Times New Roman" w:hAnsi="Times New Roman" w:cs="Times New Roman"/>
          <w:color w:val="000000"/>
        </w:rPr>
      </w:pPr>
      <w:r>
        <w:rPr>
          <w:rFonts w:hint="default" w:ascii="Times New Roman" w:hAnsi="Times New Roman" w:cs="Times New Roman"/>
          <w:b/>
        </w:rPr>
        <w:t>深挖工业领域节能潜力</w:t>
      </w:r>
      <w:r>
        <w:rPr>
          <w:rFonts w:hint="eastAsia" w:ascii="Times New Roman" w:hAnsi="Times New Roman" w:cs="Times New Roman"/>
          <w:b/>
          <w:lang w:eastAsia="zh-CN"/>
        </w:rPr>
        <w:t>。</w:t>
      </w:r>
      <w:r>
        <w:rPr>
          <w:rFonts w:hint="default" w:ascii="Times New Roman" w:hAnsi="Times New Roman" w:cs="Times New Roman"/>
          <w:b w:val="0"/>
          <w:bCs/>
          <w:lang w:val="en-US" w:eastAsia="zh-CN"/>
        </w:rPr>
        <w:t>全面提升钢铁、化工、建材等重点行业能效水平，聚焦主要生产工艺、关键用能工序、重点耗能设备，深入实施节能降碳诊断，组织实施一批工业节能降碳工程。以创建绿色工厂、开发绿色产品、建设绿色工业园区为牵引，加快推进钢铁、矿业等领域企业超低排放改造。积极推广高温高压干熄焦、烟气余热深度回收等先进节能技术，引导高炉—转炉长流程炼钢向电炉短流程炼钢转型。深化散煤综合治理，鼓励采用工业余热、热电联产以及地热能等清洁能源替代散煤消费</w:t>
      </w:r>
      <w:r>
        <w:rPr>
          <w:rFonts w:hint="default" w:ascii="Times New Roman" w:hAnsi="Times New Roman" w:cs="Times New Roman"/>
          <w:color w:val="000000"/>
          <w:lang w:val="en-US" w:eastAsia="zh-CN"/>
        </w:rPr>
        <w:t>。</w:t>
      </w:r>
    </w:p>
    <w:p w14:paraId="04577B22">
      <w:pPr>
        <w:ind w:firstLine="643"/>
        <w:rPr>
          <w:rFonts w:hint="default" w:ascii="Times New Roman" w:hAnsi="Times New Roman" w:cs="Times New Roman"/>
        </w:rPr>
      </w:pPr>
      <w:r>
        <w:rPr>
          <w:rFonts w:hint="default" w:ascii="Times New Roman" w:hAnsi="Times New Roman" w:cs="Times New Roman"/>
          <w:b/>
          <w:bCs/>
          <w:color w:val="000000"/>
        </w:rPr>
        <w:t>实施园区循环化改造</w:t>
      </w:r>
      <w:r>
        <w:rPr>
          <w:rFonts w:hint="default" w:ascii="Times New Roman" w:hAnsi="Times New Roman" w:cs="Times New Roman"/>
          <w:color w:val="000000"/>
        </w:rPr>
        <w:t>。</w:t>
      </w:r>
      <w:r>
        <w:rPr>
          <w:rFonts w:hint="default" w:ascii="Times New Roman" w:hAnsi="Times New Roman" w:cs="Times New Roman"/>
          <w:lang w:val="en-US" w:eastAsia="zh-CN"/>
        </w:rPr>
        <w:t>积极支持园区循环化改造项目建设，在打造咸宁国家高新技术产业开发区热电联产示范基地基础上，分类推进区域集中供热</w:t>
      </w:r>
      <w:r>
        <w:rPr>
          <w:rFonts w:hint="eastAsia" w:ascii="Times New Roman" w:hAnsi="Times New Roman" w:cs="Times New Roman"/>
          <w:lang w:val="en-US" w:eastAsia="zh-CN"/>
        </w:rPr>
        <w:t>，</w:t>
      </w:r>
      <w:r>
        <w:rPr>
          <w:rFonts w:hint="default" w:ascii="Times New Roman" w:hAnsi="Times New Roman" w:cs="Times New Roman"/>
          <w:lang w:val="en-US" w:eastAsia="zh-CN"/>
        </w:rPr>
        <w:t>加快实施咸安区凤凰工业园热电联产项目</w:t>
      </w:r>
      <w:r>
        <w:rPr>
          <w:rFonts w:hint="eastAsia" w:ascii="Times New Roman" w:hAnsi="Times New Roman" w:cs="Times New Roman"/>
          <w:lang w:val="en-US" w:eastAsia="zh-CN"/>
        </w:rPr>
        <w:t>，</w:t>
      </w:r>
      <w:r>
        <w:rPr>
          <w:rFonts w:hint="default" w:ascii="Times New Roman" w:hAnsi="Times New Roman" w:cs="Times New Roman"/>
          <w:lang w:val="en-US" w:eastAsia="zh-CN"/>
        </w:rPr>
        <w:t>支持嘉鱼县经济开发区、赤壁市工业园区在现有集中供热基础上优化升级、扩大覆盖</w:t>
      </w:r>
      <w:r>
        <w:rPr>
          <w:rFonts w:hint="eastAsia" w:ascii="Times New Roman" w:hAnsi="Times New Roman" w:cs="Times New Roman"/>
          <w:lang w:val="en-US" w:eastAsia="zh-CN"/>
        </w:rPr>
        <w:t>，</w:t>
      </w:r>
      <w:r>
        <w:rPr>
          <w:rFonts w:hint="default" w:ascii="Times New Roman" w:hAnsi="Times New Roman" w:cs="Times New Roman"/>
          <w:lang w:val="en-US" w:eastAsia="zh-CN"/>
        </w:rPr>
        <w:t>推动通城县、崇阳县、通山县工业园区开展集中供热规划与试点</w:t>
      </w:r>
      <w:r>
        <w:rPr>
          <w:rFonts w:hint="eastAsia" w:ascii="Times New Roman" w:hAnsi="Times New Roman" w:cs="Times New Roman"/>
          <w:lang w:val="en-US" w:eastAsia="zh-CN"/>
        </w:rPr>
        <w:t>，</w:t>
      </w:r>
      <w:r>
        <w:rPr>
          <w:rFonts w:hint="default" w:ascii="Times New Roman" w:hAnsi="Times New Roman" w:cs="Times New Roman"/>
          <w:lang w:val="en-US" w:eastAsia="zh-CN"/>
        </w:rPr>
        <w:t>着力培育热电联产及分布式能源基地。</w:t>
      </w:r>
    </w:p>
    <w:p w14:paraId="54984A5B">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45" w:name="_Toc17111"/>
      <w:bookmarkStart w:id="46" w:name="_Toc4151"/>
      <w:bookmarkStart w:id="47" w:name="_Toc20814"/>
      <w:bookmarkStart w:id="48" w:name="_Toc201246038"/>
      <w:bookmarkStart w:id="49" w:name="_Toc14709"/>
      <w:bookmarkStart w:id="50" w:name="_Toc201251245"/>
      <w:bookmarkStart w:id="51" w:name="_Toc1023"/>
      <w:r>
        <w:rPr>
          <w:rFonts w:hint="default"/>
          <w:b/>
          <w:bCs w:val="0"/>
          <w:lang w:val="en-US" w:eastAsia="zh-CN"/>
        </w:rPr>
        <w:t>深化交通领域低碳转型</w:t>
      </w:r>
      <w:bookmarkEnd w:id="45"/>
      <w:bookmarkEnd w:id="46"/>
      <w:bookmarkEnd w:id="47"/>
      <w:bookmarkEnd w:id="48"/>
      <w:bookmarkEnd w:id="49"/>
      <w:bookmarkEnd w:id="50"/>
      <w:bookmarkEnd w:id="51"/>
    </w:p>
    <w:p w14:paraId="3C849416">
      <w:pPr>
        <w:ind w:firstLine="643"/>
        <w:rPr>
          <w:rFonts w:hint="default" w:ascii="Times New Roman" w:hAnsi="Times New Roman" w:eastAsia="仿宋_GB2312" w:cs="Times New Roman"/>
          <w:b/>
          <w:lang w:val="en-US" w:eastAsia="zh-CN"/>
        </w:rPr>
      </w:pPr>
      <w:r>
        <w:rPr>
          <w:rFonts w:hint="default" w:ascii="Times New Roman" w:hAnsi="Times New Roman" w:cs="Times New Roman"/>
          <w:b/>
        </w:rPr>
        <w:t>推进公路交通绿色转型。</w:t>
      </w:r>
      <w:r>
        <w:rPr>
          <w:rFonts w:hint="default" w:ascii="Times New Roman" w:hAnsi="Times New Roman" w:cs="Times New Roman"/>
          <w:bCs/>
        </w:rPr>
        <w:t>加快绿色咸宁国际陆港建设，大力推广新能源汽车应用，持续提高城市公交、环卫、邮政、出租、通勤、物流配送等领域新能源或清洁能源汽车使用比例，科学布局一批“油气电氢”综合能源补给站。积极开展氢燃料电池重卡城际运输示范，探索开通武汉—咸宁氢能重卡运输专线。推动赤壁市光储充一体化、陆溪镇5G智慧路灯等交能融合示范项目建设</w:t>
      </w:r>
      <w:r>
        <w:rPr>
          <w:rFonts w:hint="default" w:ascii="Times New Roman" w:hAnsi="Times New Roman" w:cs="Times New Roman"/>
          <w:color w:val="000000"/>
          <w:lang w:val="en-US" w:eastAsia="zh-CN"/>
        </w:rPr>
        <w:t>。</w:t>
      </w:r>
    </w:p>
    <w:p w14:paraId="6C86D9E7">
      <w:pPr>
        <w:ind w:firstLine="643"/>
        <w:rPr>
          <w:rFonts w:hint="default" w:ascii="Times New Roman" w:hAnsi="Times New Roman" w:cs="Times New Roman"/>
          <w:color w:val="000000"/>
        </w:rPr>
      </w:pPr>
      <w:r>
        <w:rPr>
          <w:rFonts w:hint="default" w:ascii="Times New Roman" w:hAnsi="Times New Roman" w:cs="Times New Roman"/>
          <w:b/>
        </w:rPr>
        <w:t>提升航运清洁低碳水平。</w:t>
      </w:r>
      <w:r>
        <w:rPr>
          <w:rFonts w:hint="default" w:ascii="Times New Roman" w:hAnsi="Times New Roman" w:cs="Times New Roman"/>
          <w:bCs/>
        </w:rPr>
        <w:t>加快船舶清洁能源动力推广应用，推进船舶岸电受电设施改造，在嘉鱼县长江沿岸布局建设电动船舶充换电站。大力推广电动、液化天然气、氢燃料电池、甲醇燃料等清洁能源船舶，与武汉、岳阳、九江等城市共同打造清洁航线，建设清洁低碳的长江咸宁港。探索标准化燃料罐、箱式电源等可移动船舶设备共享共用模式，支持内河船舶应用光伏发电技术，积极推动电力、液化天然气、生物柴油、绿醇、绿氨、绿氢等清洁能源在船舶领域示范应用</w:t>
      </w:r>
      <w:r>
        <w:rPr>
          <w:rFonts w:hint="default" w:ascii="Times New Roman" w:hAnsi="Times New Roman" w:cs="Times New Roman"/>
          <w:color w:val="000000"/>
        </w:rPr>
        <w:t>。</w:t>
      </w:r>
    </w:p>
    <w:p w14:paraId="61C77FB7">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52" w:name="_Toc32289"/>
      <w:bookmarkStart w:id="53" w:name="_Toc201246039"/>
      <w:bookmarkStart w:id="54" w:name="_Toc11355"/>
      <w:bookmarkStart w:id="55" w:name="_Toc6635"/>
      <w:bookmarkStart w:id="56" w:name="_Toc201251246"/>
      <w:bookmarkStart w:id="57" w:name="_Toc762"/>
      <w:bookmarkStart w:id="58" w:name="_Toc21272"/>
      <w:r>
        <w:rPr>
          <w:rFonts w:hint="default"/>
          <w:b/>
          <w:bCs w:val="0"/>
          <w:lang w:val="en-US" w:eastAsia="zh-CN"/>
        </w:rPr>
        <w:t>加快建筑领域能效提升</w:t>
      </w:r>
      <w:bookmarkEnd w:id="52"/>
      <w:bookmarkEnd w:id="53"/>
      <w:bookmarkEnd w:id="54"/>
      <w:bookmarkEnd w:id="55"/>
      <w:bookmarkEnd w:id="56"/>
      <w:bookmarkEnd w:id="57"/>
      <w:bookmarkEnd w:id="58"/>
    </w:p>
    <w:p w14:paraId="26AAE551">
      <w:pPr>
        <w:ind w:firstLine="643"/>
        <w:rPr>
          <w:rFonts w:hint="default" w:ascii="Times New Roman" w:hAnsi="Times New Roman" w:cs="Times New Roman"/>
          <w:bCs/>
          <w:shd w:val="clear" w:color="auto" w:fill="FFFFFF"/>
        </w:rPr>
      </w:pPr>
      <w:r>
        <w:rPr>
          <w:rFonts w:hint="default" w:ascii="Times New Roman" w:hAnsi="Times New Roman" w:cs="Times New Roman"/>
          <w:b/>
          <w:shd w:val="clear" w:color="auto" w:fill="FFFFFF"/>
        </w:rPr>
        <w:t>提升建筑节能低碳水平</w:t>
      </w:r>
      <w:r>
        <w:rPr>
          <w:rFonts w:hint="default" w:ascii="Times New Roman" w:hAnsi="Times New Roman" w:cs="Times New Roman"/>
          <w:b/>
          <w:bCs w:val="0"/>
          <w:shd w:val="clear" w:color="auto" w:fill="FFFFFF"/>
        </w:rPr>
        <w:t>。</w:t>
      </w:r>
      <w:r>
        <w:rPr>
          <w:rFonts w:hint="default" w:ascii="Times New Roman" w:hAnsi="Times New Roman" w:cs="Times New Roman"/>
          <w:bCs/>
          <w:shd w:val="clear" w:color="auto" w:fill="FFFFFF"/>
        </w:rPr>
        <w:t>提高建筑节能标准，强化建筑用能监管，积极开展超低能耗建筑试点，探索近零能耗、零碳建筑和低碳示范区、低碳社区建设示范。改善既有建筑绿色品质，规模化推进既有建筑节能绿色化改造，创新改造推进模式和推广机制。广泛推广太阳能光热、空气源热泵热水、地源热泵等可再生能源建筑应用，推动太阳能光伏在城乡建筑中分布式、一体化应用。</w:t>
      </w:r>
    </w:p>
    <w:p w14:paraId="41AE8FC5">
      <w:pPr>
        <w:ind w:firstLine="643"/>
        <w:rPr>
          <w:rFonts w:hint="default" w:ascii="Times New Roman" w:hAnsi="Times New Roman" w:cs="Times New Roman"/>
          <w:shd w:val="clear" w:color="auto" w:fill="FFFFFF"/>
        </w:rPr>
      </w:pPr>
      <w:r>
        <w:rPr>
          <w:rFonts w:hint="default" w:ascii="Times New Roman" w:hAnsi="Times New Roman" w:cs="Times New Roman"/>
          <w:b/>
          <w:shd w:val="clear" w:color="auto" w:fill="FFFFFF"/>
        </w:rPr>
        <w:t>持续优化建筑用能结构</w:t>
      </w:r>
      <w:r>
        <w:rPr>
          <w:rFonts w:hint="default" w:ascii="Times New Roman" w:hAnsi="Times New Roman" w:cs="Times New Roman"/>
          <w:b/>
          <w:bCs w:val="0"/>
          <w:shd w:val="clear" w:color="auto" w:fill="FFFFFF"/>
        </w:rPr>
        <w:t>。</w:t>
      </w:r>
      <w:r>
        <w:rPr>
          <w:rFonts w:hint="default" w:ascii="Times New Roman" w:hAnsi="Times New Roman" w:cs="Times New Roman"/>
          <w:bCs/>
          <w:shd w:val="clear" w:color="auto" w:fill="FFFFFF"/>
        </w:rPr>
        <w:t>加快建立以电力消费为主的建筑能源消费体系，以建筑中央空调、大型商超、冷链物流等为重点，深入实施绿色高效制冷行动，提升建筑用能效率。引导建筑供暖、生活热水、炊事等加快电气化发展，推动新建公共建筑全面电气化，有序推进公共建筑、住宅小区配电设施扩容改造，提高既有建筑电气化水平。推动具备条件的新建厂房和公共建筑光伏系统应装尽装，不断提高可再生能源电力、热力和燃气替代水平</w:t>
      </w:r>
      <w:r>
        <w:rPr>
          <w:rFonts w:hint="default" w:ascii="Times New Roman" w:hAnsi="Times New Roman" w:cs="Times New Roman"/>
          <w:shd w:val="clear" w:color="auto" w:fill="FFFFFF"/>
        </w:rPr>
        <w:t>。</w:t>
      </w:r>
    </w:p>
    <w:p w14:paraId="4AB59F97">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59" w:name="_Toc6917"/>
      <w:bookmarkStart w:id="60" w:name="_Toc201251247"/>
      <w:bookmarkStart w:id="61" w:name="_Toc19169"/>
      <w:bookmarkStart w:id="62" w:name="_Toc4606"/>
      <w:bookmarkStart w:id="63" w:name="_Toc19767"/>
      <w:bookmarkStart w:id="64" w:name="_Toc201246040"/>
      <w:bookmarkStart w:id="65" w:name="_Toc5784"/>
      <w:r>
        <w:rPr>
          <w:rFonts w:hint="default"/>
          <w:b/>
          <w:bCs w:val="0"/>
          <w:lang w:val="en-US" w:eastAsia="zh-CN"/>
        </w:rPr>
        <w:t>倡导全民绿色低碳生活</w:t>
      </w:r>
      <w:bookmarkEnd w:id="59"/>
      <w:bookmarkEnd w:id="60"/>
      <w:bookmarkEnd w:id="61"/>
      <w:bookmarkEnd w:id="62"/>
      <w:bookmarkEnd w:id="63"/>
      <w:bookmarkEnd w:id="64"/>
      <w:bookmarkEnd w:id="65"/>
    </w:p>
    <w:p w14:paraId="76B4322F">
      <w:pPr>
        <w:ind w:firstLine="643"/>
        <w:rPr>
          <w:rFonts w:hint="default" w:ascii="Times New Roman" w:hAnsi="Times New Roman" w:cs="Times New Roman"/>
        </w:rPr>
      </w:pPr>
      <w:r>
        <w:rPr>
          <w:rFonts w:hint="default" w:ascii="Times New Roman" w:hAnsi="Times New Roman" w:cs="Times New Roman"/>
          <w:b/>
        </w:rPr>
        <w:t>推广低碳生活理念。</w:t>
      </w:r>
      <w:r>
        <w:rPr>
          <w:rFonts w:hint="default" w:ascii="Times New Roman" w:hAnsi="Times New Roman" w:cs="Times New Roman"/>
        </w:rPr>
        <w:t>充分运用传统媒体和新兴媒体传播渠道，开展全方位、多形式的节能宣传，推广节能新技术、新产品，推动低碳消费理念内化于心、外化于行。支持新能源汽车、绿色智能家电等产品下乡普及，持续提升终端用能电气化和节能水平。积极推广绿色低碳生活方式，创建低碳社区、低碳企业、低碳医院、低碳学校等示范标杆，树立节能绿色典范，营造崇尚节约、绿色低碳的社会新风尚。</w:t>
      </w:r>
    </w:p>
    <w:p w14:paraId="3522EB68">
      <w:pPr>
        <w:ind w:firstLine="643"/>
        <w:rPr>
          <w:rFonts w:hint="default" w:ascii="Times New Roman" w:hAnsi="Times New Roman" w:cs="Times New Roman"/>
        </w:rPr>
      </w:pPr>
      <w:r>
        <w:rPr>
          <w:rFonts w:hint="default" w:ascii="Times New Roman" w:hAnsi="Times New Roman" w:cs="Times New Roman"/>
          <w:b/>
          <w:bCs/>
        </w:rPr>
        <w:t>创新能源消费新模式。</w:t>
      </w:r>
      <w:r>
        <w:rPr>
          <w:rFonts w:hint="default" w:ascii="Times New Roman" w:hAnsi="Times New Roman" w:cs="Times New Roman"/>
        </w:rPr>
        <w:t>积极培育发展能源消费新业态新模式，推广区域综合能源服务。鼓励专业能源服务公司为园区、大型商业建筑、工业企业等提供能源系统规划、能源审计、节能改造、分布式能源建设、智慧运维等“一站式”综合能源服务，促进能源梯级利用和整体效率提升，保障能源系统高效运行。</w:t>
      </w:r>
    </w:p>
    <w:p w14:paraId="2B2BECE8">
      <w:pPr>
        <w:ind w:firstLine="643"/>
        <w:rPr>
          <w:rFonts w:hint="default" w:ascii="Times New Roman" w:hAnsi="Times New Roman" w:cs="Times New Roman"/>
        </w:rPr>
      </w:pPr>
    </w:p>
    <w:p w14:paraId="614A6A82">
      <w:pPr>
        <w:pStyle w:val="2"/>
        <w:bidi w:val="0"/>
        <w:jc w:val="center"/>
        <w:rPr>
          <w:rFonts w:hint="default"/>
        </w:rPr>
      </w:pPr>
      <w:bookmarkStart w:id="66" w:name="_Toc18443"/>
      <w:r>
        <w:rPr>
          <w:rFonts w:hint="default"/>
        </w:rPr>
        <w:t>加速培育能源</w:t>
      </w:r>
      <w:r>
        <w:rPr>
          <w:rFonts w:hint="default"/>
          <w:lang w:val="en-US" w:eastAsia="zh-CN"/>
        </w:rPr>
        <w:t>领域</w:t>
      </w:r>
      <w:r>
        <w:rPr>
          <w:rFonts w:hint="default"/>
        </w:rPr>
        <w:t>新质生产力</w:t>
      </w:r>
      <w:bookmarkEnd w:id="66"/>
    </w:p>
    <w:p w14:paraId="459AA0C5">
      <w:pPr>
        <w:rPr>
          <w:rFonts w:hint="default"/>
        </w:rPr>
      </w:pPr>
    </w:p>
    <w:p w14:paraId="530FE08B">
      <w:pPr>
        <w:rPr>
          <w:rFonts w:hint="default"/>
        </w:rPr>
      </w:pPr>
      <w:r>
        <w:rPr>
          <w:rFonts w:hint="default"/>
        </w:rPr>
        <w:t>坚持以科技创新为引领、以产业升级为支撑、以模式创新为突破，加快构建具有咸宁特色的能源科技创新体系，推动能源装备制造集群化发展，积极培育新模式新业态，全力抢占能源领域新质生产力发展制高点。</w:t>
      </w:r>
    </w:p>
    <w:p w14:paraId="633531C6">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67" w:name="_Toc4175"/>
      <w:bookmarkStart w:id="68" w:name="_Toc13824"/>
      <w:bookmarkStart w:id="69" w:name="_Toc201251250"/>
      <w:bookmarkStart w:id="70" w:name="_Toc532"/>
      <w:bookmarkStart w:id="71" w:name="_Toc30793"/>
      <w:bookmarkStart w:id="72" w:name="_Toc201246043"/>
      <w:r>
        <w:rPr>
          <w:rFonts w:hint="default"/>
          <w:b/>
          <w:bCs w:val="0"/>
          <w:lang w:val="en-US" w:eastAsia="zh-CN"/>
        </w:rPr>
        <w:t>着力提升能源科技创新水平</w:t>
      </w:r>
      <w:bookmarkEnd w:id="67"/>
      <w:bookmarkEnd w:id="68"/>
      <w:bookmarkEnd w:id="69"/>
      <w:bookmarkEnd w:id="70"/>
      <w:bookmarkEnd w:id="71"/>
      <w:bookmarkEnd w:id="72"/>
    </w:p>
    <w:p w14:paraId="3191418C">
      <w:pPr>
        <w:ind w:firstLine="643"/>
        <w:rPr>
          <w:rFonts w:hint="default" w:ascii="Times New Roman" w:hAnsi="Times New Roman" w:cs="Times New Roman"/>
          <w:bCs/>
        </w:rPr>
      </w:pPr>
      <w:r>
        <w:rPr>
          <w:rFonts w:hint="default" w:ascii="Times New Roman" w:hAnsi="Times New Roman" w:cs="Times New Roman"/>
          <w:b/>
        </w:rPr>
        <w:t>构建产学研用合作对接机制。</w:t>
      </w:r>
      <w:r>
        <w:rPr>
          <w:rFonts w:hint="default" w:ascii="Times New Roman" w:hAnsi="Times New Roman" w:cs="Times New Roman"/>
          <w:bCs/>
        </w:rPr>
        <w:t>以咸宁高新区为核心载体，联合武汉大学、华中科技大学等高校院所，建立健全产学研用深度合作对接机制，通过定期举办技术对接和成果交流活动，鼓励企业与高校、科研院所开展联合研发和项目申报。持续实施咸宁（武汉）离岸科创园“满园轮替计划”，构建多层次在岸、离岸园区人才集聚平台。深入实施“招硕引博”“百校联盟”等引才专项，以优厚待遇吸引高层次人才，依托本地院校开展订单式人才培养，为绿色能源产业发展提供坚实的技术和人才支撑。</w:t>
      </w:r>
    </w:p>
    <w:p w14:paraId="48D242AD">
      <w:pPr>
        <w:ind w:firstLine="643"/>
        <w:rPr>
          <w:rFonts w:hint="default" w:ascii="Times New Roman" w:hAnsi="Times New Roman" w:cs="Times New Roman"/>
          <w:szCs w:val="32"/>
        </w:rPr>
      </w:pPr>
      <w:r>
        <w:rPr>
          <w:rFonts w:hint="default" w:ascii="Times New Roman" w:hAnsi="Times New Roman" w:cs="Times New Roman"/>
          <w:b/>
        </w:rPr>
        <w:t>加大</w:t>
      </w:r>
      <w:r>
        <w:rPr>
          <w:rFonts w:hint="eastAsia" w:ascii="Times New Roman" w:hAnsi="Times New Roman" w:cs="Times New Roman"/>
          <w:b/>
          <w:lang w:val="en-US" w:eastAsia="zh-CN"/>
        </w:rPr>
        <w:t>科技创新</w:t>
      </w:r>
      <w:r>
        <w:rPr>
          <w:rFonts w:hint="default" w:ascii="Times New Roman" w:hAnsi="Times New Roman" w:cs="Times New Roman"/>
          <w:b/>
        </w:rPr>
        <w:t>资源引进力度。</w:t>
      </w:r>
      <w:r>
        <w:rPr>
          <w:rFonts w:hint="default" w:ascii="Times New Roman" w:hAnsi="Times New Roman" w:cs="Times New Roman"/>
          <w:bCs/>
        </w:rPr>
        <w:t>围绕“武咸同城、市区引领、两带驱动、全域推进”区域发展布局，抢抓光谷科技创新大走廊建设机遇，主动融入区域创新网络，积极争取一批武汉能源行业研发基地落户咸宁，加快形成“研发在武汉、生产在咸宁，孵化在武汉、加速在咸宁，源头在武汉、转化在咸宁，引才在武汉、用才在咸宁，引资在武汉、投资在咸宁”的互利共赢格局，全力打造武汉都市圈能源科技创新承接平台</w:t>
      </w:r>
      <w:r>
        <w:rPr>
          <w:rFonts w:hint="default" w:ascii="Times New Roman" w:hAnsi="Times New Roman" w:cs="Times New Roman"/>
          <w:szCs w:val="32"/>
        </w:rPr>
        <w:t>。</w:t>
      </w:r>
    </w:p>
    <w:p w14:paraId="63D869A8">
      <w:pPr>
        <w:ind w:firstLine="643"/>
        <w:rPr>
          <w:rFonts w:hint="default" w:ascii="Times New Roman" w:hAnsi="Times New Roman" w:cs="Times New Roman"/>
          <w:bCs/>
          <w:lang w:val="en-US" w:eastAsia="zh-CN"/>
        </w:rPr>
      </w:pPr>
      <w:r>
        <w:rPr>
          <w:rFonts w:hint="default" w:ascii="Times New Roman" w:hAnsi="Times New Roman" w:cs="Times New Roman"/>
          <w:b/>
        </w:rPr>
        <w:t>实施能源领域创新驱动战略。</w:t>
      </w:r>
      <w:r>
        <w:rPr>
          <w:rFonts w:hint="default" w:ascii="Times New Roman" w:hAnsi="Times New Roman" w:cs="Times New Roman"/>
          <w:bCs/>
          <w:lang w:val="en-US" w:eastAsia="zh-CN"/>
        </w:rPr>
        <w:t>支持国内外顶尖科研院所、研发中心等在咸宁设立新型研发机构，重点围绕内陆核技术</w:t>
      </w:r>
      <w:r>
        <w:rPr>
          <w:rFonts w:hint="eastAsia" w:ascii="Times New Roman" w:hAnsi="Times New Roman" w:cs="Times New Roman"/>
          <w:bCs/>
          <w:lang w:val="en-US" w:eastAsia="zh-CN"/>
        </w:rPr>
        <w:t>、先进储能等</w:t>
      </w:r>
      <w:r>
        <w:rPr>
          <w:rFonts w:hint="default" w:ascii="Times New Roman" w:hAnsi="Times New Roman" w:cs="Times New Roman"/>
          <w:bCs/>
          <w:lang w:val="en-US" w:eastAsia="zh-CN"/>
        </w:rPr>
        <w:t>领域开展技术攻关与成果转化。构建市级创新平台管理体系，重点推进产业技术研究院建设，探索布局内陆核技术及核安全相关实验室，推动现有创新平台提档升级。积极争取布局省级以上核技术应用创新中心或产业孵化基地，培育核技术应用产业集群。</w:t>
      </w:r>
    </w:p>
    <w:p w14:paraId="404E5B4B">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73" w:name="_Toc26042"/>
      <w:bookmarkStart w:id="74" w:name="_Toc201246042"/>
      <w:bookmarkStart w:id="75" w:name="_Toc12412"/>
      <w:bookmarkStart w:id="76" w:name="_Toc201251249"/>
      <w:bookmarkStart w:id="77" w:name="_Toc11490"/>
      <w:bookmarkStart w:id="78" w:name="_Toc461"/>
      <w:r>
        <w:rPr>
          <w:rFonts w:hint="eastAsia"/>
          <w:b/>
          <w:bCs w:val="0"/>
          <w:lang w:val="en-US" w:eastAsia="zh-CN"/>
        </w:rPr>
        <w:t>提档升级</w:t>
      </w:r>
      <w:r>
        <w:rPr>
          <w:rFonts w:hint="default"/>
          <w:b/>
          <w:bCs w:val="0"/>
          <w:lang w:val="en-US" w:eastAsia="zh-CN"/>
        </w:rPr>
        <w:t>能源装备制造产业</w:t>
      </w:r>
      <w:bookmarkEnd w:id="73"/>
      <w:bookmarkEnd w:id="74"/>
      <w:bookmarkEnd w:id="75"/>
      <w:bookmarkEnd w:id="76"/>
      <w:bookmarkEnd w:id="77"/>
      <w:bookmarkEnd w:id="78"/>
    </w:p>
    <w:p w14:paraId="29DA1153">
      <w:pPr>
        <w:ind w:firstLine="640"/>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强化储能装备全链条集群发展。</w:t>
      </w:r>
      <w:r>
        <w:rPr>
          <w:rFonts w:hint="default" w:ascii="Times New Roman" w:hAnsi="Times New Roman" w:cs="Times New Roman"/>
          <w:b w:val="0"/>
          <w:bCs/>
          <w:lang w:val="en-US" w:eastAsia="zh-CN"/>
        </w:rPr>
        <w:t>依托咸宁高新区及各县市区产业园区，推动储能装备制造向规模化、高端化、全链条方向发展。重点推进京能储能、鹏辉电储、运达全钒液流储能等项目建设。积极谋划引进动力及储能电池生产回收龙头项目，力争在电芯制造、电池回收等关键环节实现突破。同步推进通城县钠（锂）电池pack项目与新能源电池材料项目，完善正负极材料、隔膜及电池模组生产线，加快打造区域性储能装备制造集群。</w:t>
      </w:r>
    </w:p>
    <w:p w14:paraId="73EE7C60">
      <w:pPr>
        <w:ind w:firstLine="640"/>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推动传统能源装备绿色升级。</w:t>
      </w:r>
      <w:r>
        <w:rPr>
          <w:rFonts w:hint="default" w:ascii="Times New Roman" w:hAnsi="Times New Roman" w:cs="Times New Roman"/>
          <w:b w:val="0"/>
          <w:bCs/>
          <w:lang w:val="en-US" w:eastAsia="zh-CN"/>
        </w:rPr>
        <w:t>围绕冶金建材、电力设备等现有产业基础，加快推进高标准发电机断路器、天然酯绝缘油变压器等绿色输配电设备研发生产。以通山县风光核储一体化项目为牵引，积极引入核电装备、抽蓄变速机组等制造企业。依托咸宁（武汉）离岸科创园平台，吸引武汉高校科研团队参与能源装备联合设计，推动特高压输变电、柔性直流输电等关键技术成果在咸宁中试转化，全面提升能源装备产业“含新量”和“含绿量”。</w:t>
      </w:r>
    </w:p>
    <w:p w14:paraId="61A00826">
      <w:pPr>
        <w:ind w:firstLine="640"/>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构建多元能源装备协同制造体系。</w:t>
      </w:r>
      <w:r>
        <w:rPr>
          <w:rFonts w:hint="default" w:ascii="Times New Roman" w:hAnsi="Times New Roman" w:cs="Times New Roman"/>
          <w:b w:val="0"/>
          <w:bCs/>
          <w:lang w:val="en-US" w:eastAsia="zh-CN"/>
        </w:rPr>
        <w:t>依托咸宁高新区装备制造基础，积极引入风电主机、氢能装备、地热勘探开发、生物质高效利用等细分领域龙头企业。加快瑞能光伏组件技术升级，探索研发钙钛矿光伏组件、低风速风电装备等新一代产品。抢占氢能及氨能装备新赛道，推动氢时代氢能无人机产业链落地，布局碳纤维机身、固态电池及氢动力系统产线，同步推进氨能发动机喷射系统生产线建设，争取在燃料电池、氢内燃机等终端应用装备领域形成突破。</w:t>
      </w:r>
    </w:p>
    <w:p w14:paraId="4325F4A3">
      <w:pPr>
        <w:ind w:firstLine="640"/>
        <w:rPr>
          <w:rFonts w:hint="default" w:ascii="Times New Roman" w:hAnsi="Times New Roman" w:cs="Times New Roman"/>
          <w:b w:val="0"/>
          <w:bCs/>
          <w:lang w:val="en-US"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1AD5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D6D36F5">
            <w:pPr>
              <w:widowControl/>
              <w:spacing w:line="640" w:lineRule="exact"/>
              <w:ind w:firstLine="640"/>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Cs w:val="32"/>
              </w:rPr>
              <w:t>专栏</w:t>
            </w:r>
            <w:r>
              <w:rPr>
                <w:rFonts w:hint="eastAsia" w:ascii="Times New Roman" w:hAnsi="Times New Roman" w:eastAsia="黑体" w:cs="Times New Roman"/>
                <w:color w:val="000000"/>
                <w:szCs w:val="32"/>
                <w:lang w:val="en-US" w:eastAsia="zh-CN"/>
              </w:rPr>
              <w:t>7</w:t>
            </w:r>
            <w:r>
              <w:rPr>
                <w:rFonts w:hint="default" w:ascii="Times New Roman" w:hAnsi="Times New Roman" w:eastAsia="黑体" w:cs="Times New Roman"/>
                <w:color w:val="000000"/>
                <w:szCs w:val="32"/>
              </w:rPr>
              <w:t xml:space="preserve">  能源装备制造重点工程</w:t>
            </w:r>
          </w:p>
        </w:tc>
      </w:tr>
      <w:tr w14:paraId="0996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tcBorders>
              <w:top w:val="single" w:color="auto" w:sz="4" w:space="0"/>
              <w:left w:val="single" w:color="auto" w:sz="4" w:space="0"/>
              <w:bottom w:val="single" w:color="auto" w:sz="4" w:space="0"/>
              <w:right w:val="single" w:color="auto" w:sz="4" w:space="0"/>
            </w:tcBorders>
          </w:tcPr>
          <w:p w14:paraId="1FDCB18C">
            <w:pPr>
              <w:numPr>
                <w:ilvl w:val="0"/>
                <w:numId w:val="0"/>
              </w:numPr>
              <w:rPr>
                <w:rFonts w:hint="default" w:ascii="Times New Roman" w:hAnsi="Times New Roman" w:eastAsia="宋体" w:cs="Times New Roman"/>
                <w:color w:val="000000"/>
                <w:sz w:val="28"/>
                <w:szCs w:val="28"/>
                <w:lang w:eastAsia="zh"/>
              </w:rPr>
            </w:pPr>
            <w:r>
              <w:rPr>
                <w:rFonts w:hint="default" w:ascii="Times New Roman" w:hAnsi="Times New Roman" w:eastAsia="宋体" w:cs="Times New Roman"/>
                <w:b/>
                <w:bCs/>
                <w:color w:val="000000"/>
                <w:sz w:val="28"/>
                <w:szCs w:val="28"/>
              </w:rPr>
              <w:t>新型储能产业</w:t>
            </w:r>
            <w:r>
              <w:rPr>
                <w:rFonts w:hint="default" w:ascii="Times New Roman" w:hAnsi="Times New Roman" w:eastAsia="宋体" w:cs="Times New Roman"/>
                <w:color w:val="000000"/>
                <w:sz w:val="28"/>
                <w:szCs w:val="28"/>
                <w:lang w:eastAsia="zh"/>
              </w:rPr>
              <w:t>。</w:t>
            </w:r>
            <w:r>
              <w:rPr>
                <w:rFonts w:hint="default" w:ascii="Times New Roman" w:hAnsi="Times New Roman" w:eastAsia="宋体" w:cs="Times New Roman"/>
                <w:color w:val="000000"/>
                <w:sz w:val="28"/>
                <w:szCs w:val="28"/>
                <w:lang w:eastAsia="zh-CN"/>
              </w:rPr>
              <w:t>湖北瑞能新能源科技有限公司换电设施与储能设备生产基地项目、鹏辉电储能项目、京能储能设备和光伏储能装置项目、宁德时代动力+储能电池生产回收项目、</w:t>
            </w:r>
            <w:r>
              <w:rPr>
                <w:rFonts w:hint="default" w:ascii="Times New Roman" w:hAnsi="Times New Roman" w:eastAsia="宋体" w:cs="Times New Roman"/>
                <w:color w:val="000000"/>
                <w:sz w:val="28"/>
                <w:szCs w:val="28"/>
                <w:lang w:val="en-US" w:eastAsia="zh-CN"/>
              </w:rPr>
              <w:t>通城县</w:t>
            </w:r>
            <w:r>
              <w:rPr>
                <w:rFonts w:hint="eastAsia" w:ascii="Times New Roman" w:hAnsi="Times New Roman" w:eastAsia="宋体" w:cs="Times New Roman"/>
                <w:color w:val="000000"/>
                <w:sz w:val="28"/>
                <w:szCs w:val="28"/>
                <w:lang w:val="en-US" w:eastAsia="zh-CN"/>
              </w:rPr>
              <w:t>钠</w:t>
            </w:r>
            <w:r>
              <w:rPr>
                <w:rFonts w:hint="default" w:ascii="Times New Roman" w:hAnsi="Times New Roman" w:eastAsia="宋体" w:cs="Times New Roman"/>
                <w:color w:val="000000"/>
                <w:sz w:val="28"/>
                <w:szCs w:val="28"/>
                <w:lang w:eastAsia="zh-CN"/>
              </w:rPr>
              <w:t>（锂）电池pack项目、</w:t>
            </w:r>
            <w:r>
              <w:rPr>
                <w:rFonts w:hint="default" w:ascii="Times New Roman" w:hAnsi="Times New Roman" w:eastAsia="宋体" w:cs="Times New Roman"/>
                <w:color w:val="000000"/>
                <w:sz w:val="28"/>
                <w:szCs w:val="28"/>
                <w:lang w:val="en-US" w:eastAsia="zh-CN"/>
              </w:rPr>
              <w:t>通城县</w:t>
            </w:r>
            <w:r>
              <w:rPr>
                <w:rFonts w:hint="default" w:ascii="Times New Roman" w:hAnsi="Times New Roman" w:eastAsia="宋体" w:cs="Times New Roman"/>
                <w:color w:val="000000"/>
                <w:sz w:val="28"/>
                <w:szCs w:val="28"/>
                <w:lang w:eastAsia="zh-CN"/>
              </w:rPr>
              <w:t>新能源电池材料项目、</w:t>
            </w:r>
            <w:r>
              <w:rPr>
                <w:rFonts w:hint="default" w:ascii="Times New Roman" w:hAnsi="Times New Roman" w:eastAsia="宋体" w:cs="Times New Roman"/>
                <w:color w:val="000000"/>
                <w:sz w:val="28"/>
                <w:szCs w:val="28"/>
                <w:lang w:val="en-US" w:eastAsia="zh-CN"/>
              </w:rPr>
              <w:t>崇阳县</w:t>
            </w:r>
            <w:r>
              <w:rPr>
                <w:rFonts w:hint="default" w:ascii="Times New Roman" w:hAnsi="Times New Roman" w:eastAsia="宋体" w:cs="Times New Roman"/>
                <w:color w:val="000000"/>
                <w:sz w:val="28"/>
                <w:szCs w:val="28"/>
                <w:lang w:eastAsia="zh-CN"/>
              </w:rPr>
              <w:t>全钒液流储能系统整装基地、</w:t>
            </w:r>
            <w:r>
              <w:rPr>
                <w:rFonts w:hint="default" w:ascii="Times New Roman" w:hAnsi="Times New Roman" w:eastAsia="宋体" w:cs="Times New Roman"/>
                <w:color w:val="000000"/>
                <w:sz w:val="28"/>
                <w:szCs w:val="28"/>
                <w:lang w:val="en-US" w:eastAsia="zh-CN"/>
              </w:rPr>
              <w:t>崇阳县新型锂电芯和全硅负极材料项目</w:t>
            </w:r>
            <w:r>
              <w:rPr>
                <w:rFonts w:hint="default" w:ascii="Times New Roman" w:hAnsi="Times New Roman" w:eastAsia="宋体" w:cs="Times New Roman"/>
                <w:color w:val="000000"/>
                <w:sz w:val="28"/>
                <w:szCs w:val="28"/>
                <w:lang w:eastAsia="zh-CN"/>
              </w:rPr>
              <w:t>。</w:t>
            </w:r>
          </w:p>
          <w:p w14:paraId="1249AAF9">
            <w:pPr>
              <w:numPr>
                <w:ilvl w:val="0"/>
                <w:numId w:val="0"/>
              </w:numPr>
              <w:rPr>
                <w:rFonts w:hint="default" w:ascii="Times New Roman" w:hAnsi="Times New Roman" w:eastAsia="宋体" w:cs="Times New Roman"/>
                <w:color w:val="000000"/>
                <w:sz w:val="28"/>
                <w:szCs w:val="28"/>
                <w:lang w:eastAsia="zh"/>
              </w:rPr>
            </w:pPr>
            <w:r>
              <w:rPr>
                <w:rFonts w:hint="default" w:ascii="Times New Roman" w:hAnsi="Times New Roman" w:eastAsia="宋体" w:cs="Times New Roman"/>
                <w:b/>
                <w:bCs/>
                <w:color w:val="000000"/>
                <w:sz w:val="28"/>
                <w:szCs w:val="28"/>
              </w:rPr>
              <w:t>绿色氢能产业</w:t>
            </w:r>
            <w:r>
              <w:rPr>
                <w:rFonts w:hint="default" w:ascii="Times New Roman" w:hAnsi="Times New Roman" w:eastAsia="宋体" w:cs="Times New Roman"/>
                <w:color w:val="000000"/>
                <w:sz w:val="28"/>
                <w:szCs w:val="28"/>
                <w:lang w:eastAsia="zh"/>
              </w:rPr>
              <w:t>。氢时代氢能无人机全产业链</w:t>
            </w:r>
            <w:r>
              <w:rPr>
                <w:rFonts w:hint="default"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lang w:eastAsia="zh"/>
              </w:rPr>
              <w:t>氨能发动机喷射系统生产线</w:t>
            </w:r>
            <w:r>
              <w:rPr>
                <w:rFonts w:hint="default" w:ascii="Times New Roman" w:hAnsi="Times New Roman" w:eastAsia="宋体" w:cs="Times New Roman"/>
                <w:color w:val="000000"/>
                <w:sz w:val="28"/>
                <w:szCs w:val="28"/>
                <w:lang w:eastAsia="zh-CN"/>
              </w:rPr>
              <w:t>。</w:t>
            </w:r>
          </w:p>
        </w:tc>
      </w:tr>
    </w:tbl>
    <w:p w14:paraId="0FAD82AD">
      <w:pPr>
        <w:bidi w:val="0"/>
        <w:rPr>
          <w:rFonts w:hint="default" w:ascii="Times New Roman" w:hAnsi="Times New Roman" w:cs="Times New Roman"/>
        </w:rPr>
      </w:pPr>
    </w:p>
    <w:p w14:paraId="7FFD16F8">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79" w:name="_Toc3299"/>
      <w:bookmarkStart w:id="80" w:name="_Toc2648"/>
      <w:bookmarkStart w:id="81" w:name="_Toc21129"/>
      <w:bookmarkStart w:id="82" w:name="_Toc10506"/>
      <w:r>
        <w:rPr>
          <w:rFonts w:hint="default"/>
          <w:b/>
          <w:bCs w:val="0"/>
          <w:lang w:val="en-US" w:eastAsia="zh-CN"/>
        </w:rPr>
        <w:t>大力支持新模式新业态发展</w:t>
      </w:r>
      <w:bookmarkEnd w:id="79"/>
      <w:bookmarkEnd w:id="80"/>
      <w:bookmarkEnd w:id="81"/>
      <w:bookmarkEnd w:id="82"/>
    </w:p>
    <w:p w14:paraId="181752A0">
      <w:pPr>
        <w:ind w:firstLine="643"/>
        <w:rPr>
          <w:rFonts w:hint="default" w:ascii="Times New Roman" w:hAnsi="Times New Roman" w:eastAsia="仿宋_GB2312" w:cs="Times New Roman"/>
          <w:color w:val="000000"/>
          <w:highlight w:val="yellow"/>
          <w:lang w:val="en-US" w:eastAsia="zh-CN"/>
        </w:rPr>
      </w:pPr>
      <w:r>
        <w:rPr>
          <w:rFonts w:hint="default" w:ascii="Times New Roman" w:hAnsi="Times New Roman" w:cs="Times New Roman"/>
          <w:b/>
          <w:lang w:val="en-US" w:eastAsia="zh-CN"/>
        </w:rPr>
        <w:t>推动</w:t>
      </w:r>
      <w:r>
        <w:rPr>
          <w:rFonts w:hint="default" w:ascii="Times New Roman" w:hAnsi="Times New Roman" w:cs="Times New Roman"/>
          <w:b/>
        </w:rPr>
        <w:t>绿电直连</w:t>
      </w:r>
      <w:r>
        <w:rPr>
          <w:rFonts w:hint="default" w:ascii="Times New Roman" w:hAnsi="Times New Roman" w:cs="Times New Roman"/>
          <w:b/>
          <w:lang w:val="en-US" w:eastAsia="zh-CN"/>
        </w:rPr>
        <w:t>发展</w:t>
      </w:r>
      <w:r>
        <w:rPr>
          <w:rFonts w:hint="default" w:ascii="Times New Roman" w:hAnsi="Times New Roman" w:cs="Times New Roman"/>
          <w:b/>
        </w:rPr>
        <w:t>。</w:t>
      </w:r>
      <w:r>
        <w:rPr>
          <w:rFonts w:hint="default" w:ascii="Times New Roman" w:hAnsi="Times New Roman" w:cs="Times New Roman"/>
          <w:b w:val="0"/>
          <w:bCs/>
          <w:lang w:val="en-US" w:eastAsia="zh-CN"/>
        </w:rPr>
        <w:t>鼓励新增负荷企业就近开发利用风电、光伏、生物质等新能源资源，合理配置储能设施，积极开展绿电直连。统筹规划多用户绿电直连发展布局，重点支持工业园区整体就近接入新能源，有效提升绿电使用比例和用能经济性，开展零碳园区示范建设。支持外向型企业实施绿电替代，依托绿电物理溯源机制提升产品绿色认证等级，降低出口产品碳足迹，增强国际市场竞争力。</w:t>
      </w:r>
    </w:p>
    <w:p w14:paraId="77250B85">
      <w:pPr>
        <w:ind w:firstLine="643"/>
        <w:rPr>
          <w:rFonts w:hint="default" w:ascii="Times New Roman" w:hAnsi="Times New Roman" w:cs="Times New Roman"/>
          <w:color w:val="000000"/>
        </w:rPr>
      </w:pPr>
      <w:r>
        <w:rPr>
          <w:rFonts w:hint="default" w:ascii="Times New Roman" w:hAnsi="Times New Roman" w:cs="Times New Roman"/>
          <w:b/>
          <w:bCs/>
          <w:color w:val="000000"/>
          <w:sz w:val="30"/>
          <w:szCs w:val="30"/>
        </w:rPr>
        <w:t>大力发展</w:t>
      </w:r>
      <w:r>
        <w:rPr>
          <w:rFonts w:hint="eastAsia" w:ascii="Times New Roman" w:hAnsi="Times New Roman" w:cs="Times New Roman"/>
          <w:b/>
          <w:bCs/>
          <w:color w:val="000000"/>
          <w:sz w:val="30"/>
          <w:szCs w:val="30"/>
          <w:lang w:eastAsia="zh-CN"/>
        </w:rPr>
        <w:t>“</w:t>
      </w:r>
      <w:r>
        <w:rPr>
          <w:rFonts w:hint="eastAsia" w:ascii="Times New Roman" w:hAnsi="Times New Roman" w:cs="Times New Roman"/>
          <w:b/>
          <w:bCs/>
          <w:color w:val="000000"/>
          <w:sz w:val="30"/>
          <w:szCs w:val="30"/>
          <w:lang w:val="en-US" w:eastAsia="zh-CN"/>
        </w:rPr>
        <w:t>源网荷储</w:t>
      </w:r>
      <w:r>
        <w:rPr>
          <w:rFonts w:hint="eastAsia" w:ascii="Times New Roman" w:hAnsi="Times New Roman" w:cs="Times New Roman"/>
          <w:b/>
          <w:bCs/>
          <w:color w:val="000000"/>
          <w:sz w:val="30"/>
          <w:szCs w:val="30"/>
          <w:lang w:eastAsia="zh-CN"/>
        </w:rPr>
        <w:t>”</w:t>
      </w:r>
      <w:r>
        <w:rPr>
          <w:rFonts w:hint="eastAsia" w:ascii="Times New Roman" w:hAnsi="Times New Roman" w:cs="Times New Roman"/>
          <w:b/>
          <w:bCs/>
          <w:color w:val="000000"/>
          <w:sz w:val="30"/>
          <w:szCs w:val="30"/>
          <w:lang w:val="en-US" w:eastAsia="zh-CN"/>
        </w:rPr>
        <w:t>示范项目</w:t>
      </w:r>
      <w:r>
        <w:rPr>
          <w:rFonts w:hint="default" w:ascii="Times New Roman" w:hAnsi="Times New Roman" w:cs="Times New Roman"/>
          <w:b/>
          <w:bCs/>
          <w:color w:val="000000"/>
          <w:sz w:val="30"/>
          <w:szCs w:val="30"/>
        </w:rPr>
        <w:t>。</w:t>
      </w:r>
      <w:r>
        <w:rPr>
          <w:rFonts w:hint="default" w:ascii="Times New Roman" w:hAnsi="Times New Roman" w:cs="Times New Roman"/>
          <w:color w:val="000000"/>
          <w:sz w:val="30"/>
          <w:szCs w:val="30"/>
        </w:rPr>
        <w:t>以金盛兰源网荷储一体化项目为示范引领，规划建设一批“源网荷储充”一体化项目，积极引导企业和园区结合自身用能特征与资源禀赋，统筹推进分布式光伏、多元储能、高效热泵、余热余压利用等多类型资源开发，同步配套智慧能源管控系统，实现资源开发、储能调节、负荷响应、智能管控一体化协同运行，构建源荷互动、梯级利用的多能互补体系</w:t>
      </w:r>
      <w:r>
        <w:rPr>
          <w:rFonts w:hint="default" w:ascii="Times New Roman" w:hAnsi="Times New Roman" w:cs="Times New Roman"/>
          <w:color w:val="000000"/>
        </w:rPr>
        <w:t>。</w:t>
      </w:r>
    </w:p>
    <w:p w14:paraId="4F664E15">
      <w:pPr>
        <w:ind w:firstLine="643"/>
        <w:rPr>
          <w:rFonts w:hint="default" w:ascii="Times New Roman" w:hAnsi="Times New Roman" w:cs="Times New Roman"/>
          <w:color w:val="000000"/>
          <w:lang w:val="en-US" w:eastAsia="zh-CN"/>
        </w:rPr>
      </w:pPr>
      <w:r>
        <w:rPr>
          <w:rFonts w:hint="default" w:ascii="Times New Roman" w:hAnsi="Times New Roman" w:cs="Times New Roman"/>
          <w:b/>
          <w:bCs/>
          <w:color w:val="000000"/>
          <w:lang w:val="en-US" w:eastAsia="zh-CN"/>
        </w:rPr>
        <w:t>推动武汉能源都市圈建设。</w:t>
      </w:r>
      <w:r>
        <w:rPr>
          <w:rFonts w:hint="default" w:ascii="Times New Roman" w:hAnsi="Times New Roman" w:cs="Times New Roman"/>
          <w:color w:val="000000"/>
          <w:lang w:val="en-US" w:eastAsia="zh-CN"/>
        </w:rPr>
        <w:t>探索建立咸宁集中式新能源电力送</w:t>
      </w:r>
      <w:r>
        <w:rPr>
          <w:rFonts w:hint="eastAsia" w:ascii="Times New Roman" w:hAnsi="Times New Roman" w:cs="Times New Roman"/>
          <w:color w:val="000000"/>
          <w:lang w:val="en-US" w:eastAsia="zh-CN"/>
        </w:rPr>
        <w:t>武</w:t>
      </w:r>
      <w:r>
        <w:rPr>
          <w:rFonts w:hint="default" w:ascii="Times New Roman" w:hAnsi="Times New Roman" w:cs="Times New Roman"/>
          <w:color w:val="000000"/>
          <w:lang w:val="en-US" w:eastAsia="zh-CN"/>
        </w:rPr>
        <w:t>汉消纳机制，将无法就地消纳的绿电资源汇集输送至武汉，满足武汉都市圈绿电需求，破解咸宁新能源消纳瓶颈，实现区域资源互补和协同共赢。推进风光储氢一体化基地建设，积极参与武汉都市圈氢能示范试点，共同谋划区域绿氢输送管道，构建氢能储运互济网络，保障区域绿氢稳定供应。依托长江黄金水道，布局建设绿氨及绿色甲醇转运中心，促进武汉都市圈氢能产业一体化发展。</w:t>
      </w:r>
    </w:p>
    <w:p w14:paraId="1BE374B0">
      <w:pPr>
        <w:bidi w:val="0"/>
        <w:rPr>
          <w:rFonts w:hint="default" w:ascii="Times New Roman" w:hAnsi="Times New Roman" w:cs="Times New Roman"/>
        </w:rPr>
      </w:pPr>
      <w:r>
        <w:rPr>
          <w:rFonts w:hint="default" w:ascii="Times New Roman" w:hAnsi="Times New Roman" w:cs="Times New Roman"/>
          <w:b/>
          <w:bCs/>
        </w:rPr>
        <w:t>推进“人工智能+能源”</w:t>
      </w:r>
      <w:r>
        <w:rPr>
          <w:rFonts w:hint="eastAsia" w:ascii="Times New Roman" w:hAnsi="Times New Roman" w:cs="Times New Roman"/>
          <w:b/>
          <w:bCs/>
          <w:lang w:val="en-US" w:eastAsia="zh-CN"/>
        </w:rPr>
        <w:t>双向赋能</w:t>
      </w:r>
      <w:r>
        <w:rPr>
          <w:rFonts w:hint="default" w:ascii="Times New Roman" w:hAnsi="Times New Roman" w:cs="Times New Roman"/>
          <w:b/>
          <w:bCs/>
        </w:rPr>
        <w:t>。</w:t>
      </w:r>
      <w:r>
        <w:rPr>
          <w:rFonts w:hint="default" w:ascii="Times New Roman" w:hAnsi="Times New Roman" w:cs="Times New Roman"/>
          <w:b w:val="0"/>
          <w:bCs w:val="0"/>
        </w:rPr>
        <w:t>推动电力与算力协同发展，持续提高数据中心绿电使用比例，增强源荷双向互动能力，降低电网尖峰负荷保障压力。依托新建智算中心，积极推动人工智能技术在电网智能调度、设备预测性维护、负荷精准预测等场景的示范应用。大力推广变电站智能巡检、设备状态预测性维护等技术手段，提升电网对高比例新能源接入的承载与调控能力。支持园区级人工智能协同调控平台建设，优化分布式电源、储能与可调节负荷的协同运行效率，全面提升系统灵活性与能源利用效率</w:t>
      </w:r>
      <w:r>
        <w:rPr>
          <w:rFonts w:hint="default" w:ascii="Times New Roman" w:hAnsi="Times New Roman" w:cs="Times New Roman"/>
        </w:rPr>
        <w:t>。</w:t>
      </w:r>
    </w:p>
    <w:p w14:paraId="2AB40E0B">
      <w:pPr>
        <w:bidi w:val="0"/>
        <w:rPr>
          <w:rFonts w:hint="default" w:ascii="Times New Roman" w:hAnsi="Times New Roman" w:cs="Times New Roman"/>
          <w:lang w:eastAsia="zh-CN"/>
        </w:rPr>
      </w:pPr>
    </w:p>
    <w:p w14:paraId="1FCF7B15">
      <w:pPr>
        <w:pStyle w:val="2"/>
        <w:bidi w:val="0"/>
        <w:jc w:val="center"/>
        <w:rPr>
          <w:rFonts w:hint="default"/>
        </w:rPr>
      </w:pPr>
      <w:bookmarkStart w:id="83" w:name="_Toc10273"/>
      <w:r>
        <w:rPr>
          <w:rFonts w:hint="default"/>
        </w:rPr>
        <w:t>提升</w:t>
      </w:r>
      <w:r>
        <w:rPr>
          <w:rFonts w:hint="default"/>
          <w:lang w:val="en-US" w:eastAsia="zh-CN"/>
        </w:rPr>
        <w:t>能源</w:t>
      </w:r>
      <w:r>
        <w:rPr>
          <w:rFonts w:hint="default"/>
        </w:rPr>
        <w:t>惠企利民服务</w:t>
      </w:r>
      <w:r>
        <w:rPr>
          <w:rFonts w:hint="default"/>
          <w:lang w:val="en-US" w:eastAsia="zh-CN"/>
        </w:rPr>
        <w:t>水平</w:t>
      </w:r>
      <w:bookmarkEnd w:id="83"/>
    </w:p>
    <w:p w14:paraId="151D3E82">
      <w:pPr>
        <w:rPr>
          <w:rFonts w:hint="default"/>
        </w:rPr>
      </w:pPr>
    </w:p>
    <w:p w14:paraId="1897F840">
      <w:pPr>
        <w:rPr>
          <w:rFonts w:hint="default"/>
        </w:rPr>
      </w:pPr>
      <w:r>
        <w:rPr>
          <w:rFonts w:hint="default"/>
        </w:rPr>
        <w:t>坚持以人民为中心的发展思想，持续优化用能营商环境，完善充电基础设施网络，深化农村能源革命，强化能源安全监管，推动能源发展成果更多更公平惠及全市人民，实现能源服务从</w:t>
      </w:r>
      <w:r>
        <w:rPr>
          <w:rFonts w:hint="eastAsia"/>
          <w:lang w:eastAsia="zh-CN"/>
        </w:rPr>
        <w:t>“</w:t>
      </w:r>
      <w:r>
        <w:rPr>
          <w:rFonts w:hint="default"/>
        </w:rPr>
        <w:t>保基本</w:t>
      </w:r>
      <w:r>
        <w:rPr>
          <w:rFonts w:hint="eastAsia"/>
          <w:lang w:eastAsia="zh-CN"/>
        </w:rPr>
        <w:t>”</w:t>
      </w:r>
      <w:r>
        <w:rPr>
          <w:rFonts w:hint="default"/>
        </w:rPr>
        <w:t>向</w:t>
      </w:r>
      <w:r>
        <w:rPr>
          <w:rFonts w:hint="eastAsia"/>
          <w:lang w:eastAsia="zh-CN"/>
        </w:rPr>
        <w:t>“</w:t>
      </w:r>
      <w:r>
        <w:rPr>
          <w:rFonts w:hint="default"/>
        </w:rPr>
        <w:t>提品质</w:t>
      </w:r>
      <w:r>
        <w:rPr>
          <w:rFonts w:hint="eastAsia"/>
          <w:lang w:eastAsia="zh-CN"/>
        </w:rPr>
        <w:t>”</w:t>
      </w:r>
      <w:r>
        <w:rPr>
          <w:rFonts w:hint="default"/>
        </w:rPr>
        <w:t>跨越。</w:t>
      </w:r>
    </w:p>
    <w:p w14:paraId="34B35890">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84" w:name="_Toc17460"/>
      <w:bookmarkStart w:id="85" w:name="_Toc852"/>
      <w:bookmarkStart w:id="86" w:name="_Toc201246045"/>
      <w:bookmarkStart w:id="87" w:name="_Toc8011"/>
      <w:bookmarkStart w:id="88" w:name="_Toc6038"/>
      <w:bookmarkStart w:id="89" w:name="_Toc19467"/>
      <w:bookmarkStart w:id="90" w:name="_Toc201251252"/>
      <w:r>
        <w:rPr>
          <w:rFonts w:hint="default"/>
          <w:b/>
          <w:bCs w:val="0"/>
          <w:lang w:val="en-US" w:eastAsia="zh-CN"/>
        </w:rPr>
        <w:t>优化企业营商环境</w:t>
      </w:r>
      <w:bookmarkEnd w:id="84"/>
      <w:bookmarkEnd w:id="85"/>
      <w:bookmarkEnd w:id="86"/>
      <w:bookmarkEnd w:id="87"/>
      <w:bookmarkEnd w:id="88"/>
      <w:bookmarkEnd w:id="89"/>
      <w:bookmarkEnd w:id="90"/>
    </w:p>
    <w:p w14:paraId="2F9CB772">
      <w:pPr>
        <w:ind w:firstLine="643"/>
        <w:rPr>
          <w:rFonts w:hint="default" w:ascii="Times New Roman" w:hAnsi="Times New Roman" w:cs="Times New Roman"/>
          <w:szCs w:val="32"/>
        </w:rPr>
      </w:pPr>
      <w:bookmarkStart w:id="91" w:name="_Toc201251253"/>
      <w:bookmarkStart w:id="92" w:name="_Toc15674"/>
      <w:bookmarkStart w:id="93" w:name="_Toc201246046"/>
      <w:r>
        <w:rPr>
          <w:rFonts w:hint="default" w:ascii="Times New Roman" w:hAnsi="Times New Roman" w:cs="Times New Roman"/>
          <w:b/>
          <w:bCs/>
          <w:szCs w:val="32"/>
        </w:rPr>
        <w:t>降低项目开发成本。</w:t>
      </w:r>
      <w:r>
        <w:rPr>
          <w:rFonts w:hint="default" w:ascii="Times New Roman" w:hAnsi="Times New Roman" w:cs="Times New Roman"/>
          <w:kern w:val="0"/>
          <w:szCs w:val="32"/>
        </w:rPr>
        <w:t>全面推行并联审批和容缺受理，简化审批流程，提升项目落地效率。鼓励能源开发企业用好绿色债券、超长期特别国债等金融工具，有效降低新能源建设融资成本。积极引导企业通过智能微电网、虚拟电厂、配置储能等方式，降低弃电风险，提升电力市场竞价能力和项目收益水平。支持新能源项目及时申领绿证，充分发挥绿证交易价值，鼓励新能源发电项目主动参与绿证市场交易，拓展资产收益渠道</w:t>
      </w:r>
      <w:r>
        <w:rPr>
          <w:rFonts w:hint="default" w:ascii="Times New Roman" w:hAnsi="Times New Roman" w:cs="Times New Roman"/>
          <w:szCs w:val="32"/>
        </w:rPr>
        <w:t>。</w:t>
      </w:r>
    </w:p>
    <w:p w14:paraId="314F4593">
      <w:pPr>
        <w:ind w:firstLine="643"/>
        <w:rPr>
          <w:rFonts w:hint="default" w:ascii="Times New Roman" w:hAnsi="Times New Roman" w:cs="Times New Roman"/>
        </w:rPr>
      </w:pPr>
      <w:r>
        <w:rPr>
          <w:rFonts w:hint="default" w:ascii="Times New Roman" w:hAnsi="Times New Roman" w:cs="Times New Roman"/>
          <w:b/>
          <w:bCs/>
          <w:szCs w:val="32"/>
        </w:rPr>
        <w:t>降低企业用能成本。</w:t>
      </w:r>
      <w:r>
        <w:rPr>
          <w:rFonts w:hint="default" w:ascii="Times New Roman" w:hAnsi="Times New Roman" w:cs="Times New Roman"/>
          <w:szCs w:val="32"/>
        </w:rPr>
        <w:t>支持港口、矿山、装备制造、数据中心等用能企业联合能源开发企业，</w:t>
      </w:r>
      <w:r>
        <w:rPr>
          <w:rFonts w:hint="eastAsia" w:ascii="Times New Roman" w:hAnsi="Times New Roman" w:cs="Times New Roman"/>
          <w:szCs w:val="32"/>
          <w:lang w:val="en-US" w:eastAsia="zh-CN"/>
        </w:rPr>
        <w:t>通过绿电直连方式降低绿电成本</w:t>
      </w:r>
      <w:r>
        <w:rPr>
          <w:rFonts w:hint="default" w:ascii="Times New Roman" w:hAnsi="Times New Roman" w:cs="Times New Roman"/>
          <w:szCs w:val="32"/>
        </w:rPr>
        <w:t>。鼓励用户通过签订中长期协议、参与绿电交易等方式，锁定用电量和电价，稳步提升清洁电力使用比例，有效降低用能成本。引导符合准入条件的电力用户直接参与中长期交易、现货交易和跨省区交易，持续提升区域电力市场活跃度与资源配置效率，切实降低企业用电成本</w:t>
      </w:r>
      <w:r>
        <w:rPr>
          <w:rFonts w:hint="default" w:ascii="Times New Roman" w:hAnsi="Times New Roman" w:cs="Times New Roman"/>
          <w:lang w:val="en-US" w:eastAsia="zh-CN"/>
        </w:rPr>
        <w:t>。</w:t>
      </w:r>
    </w:p>
    <w:p w14:paraId="77647F8A">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94" w:name="_Toc8969"/>
      <w:bookmarkStart w:id="95" w:name="_Toc8188"/>
      <w:bookmarkStart w:id="96" w:name="_Toc29409"/>
      <w:bookmarkStart w:id="97" w:name="_Toc10862"/>
      <w:r>
        <w:rPr>
          <w:rFonts w:hint="default"/>
          <w:b/>
          <w:bCs w:val="0"/>
          <w:lang w:val="en-US" w:eastAsia="zh-CN"/>
        </w:rPr>
        <w:t>提升用能服务水平</w:t>
      </w:r>
      <w:bookmarkEnd w:id="94"/>
      <w:bookmarkEnd w:id="95"/>
      <w:bookmarkEnd w:id="96"/>
      <w:bookmarkEnd w:id="97"/>
    </w:p>
    <w:p w14:paraId="5F53E00F">
      <w:pPr>
        <w:ind w:firstLine="643"/>
        <w:rPr>
          <w:rFonts w:hint="default" w:ascii="Times New Roman" w:hAnsi="Times New Roman" w:cs="Times New Roman"/>
          <w:color w:val="000000"/>
        </w:rPr>
      </w:pPr>
      <w:r>
        <w:rPr>
          <w:rFonts w:hint="default" w:ascii="Times New Roman" w:hAnsi="Times New Roman" w:cs="Times New Roman"/>
          <w:b/>
          <w:bCs/>
          <w:color w:val="000000"/>
        </w:rPr>
        <w:t>巩固提升“三零”服务</w:t>
      </w:r>
      <w:r>
        <w:rPr>
          <w:rFonts w:hint="default" w:ascii="Times New Roman" w:hAnsi="Times New Roman" w:cs="Times New Roman"/>
          <w:color w:val="000000"/>
        </w:rPr>
        <w:t>。拓展“三零”服务覆盖范围，将低压办电“零投资”扩大至160千瓦及以下各类民营经济组织。对涉及10千伏及以上公共电网升级改造的，同步建设配套电网工程。创新“三零”服务模式，针对春灌秋收、炒茶烤烟、地摊夜市等场景中的临时性、流动性用电需求，做好便民接电点规划建设，通过“扫码用电”等模式为群众提供免报装、快用电服务，有效服务乡村振兴，助力激发消费活力。</w:t>
      </w:r>
    </w:p>
    <w:p w14:paraId="43DC5F79">
      <w:pPr>
        <w:ind w:firstLine="643"/>
        <w:rPr>
          <w:rFonts w:hint="default" w:ascii="Times New Roman" w:hAnsi="Times New Roman" w:cs="Times New Roman"/>
          <w:color w:val="000000"/>
        </w:rPr>
      </w:pPr>
      <w:r>
        <w:rPr>
          <w:rFonts w:hint="default" w:ascii="Times New Roman" w:hAnsi="Times New Roman" w:cs="Times New Roman"/>
          <w:b/>
          <w:bCs/>
          <w:color w:val="000000"/>
        </w:rPr>
        <w:t>持续深化“三省”服务</w:t>
      </w:r>
      <w:r>
        <w:rPr>
          <w:rFonts w:hint="default" w:ascii="Times New Roman" w:hAnsi="Times New Roman" w:cs="Times New Roman"/>
          <w:color w:val="000000"/>
        </w:rPr>
        <w:t>。推广主动办电服务，适度超前建设配套电网工程，及时满足用户接电需求。大力推行快捷办电服务，全面落实办电时限要求，持续优化办电服务流程，全力保障项目用电。深入实施精准办电服务，明确用电报装容量标准，引导用户结合实际用电需求合理确定申请容量。</w:t>
      </w:r>
    </w:p>
    <w:p w14:paraId="483551D7">
      <w:pPr>
        <w:ind w:firstLine="643"/>
        <w:rPr>
          <w:rFonts w:hint="default" w:ascii="Times New Roman" w:hAnsi="Times New Roman" w:cs="Times New Roman"/>
          <w:color w:val="000000"/>
        </w:rPr>
      </w:pPr>
      <w:r>
        <w:rPr>
          <w:rFonts w:hint="default" w:ascii="Times New Roman" w:hAnsi="Times New Roman" w:cs="Times New Roman"/>
          <w:b/>
          <w:bCs/>
          <w:color w:val="000000"/>
        </w:rPr>
        <w:t>全面推进“高效办成一件事”</w:t>
      </w:r>
      <w:r>
        <w:rPr>
          <w:rFonts w:hint="default" w:ascii="Times New Roman" w:hAnsi="Times New Roman" w:cs="Times New Roman"/>
          <w:color w:val="000000"/>
        </w:rPr>
        <w:t>。深化水电气网等联合服务，加快推进数据共享互通，全面实现线上联合申请、材料一次提交、线下联合服务。持续优化涉电行政审批，积极推进电力外线接入工程审批流程优化，逐步推行告知承诺、备案制等便利化举措，探索实行非禁免批。</w:t>
      </w:r>
    </w:p>
    <w:p w14:paraId="3BB3B92F">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98" w:name="_Toc26576"/>
      <w:bookmarkStart w:id="99" w:name="_Toc4542"/>
      <w:bookmarkStart w:id="100" w:name="_Toc4566"/>
      <w:bookmarkStart w:id="101" w:name="_Toc7052"/>
      <w:bookmarkStart w:id="102" w:name="_Toc10195"/>
      <w:bookmarkStart w:id="103" w:name="_Toc20573"/>
      <w:r>
        <w:rPr>
          <w:rFonts w:hint="default"/>
          <w:b/>
          <w:bCs w:val="0"/>
          <w:lang w:val="en-US" w:eastAsia="zh-CN"/>
        </w:rPr>
        <w:t>完善充电基础设施</w:t>
      </w:r>
      <w:bookmarkEnd w:id="98"/>
      <w:bookmarkEnd w:id="99"/>
      <w:bookmarkEnd w:id="100"/>
      <w:bookmarkEnd w:id="101"/>
      <w:bookmarkEnd w:id="102"/>
      <w:bookmarkEnd w:id="103"/>
    </w:p>
    <w:p w14:paraId="27278DD1">
      <w:pPr>
        <w:ind w:firstLine="643"/>
        <w:rPr>
          <w:rFonts w:hint="default" w:ascii="Times New Roman" w:hAnsi="Times New Roman" w:cs="Times New Roman"/>
          <w:b/>
          <w:bCs/>
          <w:color w:val="000000"/>
        </w:rPr>
      </w:pPr>
      <w:r>
        <w:rPr>
          <w:rFonts w:hint="default" w:ascii="Times New Roman" w:hAnsi="Times New Roman" w:cs="Times New Roman"/>
          <w:b/>
          <w:bCs/>
          <w:color w:val="000000"/>
        </w:rPr>
        <w:t>推进城市充电网络提质扩面。</w:t>
      </w:r>
      <w:r>
        <w:rPr>
          <w:rFonts w:hint="default" w:ascii="Times New Roman" w:hAnsi="Times New Roman" w:cs="Times New Roman"/>
          <w:b w:val="0"/>
          <w:bCs w:val="0"/>
          <w:color w:val="000000"/>
        </w:rPr>
        <w:t>以“两区”和“三中心”为核心节点，推动充电设施从城市中心区向城区边缘、郊区新城有序延伸。新建居住区严格落实充电设施安装条件预留要求，优化既有小区充电桩建设审批流程，推广“统建统服”模式，鼓励充电运营商统一提供建设、运营和维护服务。在公共场站、交通枢纽、旅游景区等重点区域加快布局以快充为主、慢充为辅的公共充电网络，积极推进光储充一体化站点建设，鼓励推广车网互动（V2G）和大功率充电设施。到“十五五”末，实现A级以上旅游景区、高速公路服务区、城市公共停车场充电设施全覆盖，城市核心区充电服务半径小于1公里</w:t>
      </w:r>
      <w:r>
        <w:rPr>
          <w:rFonts w:hint="default" w:ascii="Times New Roman" w:hAnsi="Times New Roman" w:cs="Times New Roman"/>
          <w:b w:val="0"/>
          <w:bCs w:val="0"/>
          <w:color w:val="000000"/>
          <w:lang w:val="en-US" w:eastAsia="zh-CN"/>
        </w:rPr>
        <w:t>。</w:t>
      </w:r>
    </w:p>
    <w:p w14:paraId="60B7522F">
      <w:pPr>
        <w:ind w:firstLine="643"/>
        <w:rPr>
          <w:rFonts w:hint="default" w:ascii="Times New Roman" w:hAnsi="Times New Roman" w:cs="Times New Roman"/>
          <w:b/>
          <w:bCs/>
          <w:color w:val="000000"/>
        </w:rPr>
      </w:pPr>
      <w:r>
        <w:rPr>
          <w:rFonts w:hint="default" w:ascii="Times New Roman" w:hAnsi="Times New Roman" w:cs="Times New Roman"/>
          <w:b/>
          <w:bCs/>
          <w:color w:val="000000"/>
        </w:rPr>
        <w:t>强化农村充电服务有效覆盖。</w:t>
      </w:r>
      <w:r>
        <w:rPr>
          <w:rFonts w:hint="default" w:ascii="Times New Roman" w:hAnsi="Times New Roman" w:cs="Times New Roman"/>
          <w:b w:val="0"/>
          <w:bCs w:val="0"/>
          <w:color w:val="000000"/>
        </w:rPr>
        <w:t>结合县域充换电设施补短板试点政策，优先在人口大村、经济强镇、交通节点村和乡村旅游重点村镇布局公共充电设施。推动农村充电网络与配电网协同规划，在大型村镇、易地搬迁安置区等区域建设直流快充站，鼓励机关企事业单位内部充电设施有序向社会开放。到“十五五”末，实现充电设施“行政村全覆盖”，有力支撑新能源汽车下乡</w:t>
      </w:r>
      <w:r>
        <w:rPr>
          <w:rFonts w:hint="default" w:ascii="Times New Roman" w:hAnsi="Times New Roman" w:cs="Times New Roman"/>
          <w:b w:val="0"/>
          <w:bCs w:val="0"/>
          <w:color w:val="000000"/>
          <w:lang w:val="en-US" w:eastAsia="zh-CN"/>
        </w:rPr>
        <w:t>。</w:t>
      </w:r>
    </w:p>
    <w:p w14:paraId="6A863D5C">
      <w:pPr>
        <w:ind w:firstLine="643"/>
        <w:rPr>
          <w:rFonts w:hint="default" w:ascii="Times New Roman" w:hAnsi="Times New Roman" w:cs="Times New Roman"/>
          <w:b w:val="0"/>
          <w:bCs w:val="0"/>
          <w:color w:val="000000"/>
          <w:lang w:val="en-US" w:eastAsia="zh-CN"/>
        </w:rPr>
      </w:pPr>
      <w:r>
        <w:rPr>
          <w:rFonts w:hint="default" w:ascii="Times New Roman" w:hAnsi="Times New Roman" w:cs="Times New Roman"/>
          <w:b/>
          <w:bCs/>
          <w:color w:val="000000"/>
        </w:rPr>
        <w:t>创新技术应用与运营模式。</w:t>
      </w:r>
      <w:r>
        <w:rPr>
          <w:rFonts w:hint="default" w:ascii="Times New Roman" w:hAnsi="Times New Roman" w:cs="Times New Roman"/>
          <w:b w:val="0"/>
          <w:bCs w:val="0"/>
          <w:color w:val="000000"/>
          <w:lang w:val="en-US" w:eastAsia="zh-CN"/>
        </w:rPr>
        <w:t>积极推广智能有序充电、车网互动（V2G）、超级快充等新技术应用，加快既有充电设施智能化改造。鼓励充电场站与商业服务设施融合建设，拓展充电服务生态，提升综合运营收益。加强充电设施运营数据统筹管理，建立覆盖全域的实时监测、运行分析和效能评价机制，为公众提供查询、导航、支付等一站式便捷服务，为规划布局、运营优化、安全监管提供数据支撑。持续优化居民充电桩报装流程，探索“一小区一证明”等便民服务举措，不断提高充电服务便利度和满意度。</w:t>
      </w:r>
    </w:p>
    <w:p w14:paraId="3CB22C52">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104" w:name="_Toc14187"/>
      <w:bookmarkStart w:id="105" w:name="_Toc21542"/>
      <w:bookmarkStart w:id="106" w:name="_Toc16692"/>
      <w:bookmarkStart w:id="107" w:name="_Toc13554"/>
      <w:r>
        <w:rPr>
          <w:rFonts w:hint="default"/>
          <w:b/>
          <w:bCs w:val="0"/>
          <w:lang w:val="en-US" w:eastAsia="zh-CN"/>
        </w:rPr>
        <w:t>提升居民用能水平</w:t>
      </w:r>
      <w:bookmarkEnd w:id="91"/>
      <w:bookmarkEnd w:id="92"/>
      <w:bookmarkEnd w:id="93"/>
      <w:bookmarkEnd w:id="104"/>
      <w:bookmarkEnd w:id="105"/>
      <w:bookmarkEnd w:id="106"/>
      <w:bookmarkEnd w:id="107"/>
    </w:p>
    <w:p w14:paraId="4907F1AA">
      <w:pPr>
        <w:ind w:firstLine="643"/>
        <w:rPr>
          <w:rFonts w:hint="default" w:ascii="Times New Roman" w:hAnsi="Times New Roman" w:cs="Times New Roman"/>
          <w:color w:val="000000"/>
        </w:rPr>
      </w:pPr>
      <w:r>
        <w:rPr>
          <w:rFonts w:hint="default" w:ascii="Times New Roman" w:hAnsi="Times New Roman" w:cs="Times New Roman"/>
          <w:b/>
          <w:color w:val="000000"/>
        </w:rPr>
        <w:t>持续开展农村能源革命</w:t>
      </w:r>
      <w:r>
        <w:rPr>
          <w:rFonts w:hint="default" w:ascii="Times New Roman" w:hAnsi="Times New Roman" w:cs="Times New Roman"/>
          <w:bCs/>
          <w:color w:val="000000"/>
        </w:rPr>
        <w:t>。</w:t>
      </w:r>
      <w:r>
        <w:rPr>
          <w:rFonts w:hint="default" w:ascii="Times New Roman" w:hAnsi="Times New Roman" w:cs="Times New Roman"/>
          <w:bCs/>
          <w:color w:val="000000"/>
          <w:lang w:val="en-US" w:eastAsia="zh-CN"/>
        </w:rPr>
        <w:t>深入推进“千家万户沐光行动”“千乡万村驭风行动”，鼓励乡村因地制宜发展风电、</w:t>
      </w:r>
      <w:r>
        <w:rPr>
          <w:rFonts w:hint="eastAsia" w:ascii="Times New Roman" w:hAnsi="Times New Roman" w:cs="Times New Roman"/>
          <w:bCs/>
          <w:color w:val="000000"/>
          <w:lang w:val="en-US" w:eastAsia="zh-CN"/>
        </w:rPr>
        <w:t>光伏</w:t>
      </w:r>
      <w:r>
        <w:rPr>
          <w:rFonts w:hint="default" w:ascii="Times New Roman" w:hAnsi="Times New Roman" w:cs="Times New Roman"/>
          <w:bCs/>
          <w:color w:val="000000"/>
          <w:lang w:val="en-US" w:eastAsia="zh-CN"/>
        </w:rPr>
        <w:t>，有序推进乡村户用光伏发展，为农民创造稳定绿色电力收益。充分发挥赤壁市长江经济带乡村振兴示范区引领带动作用，将乡村能源建设作为乡村振兴的新动力，促进新能源开发与公共服务设施建设有机融合，以“新能源+公共设施”模式构建光伏+充电桩、光伏+停车场、光伏+公路等新能源应用场景，全面提升乡村公共设施品质</w:t>
      </w:r>
      <w:r>
        <w:rPr>
          <w:rFonts w:hint="default" w:ascii="Times New Roman" w:hAnsi="Times New Roman" w:cs="Times New Roman"/>
          <w:bCs/>
          <w:color w:val="000000"/>
        </w:rPr>
        <w:t>。</w:t>
      </w:r>
    </w:p>
    <w:p w14:paraId="7523932D">
      <w:pPr>
        <w:ind w:firstLine="643"/>
        <w:rPr>
          <w:rFonts w:hint="default" w:ascii="Times New Roman" w:hAnsi="Times New Roman" w:cs="Times New Roman"/>
          <w:bCs/>
          <w:color w:val="000000"/>
        </w:rPr>
      </w:pPr>
      <w:r>
        <w:rPr>
          <w:rFonts w:hint="default" w:ascii="Times New Roman" w:hAnsi="Times New Roman" w:cs="Times New Roman"/>
          <w:b/>
          <w:color w:val="000000"/>
        </w:rPr>
        <w:t>完善农民收益分配机制。</w:t>
      </w:r>
      <w:r>
        <w:rPr>
          <w:rFonts w:hint="default" w:ascii="Times New Roman" w:hAnsi="Times New Roman" w:cs="Times New Roman"/>
          <w:bCs/>
          <w:color w:val="000000"/>
        </w:rPr>
        <w:t>鼓励企业积极履行社会责任，在新能源项目规划实施中充分保障社区利益，健全土地流转补偿和收益共享机制。依托新能源项目收益，探索构建“共建共享”的收益分配新机制，推动形成惠民利民的新能源开发利用格局。</w:t>
      </w:r>
    </w:p>
    <w:p w14:paraId="7FDBB0E6">
      <w:pPr>
        <w:ind w:firstLine="643"/>
        <w:rPr>
          <w:rFonts w:hint="default" w:ascii="Times New Roman" w:hAnsi="Times New Roman" w:cs="Times New Roman"/>
          <w:bCs/>
          <w:color w:val="000000"/>
        </w:rPr>
      </w:pPr>
      <w:r>
        <w:rPr>
          <w:rFonts w:hint="default" w:ascii="Times New Roman" w:hAnsi="Times New Roman" w:cs="Times New Roman"/>
          <w:b/>
          <w:color w:val="000000"/>
        </w:rPr>
        <w:t>形成村企合作建设模式。</w:t>
      </w:r>
      <w:r>
        <w:rPr>
          <w:rFonts w:hint="default" w:ascii="Times New Roman" w:hAnsi="Times New Roman" w:cs="Times New Roman"/>
          <w:bCs/>
          <w:color w:val="000000"/>
        </w:rPr>
        <w:t>鼓励企业遵循市场化运作原则，通过产业融合为村民创造就业和收益，提升村民参与度和满意度，有效化解社区矛盾，降低社会成本，让新能源产业更</w:t>
      </w:r>
      <w:r>
        <w:rPr>
          <w:rFonts w:hint="eastAsia" w:ascii="Times New Roman" w:hAnsi="Times New Roman" w:cs="Times New Roman"/>
          <w:bCs/>
          <w:color w:val="000000"/>
          <w:lang w:eastAsia="zh-CN"/>
        </w:rPr>
        <w:t>好地</w:t>
      </w:r>
      <w:r>
        <w:rPr>
          <w:rFonts w:hint="default" w:ascii="Times New Roman" w:hAnsi="Times New Roman" w:cs="Times New Roman"/>
          <w:bCs/>
          <w:color w:val="000000"/>
        </w:rPr>
        <w:t>造福人民群众、促进高质量发展。</w:t>
      </w:r>
      <w:r>
        <w:rPr>
          <w:rFonts w:hint="eastAsia" w:ascii="Times New Roman" w:hAnsi="Times New Roman" w:cs="Times New Roman"/>
          <w:bCs/>
          <w:color w:val="000000"/>
          <w:lang w:val="en-US" w:eastAsia="zh-CN"/>
        </w:rPr>
        <w:t>探索</w:t>
      </w:r>
      <w:r>
        <w:rPr>
          <w:rFonts w:hint="default" w:ascii="Times New Roman" w:hAnsi="Times New Roman" w:cs="Times New Roman"/>
          <w:bCs/>
          <w:color w:val="000000"/>
        </w:rPr>
        <w:t>以土地入股、土地租赁、运维承包等多元化</w:t>
      </w:r>
      <w:r>
        <w:rPr>
          <w:rFonts w:hint="eastAsia" w:ascii="Times New Roman" w:hAnsi="Times New Roman" w:cs="Times New Roman"/>
          <w:bCs/>
          <w:color w:val="000000"/>
          <w:lang w:val="en-US" w:eastAsia="zh-CN"/>
        </w:rPr>
        <w:t>合作</w:t>
      </w:r>
      <w:r>
        <w:rPr>
          <w:rFonts w:hint="default" w:ascii="Times New Roman" w:hAnsi="Times New Roman" w:cs="Times New Roman"/>
          <w:bCs/>
          <w:color w:val="000000"/>
        </w:rPr>
        <w:t>模式，综合考量股比、土地、人力资源等投入要素，探索构建“村企合作”的新能源投资建设新模式，推动实现“村里有资源、集体增收益、村民得实惠”。</w:t>
      </w:r>
    </w:p>
    <w:p w14:paraId="0436B442">
      <w:pPr>
        <w:pStyle w:val="3"/>
        <w:keepNext/>
        <w:keepLines/>
        <w:pageBreakBefore w:val="0"/>
        <w:widowControl w:val="0"/>
        <w:kinsoku/>
        <w:wordWrap/>
        <w:overflowPunct/>
        <w:topLinePunct w:val="0"/>
        <w:autoSpaceDE/>
        <w:autoSpaceDN/>
        <w:bidi w:val="0"/>
        <w:adjustRightInd/>
        <w:snapToGrid/>
        <w:ind w:firstLine="643" w:firstLineChars="200"/>
        <w:textAlignment w:val="auto"/>
        <w:rPr>
          <w:rFonts w:hint="default"/>
          <w:b/>
          <w:bCs w:val="0"/>
          <w:lang w:val="en-US" w:eastAsia="zh-CN"/>
        </w:rPr>
      </w:pPr>
      <w:bookmarkStart w:id="108" w:name="_Toc201251254"/>
      <w:bookmarkStart w:id="109" w:name="_Toc25209"/>
      <w:bookmarkStart w:id="110" w:name="_Toc201246047"/>
      <w:bookmarkStart w:id="111" w:name="_Toc30406"/>
      <w:bookmarkStart w:id="112" w:name="_Toc17712"/>
      <w:bookmarkStart w:id="113" w:name="_Toc620"/>
      <w:bookmarkStart w:id="114" w:name="_Toc28382"/>
      <w:r>
        <w:rPr>
          <w:rFonts w:hint="default"/>
          <w:b/>
          <w:bCs w:val="0"/>
          <w:lang w:val="en-US" w:eastAsia="zh-CN"/>
        </w:rPr>
        <w:t>强化能源监管</w:t>
      </w:r>
      <w:bookmarkEnd w:id="108"/>
      <w:bookmarkEnd w:id="109"/>
      <w:bookmarkEnd w:id="110"/>
      <w:r>
        <w:rPr>
          <w:rFonts w:hint="default"/>
          <w:b/>
          <w:bCs w:val="0"/>
          <w:lang w:val="en-US" w:eastAsia="zh-CN"/>
        </w:rPr>
        <w:t>能力</w:t>
      </w:r>
      <w:bookmarkEnd w:id="111"/>
      <w:bookmarkEnd w:id="112"/>
      <w:bookmarkEnd w:id="113"/>
      <w:bookmarkEnd w:id="114"/>
    </w:p>
    <w:p w14:paraId="007B0586">
      <w:pPr>
        <w:ind w:firstLine="643"/>
        <w:rPr>
          <w:rFonts w:hint="eastAsia" w:ascii="Times New Roman" w:hAnsi="Times New Roman" w:cs="Times New Roman"/>
          <w:lang w:eastAsia="zh-CN"/>
        </w:rPr>
      </w:pPr>
      <w:r>
        <w:rPr>
          <w:rFonts w:hint="default" w:ascii="Times New Roman" w:hAnsi="Times New Roman" w:cs="Times New Roman"/>
          <w:b/>
          <w:bCs/>
        </w:rPr>
        <w:t>加强能源生产安全管理。</w:t>
      </w:r>
      <w:r>
        <w:rPr>
          <w:rFonts w:hint="eastAsia" w:ascii="Times New Roman" w:hAnsi="Times New Roman" w:cs="Times New Roman"/>
          <w:lang w:eastAsia="zh-CN"/>
        </w:rPr>
        <w:t>压实属地管理、部门监管和企业主体三方责任，严格实行全员安全生产责任制，构建风险分级管控与隐患排查治理双重防线，确保重要能源设施安全可控。强化能源矿产开发全过程安全监管，严格落实矿山全链条监管制度，扎实推进通山、赤壁等地采煤沉陷区综合治理与生态修复。强化电力生产安全管控，全面推行“两票三制”，加强发输变配各环节安全管理，重点抓好新能源场站高空作业、电气作业等风险点管控，完善应急预案并定期开展应急演练。</w:t>
      </w:r>
    </w:p>
    <w:p w14:paraId="1BAB75CD">
      <w:pPr>
        <w:ind w:firstLine="643"/>
        <w:rPr>
          <w:rFonts w:hint="default" w:ascii="Times New Roman" w:hAnsi="Times New Roman" w:cs="Times New Roman"/>
        </w:rPr>
      </w:pPr>
      <w:r>
        <w:rPr>
          <w:rFonts w:hint="default" w:ascii="Times New Roman" w:hAnsi="Times New Roman" w:cs="Times New Roman"/>
          <w:b/>
        </w:rPr>
        <w:t>加强能源供给安全管理。</w:t>
      </w:r>
      <w:r>
        <w:rPr>
          <w:rFonts w:hint="default" w:ascii="Times New Roman" w:hAnsi="Times New Roman" w:cs="Times New Roman"/>
        </w:rPr>
        <w:t>强化能源市场、行业和安全全过程监管。健全供需预警预测机制，增强形势分析研判与指挥调度能力，制定完善大面积停电、天然气保供应急等专项应急预案，完善能源调峰市场，进一步健全能源保供应急管理体系，确保能源供给形势总体平稳。</w:t>
      </w:r>
    </w:p>
    <w:p w14:paraId="29D7F6C0">
      <w:pPr>
        <w:ind w:firstLine="643"/>
        <w:rPr>
          <w:rFonts w:hint="default" w:ascii="Times New Roman" w:hAnsi="Times New Roman" w:cs="Times New Roman"/>
        </w:rPr>
      </w:pPr>
      <w:r>
        <w:rPr>
          <w:rFonts w:hint="default" w:ascii="Times New Roman" w:hAnsi="Times New Roman" w:cs="Times New Roman"/>
          <w:b/>
        </w:rPr>
        <w:t>加强用能终端安全管理。</w:t>
      </w:r>
      <w:r>
        <w:rPr>
          <w:rFonts w:hint="default" w:ascii="Times New Roman" w:hAnsi="Times New Roman" w:cs="Times New Roman"/>
        </w:rPr>
        <w:t>强化燃气管道、电气设备、消防设施等定期检查与维护，重点整治老旧设备安全隐患。针对燃气泄漏、电气火灾等常见风险，建立标准化防控处置流程。深入开展能源安全宣传教育，全面提升全民用能安全意识。</w:t>
      </w:r>
    </w:p>
    <w:p w14:paraId="00BD6F72">
      <w:pPr>
        <w:ind w:firstLine="643"/>
        <w:rPr>
          <w:rFonts w:hint="default" w:ascii="Times New Roman" w:hAnsi="Times New Roman" w:cs="Times New Roman"/>
        </w:rPr>
      </w:pPr>
    </w:p>
    <w:p w14:paraId="2F7EA50D">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bookmarkStart w:id="115" w:name="_Toc11535"/>
      <w:r>
        <w:rPr>
          <w:rFonts w:hint="default" w:ascii="Times New Roman" w:hAnsi="Times New Roman" w:cs="Times New Roman"/>
          <w:lang w:val="en-US" w:eastAsia="zh-CN"/>
        </w:rPr>
        <w:t>加强规划实施与管理</w:t>
      </w:r>
      <w:bookmarkEnd w:id="115"/>
    </w:p>
    <w:p w14:paraId="3BE7CFA0">
      <w:pPr>
        <w:rPr>
          <w:rFonts w:hint="default"/>
        </w:rPr>
      </w:pPr>
    </w:p>
    <w:p w14:paraId="102B44A4">
      <w:pPr>
        <w:pStyle w:val="3"/>
        <w:ind w:firstLine="640" w:firstLineChars="200"/>
        <w:rPr>
          <w:rFonts w:hint="default" w:ascii="Times New Roman" w:hAnsi="Times New Roman" w:cs="Times New Roman"/>
        </w:rPr>
      </w:pPr>
      <w:bookmarkStart w:id="116" w:name="_Toc203548991"/>
      <w:bookmarkStart w:id="117" w:name="_Toc32477"/>
      <w:r>
        <w:rPr>
          <w:rFonts w:hint="default" w:ascii="Times New Roman" w:hAnsi="Times New Roman" w:cs="Times New Roman"/>
          <w:lang w:val="zh-CN"/>
        </w:rPr>
        <w:t>强化组织实施</w:t>
      </w:r>
      <w:bookmarkEnd w:id="116"/>
      <w:bookmarkEnd w:id="117"/>
    </w:p>
    <w:p w14:paraId="0292CC00">
      <w:pPr>
        <w:ind w:firstLine="640"/>
        <w:rPr>
          <w:rFonts w:hint="default" w:ascii="Times New Roman" w:hAnsi="Times New Roman" w:cs="Times New Roman"/>
        </w:rPr>
      </w:pPr>
      <w:r>
        <w:rPr>
          <w:rFonts w:hint="default" w:ascii="Times New Roman" w:hAnsi="Times New Roman" w:cs="Times New Roman"/>
          <w:color w:val="000000"/>
          <w:lang w:val="en-US" w:eastAsia="zh-CN"/>
        </w:rPr>
        <w:t>加强能源规划与国家和省级战略、市级总体规划、经济社会发展规划及其他专项规划的衔接，统筹考虑生态保护红线与自然保护地等约束条件，科学布局能源开发与利用项目。建立规划实施推进机制，形成发展改革部门牵头、相关部门协同配合、企业主体落实执行的工作格局，强化市级政府对能源工作的统筹管理，切实做好能源发展战略、规划、政策与标准的制定与实施。</w:t>
      </w:r>
    </w:p>
    <w:p w14:paraId="5A5ADB8F">
      <w:pPr>
        <w:pStyle w:val="3"/>
        <w:ind w:firstLine="640" w:firstLineChars="200"/>
        <w:rPr>
          <w:rFonts w:hint="default" w:ascii="Times New Roman" w:hAnsi="Times New Roman" w:cs="Times New Roman"/>
          <w:lang w:val="zh-CN"/>
        </w:rPr>
      </w:pPr>
      <w:bookmarkStart w:id="118" w:name="_Toc32386"/>
      <w:bookmarkStart w:id="119" w:name="_Toc203548992"/>
      <w:r>
        <w:rPr>
          <w:rFonts w:hint="default" w:ascii="Times New Roman" w:hAnsi="Times New Roman" w:cs="Times New Roman"/>
          <w:lang w:val="zh-CN"/>
        </w:rPr>
        <w:t>加强要素保障</w:t>
      </w:r>
      <w:bookmarkEnd w:id="118"/>
      <w:bookmarkEnd w:id="119"/>
    </w:p>
    <w:p w14:paraId="3ED6A049">
      <w:pPr>
        <w:ind w:firstLine="640"/>
        <w:rPr>
          <w:rFonts w:hint="default" w:ascii="Times New Roman" w:hAnsi="Times New Roman" w:cs="Times New Roman"/>
        </w:rPr>
      </w:pPr>
      <w:r>
        <w:rPr>
          <w:rFonts w:hint="default" w:ascii="Times New Roman" w:hAnsi="Times New Roman" w:cs="Times New Roman"/>
        </w:rPr>
        <w:t>加强重点领域财政支持，全面贯彻落实国家及省级各项优惠政策，加大对能源发展在财政、税收、金融、土地等方面的政策扶持力度。强化金融支持，引导和鼓励企业用足用好国家、省、市有关投资、金融及债券发行等政策；支持金融机构加大对能源项目的融资力度。切实保障重大能源项目用地需求，在项目规划选址、建设审批、施工保障等方面予以优先支持。</w:t>
      </w:r>
    </w:p>
    <w:p w14:paraId="2FD4647C">
      <w:pPr>
        <w:pStyle w:val="3"/>
        <w:ind w:firstLine="640" w:firstLineChars="200"/>
        <w:rPr>
          <w:rFonts w:hint="default" w:ascii="Times New Roman" w:hAnsi="Times New Roman" w:cs="Times New Roman"/>
          <w:lang w:val="zh-CN"/>
        </w:rPr>
      </w:pPr>
      <w:bookmarkStart w:id="120" w:name="_Toc203548993"/>
      <w:bookmarkStart w:id="121" w:name="_Toc4568"/>
      <w:r>
        <w:rPr>
          <w:rFonts w:hint="default" w:ascii="Times New Roman" w:hAnsi="Times New Roman" w:cs="Times New Roman"/>
          <w:lang w:val="zh-CN"/>
        </w:rPr>
        <w:t>提升管理水平</w:t>
      </w:r>
      <w:bookmarkEnd w:id="120"/>
      <w:bookmarkEnd w:id="121"/>
    </w:p>
    <w:p w14:paraId="18FA1AA3">
      <w:pPr>
        <w:ind w:firstLine="640"/>
        <w:rPr>
          <w:rFonts w:hint="default" w:ascii="Times New Roman" w:hAnsi="Times New Roman" w:cs="Times New Roman"/>
          <w:color w:val="000000"/>
        </w:rPr>
      </w:pPr>
      <w:r>
        <w:rPr>
          <w:rFonts w:hint="default" w:ascii="Times New Roman" w:hAnsi="Times New Roman" w:cs="Times New Roman"/>
          <w:color w:val="000000"/>
        </w:rPr>
        <w:t>规范能源项目管理，加强能源、生态环境、自然资源、林业、农业农村、市场监管、电力等部门联动配合，构建权责明确、公平公正、公开透明、简约高效的事中事后监管体系和有利于能源项目推进发展的协同服务机制。</w:t>
      </w:r>
      <w:r>
        <w:rPr>
          <w:rFonts w:hint="default" w:ascii="Times New Roman" w:hAnsi="Times New Roman" w:cs="Times New Roman"/>
        </w:rPr>
        <w:t>加强规划实施评估，全面落实本规划确定的各项目标、任务，完善规划的监督考核机制。建立完善中期评估与终期评估相结合、年度工作任务与定期督促检查相结合的规划实施工作机制，及时发现问题，提出对应措施和调整意见</w:t>
      </w:r>
      <w:r>
        <w:rPr>
          <w:rFonts w:hint="default" w:ascii="Times New Roman" w:hAnsi="Times New Roman" w:cs="Times New Roman"/>
          <w:color w:val="000000"/>
        </w:rPr>
        <w:t>。</w:t>
      </w:r>
    </w:p>
    <w:p w14:paraId="5B4FFADF">
      <w:pPr>
        <w:ind w:firstLine="640"/>
        <w:rPr>
          <w:rFonts w:hint="default" w:ascii="Times New Roman" w:hAnsi="Times New Roman" w:cs="Times New Roman"/>
          <w:color w:val="000000"/>
        </w:rPr>
      </w:pPr>
    </w:p>
    <w:p w14:paraId="3C0E6BEE">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bookmarkStart w:id="122" w:name="_Toc3249"/>
      <w:r>
        <w:rPr>
          <w:rFonts w:hint="default" w:ascii="Times New Roman" w:hAnsi="Times New Roman" w:cs="Times New Roman"/>
        </w:rPr>
        <w:t>环境影响评价</w:t>
      </w:r>
      <w:bookmarkEnd w:id="122"/>
    </w:p>
    <w:p w14:paraId="2229ED5F">
      <w:pPr>
        <w:rPr>
          <w:rFonts w:hint="default"/>
        </w:rPr>
      </w:pPr>
    </w:p>
    <w:p w14:paraId="0B84164E">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bookmarkStart w:id="123" w:name="_Toc31369"/>
      <w:r>
        <w:rPr>
          <w:rFonts w:hint="default"/>
          <w:lang w:val="en-US" w:eastAsia="zh-CN"/>
        </w:rPr>
        <w:t>强化规划与项目环评制度联动</w:t>
      </w:r>
      <w:bookmarkEnd w:id="123"/>
    </w:p>
    <w:p w14:paraId="524F31EC">
      <w:pPr>
        <w:widowControl w:val="0"/>
        <w:spacing w:line="560" w:lineRule="exact"/>
        <w:ind w:firstLine="640" w:firstLineChars="200"/>
        <w:jc w:val="both"/>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严格执行《中华人民共和国环境保护法》《中华人民共和国环境影响评价法》等法律法规，落实“三线一单”生态环境分区管控要求。加强规划环评对能源项目布局、规模及结构的约束指导，规范规划环评与项目环评联动审查程序。严格落实环保“三同时”制度，规范竣工环保验收，依法开展环境影响后评价。强化事中事后监管，推动环评、施工监管、排污许可与后评价有效衔接，压实企业主体责任，严肃查处环境违法行为。</w:t>
      </w:r>
    </w:p>
    <w:p w14:paraId="076931A3">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bookmarkStart w:id="124" w:name="_Toc24335"/>
      <w:r>
        <w:rPr>
          <w:rFonts w:hint="default"/>
          <w:lang w:val="en-US" w:eastAsia="zh-CN"/>
        </w:rPr>
        <w:t>严格能源开发生产环节环境保护</w:t>
      </w:r>
      <w:bookmarkEnd w:id="124"/>
    </w:p>
    <w:p w14:paraId="6EC14FDC">
      <w:pPr>
        <w:widowControl w:val="0"/>
        <w:spacing w:line="560" w:lineRule="exact"/>
        <w:ind w:firstLine="640" w:firstLineChars="200"/>
        <w:jc w:val="both"/>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严控新建、改扩建能源项目环保准入，优化选址布局。电源项目环保设施须与主体工程同步设计、同步施工、同步投产，确保全时段稳定达标排放。鼓励煤炭清洁高效利用，推动灰渣、脱硫石膏等固废资源化综合利用。能源企业应制定并落实污染防治方案，强化运行期环境监测与风险防范，最大限度降低对土地、水体及生态环境的影响。</w:t>
      </w:r>
    </w:p>
    <w:p w14:paraId="5E8118AF">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bookmarkStart w:id="125" w:name="_Toc13681"/>
      <w:bookmarkStart w:id="126" w:name="_Toc3009"/>
      <w:bookmarkStart w:id="127" w:name="_Toc14010"/>
      <w:r>
        <w:rPr>
          <w:rFonts w:hint="default"/>
          <w:lang w:val="en-US" w:eastAsia="zh-CN"/>
        </w:rPr>
        <w:t>加强能源运输储备环节环境保护</w:t>
      </w:r>
      <w:bookmarkEnd w:id="125"/>
      <w:bookmarkEnd w:id="126"/>
      <w:bookmarkEnd w:id="127"/>
    </w:p>
    <w:p w14:paraId="58E8BAD4">
      <w:pPr>
        <w:widowControl w:val="0"/>
        <w:spacing w:line="560" w:lineRule="exact"/>
        <w:ind w:firstLine="640" w:firstLineChars="200"/>
        <w:jc w:val="both"/>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优化能源输送结构，优先发展管道运输，强化在役管道隐患排查与完整性管理，完善环境风险应急预案，防范泄漏、火灾及爆炸次生环境风险。提升煤炭铁路、水路及多式联运比例，减少运输扬尘与损耗。输变电工程应合理选址选线，采用先进技术降低电磁与噪声影响。油气储备设施须满足安全环保防护距离要求，落实防渗、防溢、消防措施；煤炭储备设施应加强防风抑尘、温度监测及防自燃管理。</w:t>
      </w:r>
    </w:p>
    <w:p w14:paraId="0C6B07BD">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bCs/>
          <w:kern w:val="2"/>
          <w:sz w:val="32"/>
          <w:szCs w:val="32"/>
          <w:lang w:val="en-US" w:eastAsia="zh-CN" w:bidi="ar-SA"/>
        </w:rPr>
      </w:pPr>
      <w:bookmarkStart w:id="128" w:name="_Toc206"/>
      <w:bookmarkStart w:id="129" w:name="_Toc32153"/>
      <w:bookmarkStart w:id="130" w:name="_Toc2443"/>
      <w:r>
        <w:rPr>
          <w:rFonts w:hint="default" w:ascii="Times New Roman" w:hAnsi="Times New Roman" w:eastAsia="楷体_GB2312" w:cs="Times New Roman"/>
          <w:bCs/>
          <w:kern w:val="2"/>
          <w:sz w:val="32"/>
          <w:szCs w:val="32"/>
          <w:lang w:val="en-US" w:eastAsia="zh-CN" w:bidi="ar-SA"/>
        </w:rPr>
        <w:t>强化能源消费利用环节环境保护</w:t>
      </w:r>
      <w:bookmarkEnd w:id="128"/>
      <w:bookmarkEnd w:id="129"/>
      <w:bookmarkEnd w:id="130"/>
    </w:p>
    <w:p w14:paraId="5A6809D8">
      <w:pPr>
        <w:rPr>
          <w:rFonts w:hint="default" w:ascii="Times New Roman" w:hAnsi="Times New Roman" w:eastAsia="仿宋_GB2312" w:cs="Times New Roman"/>
          <w:kern w:val="2"/>
          <w:sz w:val="32"/>
          <w:szCs w:val="22"/>
          <w:lang w:val="en-US" w:eastAsia="zh-CN" w:bidi="ar-SA"/>
        </w:rPr>
      </w:pPr>
      <w:r>
        <w:rPr>
          <w:rFonts w:hint="default" w:ascii="Times New Roman" w:hAnsi="Times New Roman" w:cs="Times New Roman"/>
          <w:lang w:val="en-US" w:eastAsia="zh-CN"/>
        </w:rPr>
        <w:t>落实碳排放双控制度，对重点用能单位实施节能监察，对能效低于基准水平且限期整改未达标的项目或企业，依法采取用能调控措施。推广能源梯级利用与清洁替代，持续推进加油站油气回收治理，规范生物质能利用，积极推动工业余热余压、废气废液废渣资源化利用。通过结构、技术、管理协同节能，持续降低单位产值能耗与污染物排放强度</w:t>
      </w:r>
      <w:r>
        <w:rPr>
          <w:rFonts w:hint="default" w:ascii="Times New Roman" w:hAnsi="Times New Roman" w:cs="Times New Roman"/>
        </w:rPr>
        <w:t>。</w:t>
      </w:r>
    </w:p>
    <w:p w14:paraId="4FC3EDCD">
      <w:pPr>
        <w:ind w:firstLine="640"/>
        <w:rPr>
          <w:rFonts w:hint="default" w:ascii="Times New Roman" w:hAnsi="Times New Roman" w:cs="Times New Roman"/>
        </w:rPr>
        <w:sectPr>
          <w:footerReference r:id="rId12" w:type="default"/>
          <w:pgSz w:w="11906" w:h="16838"/>
          <w:pgMar w:top="1440" w:right="1803" w:bottom="1440" w:left="1803" w:header="851" w:footer="992" w:gutter="0"/>
          <w:pgNumType w:fmt="decimal" w:start="1"/>
          <w:cols w:space="0" w:num="1"/>
          <w:rtlGutter w:val="0"/>
          <w:docGrid w:type="lines" w:linePitch="436" w:charSpace="0"/>
        </w:sectPr>
      </w:pPr>
    </w:p>
    <w:p w14:paraId="63A633A1">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cs="Times New Roman"/>
          <w:b/>
          <w:bCs/>
          <w:sz w:val="32"/>
          <w:szCs w:val="22"/>
          <w:lang w:val="en-US" w:eastAsia="zh-CN"/>
        </w:rPr>
      </w:pPr>
      <w:bookmarkStart w:id="131" w:name="_Toc29884"/>
      <w:bookmarkStart w:id="132" w:name="_Toc11637"/>
      <w:bookmarkStart w:id="133" w:name="_Toc30176"/>
      <w:bookmarkStart w:id="134" w:name="_Toc3195"/>
      <w:bookmarkStart w:id="135" w:name="_Toc29598"/>
      <w:r>
        <w:rPr>
          <w:rFonts w:hint="default" w:ascii="Times New Roman" w:hAnsi="Times New Roman" w:cs="Times New Roman"/>
          <w:b/>
          <w:bCs/>
          <w:sz w:val="32"/>
          <w:szCs w:val="22"/>
          <w:lang w:val="en-US" w:eastAsia="zh-CN"/>
        </w:rPr>
        <w:t>附件1 咸宁市“十五五”能源规划项目汇总表</w:t>
      </w:r>
      <w:bookmarkEnd w:id="131"/>
      <w:bookmarkEnd w:id="132"/>
      <w:bookmarkEnd w:id="133"/>
      <w:bookmarkEnd w:id="134"/>
      <w:bookmarkEnd w:id="135"/>
    </w:p>
    <w:tbl>
      <w:tblPr>
        <w:tblStyle w:val="1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0"/>
        <w:gridCol w:w="1538"/>
        <w:gridCol w:w="645"/>
        <w:gridCol w:w="855"/>
        <w:gridCol w:w="3805"/>
        <w:gridCol w:w="2855"/>
        <w:gridCol w:w="711"/>
        <w:gridCol w:w="742"/>
        <w:gridCol w:w="967"/>
        <w:gridCol w:w="1506"/>
      </w:tblGrid>
      <w:tr w14:paraId="16D4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50" w:type="dxa"/>
            <w:shd w:val="clear" w:color="auto" w:fill="auto"/>
            <w:vAlign w:val="center"/>
          </w:tcPr>
          <w:p w14:paraId="0B289152">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序号</w:t>
            </w:r>
          </w:p>
        </w:tc>
        <w:tc>
          <w:tcPr>
            <w:tcW w:w="1538" w:type="dxa"/>
            <w:shd w:val="clear" w:color="auto" w:fill="auto"/>
            <w:vAlign w:val="center"/>
          </w:tcPr>
          <w:p w14:paraId="43AECBAA">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6565"/>
                  <wp:effectExtent l="0" t="0" r="0" b="0"/>
                  <wp:wrapNone/>
                  <wp:docPr id="62" name="图片_65"/>
                  <wp:cNvGraphicFramePr/>
                  <a:graphic xmlns:a="http://schemas.openxmlformats.org/drawingml/2006/main">
                    <a:graphicData uri="http://schemas.openxmlformats.org/drawingml/2006/picture">
                      <pic:pic xmlns:pic="http://schemas.openxmlformats.org/drawingml/2006/picture">
                        <pic:nvPicPr>
                          <pic:cNvPr id="62" name="图片_65"/>
                          <pic:cNvPicPr/>
                        </pic:nvPicPr>
                        <pic:blipFill>
                          <a:blip r:embed="rId14"/>
                          <a:stretch>
                            <a:fillRect/>
                          </a:stretch>
                        </pic:blipFill>
                        <pic:spPr>
                          <a:xfrm>
                            <a:off x="0" y="0"/>
                            <a:ext cx="83185"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320675"/>
                  <wp:effectExtent l="0" t="0" r="0" b="0"/>
                  <wp:wrapNone/>
                  <wp:docPr id="58" name="Picture_2"/>
                  <wp:cNvGraphicFramePr/>
                  <a:graphic xmlns:a="http://schemas.openxmlformats.org/drawingml/2006/main">
                    <a:graphicData uri="http://schemas.openxmlformats.org/drawingml/2006/picture">
                      <pic:pic xmlns:pic="http://schemas.openxmlformats.org/drawingml/2006/picture">
                        <pic:nvPicPr>
                          <pic:cNvPr id="58" name="Picture_2"/>
                          <pic:cNvPicPr/>
                        </pic:nvPicPr>
                        <pic:blipFill>
                          <a:blip r:embed="rId15"/>
                          <a:stretch>
                            <a:fillRect/>
                          </a:stretch>
                        </pic:blipFill>
                        <pic:spPr>
                          <a:xfrm>
                            <a:off x="0" y="0"/>
                            <a:ext cx="19050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320675"/>
                  <wp:effectExtent l="0" t="0" r="0" b="0"/>
                  <wp:wrapNone/>
                  <wp:docPr id="57" name="Picture_6"/>
                  <wp:cNvGraphicFramePr/>
                  <a:graphic xmlns:a="http://schemas.openxmlformats.org/drawingml/2006/main">
                    <a:graphicData uri="http://schemas.openxmlformats.org/drawingml/2006/picture">
                      <pic:pic xmlns:pic="http://schemas.openxmlformats.org/drawingml/2006/picture">
                        <pic:nvPicPr>
                          <pic:cNvPr id="57" name="Picture_6"/>
                          <pic:cNvPicPr/>
                        </pic:nvPicPr>
                        <pic:blipFill>
                          <a:blip r:embed="rId15"/>
                          <a:stretch>
                            <a:fillRect/>
                          </a:stretch>
                        </pic:blipFill>
                        <pic:spPr>
                          <a:xfrm>
                            <a:off x="0" y="0"/>
                            <a:ext cx="51435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7165"/>
                  <wp:effectExtent l="0" t="0" r="0" b="0"/>
                  <wp:wrapNone/>
                  <wp:docPr id="64" name="Picture_7516"/>
                  <wp:cNvGraphicFramePr/>
                  <a:graphic xmlns:a="http://schemas.openxmlformats.org/drawingml/2006/main">
                    <a:graphicData uri="http://schemas.openxmlformats.org/drawingml/2006/picture">
                      <pic:pic xmlns:pic="http://schemas.openxmlformats.org/drawingml/2006/picture">
                        <pic:nvPicPr>
                          <pic:cNvPr id="64" name="Picture_7516"/>
                          <pic:cNvPicPr/>
                        </pic:nvPicPr>
                        <pic:blipFill>
                          <a:blip r:embed="rId15"/>
                          <a:stretch>
                            <a:fillRect/>
                          </a:stretch>
                        </pic:blipFill>
                        <pic:spPr>
                          <a:xfrm>
                            <a:off x="0" y="0"/>
                            <a:ext cx="190500"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7165"/>
                  <wp:effectExtent l="0" t="0" r="0" b="0"/>
                  <wp:wrapNone/>
                  <wp:docPr id="59" name="Picture_7519"/>
                  <wp:cNvGraphicFramePr/>
                  <a:graphic xmlns:a="http://schemas.openxmlformats.org/drawingml/2006/main">
                    <a:graphicData uri="http://schemas.openxmlformats.org/drawingml/2006/picture">
                      <pic:pic xmlns:pic="http://schemas.openxmlformats.org/drawingml/2006/picture">
                        <pic:nvPicPr>
                          <pic:cNvPr id="59" name="Picture_7519"/>
                          <pic:cNvPicPr/>
                        </pic:nvPicPr>
                        <pic:blipFill>
                          <a:blip r:embed="rId16"/>
                          <a:stretch>
                            <a:fillRect/>
                          </a:stretch>
                        </pic:blipFill>
                        <pic:spPr>
                          <a:xfrm>
                            <a:off x="0" y="0"/>
                            <a:ext cx="497205"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265" cy="16510"/>
                  <wp:effectExtent l="0" t="0" r="0" b="0"/>
                  <wp:wrapNone/>
                  <wp:docPr id="61" name="Picture_595"/>
                  <wp:cNvGraphicFramePr/>
                  <a:graphic xmlns:a="http://schemas.openxmlformats.org/drawingml/2006/main">
                    <a:graphicData uri="http://schemas.openxmlformats.org/drawingml/2006/picture">
                      <pic:pic xmlns:pic="http://schemas.openxmlformats.org/drawingml/2006/picture">
                        <pic:nvPicPr>
                          <pic:cNvPr id="61" name="Picture_595"/>
                          <pic:cNvPicPr/>
                        </pic:nvPicPr>
                        <pic:blipFill>
                          <a:blip r:embed="rId15"/>
                          <a:stretch>
                            <a:fillRect/>
                          </a:stretch>
                        </pic:blipFill>
                        <pic:spPr>
                          <a:xfrm>
                            <a:off x="0" y="0"/>
                            <a:ext cx="88265" cy="165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91770"/>
                  <wp:effectExtent l="0" t="0" r="0" b="0"/>
                  <wp:wrapNone/>
                  <wp:docPr id="60" name="Picture_7519_SpCnt_1"/>
                  <wp:cNvGraphicFramePr/>
                  <a:graphic xmlns:a="http://schemas.openxmlformats.org/drawingml/2006/main">
                    <a:graphicData uri="http://schemas.openxmlformats.org/drawingml/2006/picture">
                      <pic:pic xmlns:pic="http://schemas.openxmlformats.org/drawingml/2006/picture">
                        <pic:nvPicPr>
                          <pic:cNvPr id="60" name="Picture_7519_SpCnt_1"/>
                          <pic:cNvPicPr/>
                        </pic:nvPicPr>
                        <pic:blipFill>
                          <a:blip r:embed="rId15"/>
                          <a:stretch>
                            <a:fillRect/>
                          </a:stretch>
                        </pic:blipFill>
                        <pic:spPr>
                          <a:xfrm>
                            <a:off x="0" y="0"/>
                            <a:ext cx="497205" cy="191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3405" cy="268605"/>
                  <wp:effectExtent l="0" t="0" r="0" b="0"/>
                  <wp:wrapNone/>
                  <wp:docPr id="63" name="Picture_7"/>
                  <wp:cNvGraphicFramePr/>
                  <a:graphic xmlns:a="http://schemas.openxmlformats.org/drawingml/2006/main">
                    <a:graphicData uri="http://schemas.openxmlformats.org/drawingml/2006/picture">
                      <pic:pic xmlns:pic="http://schemas.openxmlformats.org/drawingml/2006/picture">
                        <pic:nvPicPr>
                          <pic:cNvPr id="63" name="Picture_7"/>
                          <pic:cNvPicPr/>
                        </pic:nvPicPr>
                        <pic:blipFill>
                          <a:blip r:embed="rId15"/>
                          <a:stretch>
                            <a:fillRect/>
                          </a:stretch>
                        </pic:blipFill>
                        <pic:spPr>
                          <a:xfrm>
                            <a:off x="0" y="0"/>
                            <a:ext cx="57340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4825" cy="10160"/>
                  <wp:effectExtent l="0" t="0" r="0" b="0"/>
                  <wp:wrapNone/>
                  <wp:docPr id="56" name="Picture_597"/>
                  <wp:cNvGraphicFramePr/>
                  <a:graphic xmlns:a="http://schemas.openxmlformats.org/drawingml/2006/main">
                    <a:graphicData uri="http://schemas.openxmlformats.org/drawingml/2006/picture">
                      <pic:pic xmlns:pic="http://schemas.openxmlformats.org/drawingml/2006/picture">
                        <pic:nvPicPr>
                          <pic:cNvPr id="56" name="Picture_597"/>
                          <pic:cNvPicPr/>
                        </pic:nvPicPr>
                        <pic:blipFill>
                          <a:blip r:embed="rId17"/>
                          <a:stretch>
                            <a:fillRect/>
                          </a:stretch>
                        </pic:blipFill>
                        <pic:spPr>
                          <a:xfrm>
                            <a:off x="0" y="0"/>
                            <a:ext cx="50482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323215"/>
                  <wp:effectExtent l="0" t="0" r="0" b="0"/>
                  <wp:wrapNone/>
                  <wp:docPr id="339" name="Picture_5"/>
                  <wp:cNvGraphicFramePr/>
                  <a:graphic xmlns:a="http://schemas.openxmlformats.org/drawingml/2006/main">
                    <a:graphicData uri="http://schemas.openxmlformats.org/drawingml/2006/picture">
                      <pic:pic xmlns:pic="http://schemas.openxmlformats.org/drawingml/2006/picture">
                        <pic:nvPicPr>
                          <pic:cNvPr id="339" name="Picture_5"/>
                          <pic:cNvPicPr/>
                        </pic:nvPicPr>
                        <pic:blipFill>
                          <a:blip r:embed="rId18"/>
                          <a:stretch>
                            <a:fillRect/>
                          </a:stretch>
                        </pic:blipFill>
                        <pic:spPr>
                          <a:xfrm>
                            <a:off x="0" y="0"/>
                            <a:ext cx="44767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10160"/>
                  <wp:effectExtent l="0" t="0" r="0" b="0"/>
                  <wp:wrapNone/>
                  <wp:docPr id="346" name="Picture_596"/>
                  <wp:cNvGraphicFramePr/>
                  <a:graphic xmlns:a="http://schemas.openxmlformats.org/drawingml/2006/main">
                    <a:graphicData uri="http://schemas.openxmlformats.org/drawingml/2006/picture">
                      <pic:pic xmlns:pic="http://schemas.openxmlformats.org/drawingml/2006/picture">
                        <pic:nvPicPr>
                          <pic:cNvPr id="346" name="Picture_596"/>
                          <pic:cNvPicPr/>
                        </pic:nvPicPr>
                        <pic:blipFill>
                          <a:blip r:embed="rId19"/>
                          <a:stretch>
                            <a:fillRect/>
                          </a:stretch>
                        </pic:blipFill>
                        <pic:spPr>
                          <a:xfrm>
                            <a:off x="0" y="0"/>
                            <a:ext cx="44767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179070"/>
                  <wp:effectExtent l="0" t="0" r="0" b="0"/>
                  <wp:wrapNone/>
                  <wp:docPr id="347" name="Picture_7519_SpCnt_2"/>
                  <wp:cNvGraphicFramePr/>
                  <a:graphic xmlns:a="http://schemas.openxmlformats.org/drawingml/2006/main">
                    <a:graphicData uri="http://schemas.openxmlformats.org/drawingml/2006/picture">
                      <pic:pic xmlns:pic="http://schemas.openxmlformats.org/drawingml/2006/picture">
                        <pic:nvPicPr>
                          <pic:cNvPr id="347" name="Picture_7519_SpCnt_2"/>
                          <pic:cNvPicPr/>
                        </pic:nvPicPr>
                        <pic:blipFill>
                          <a:blip r:embed="rId20"/>
                          <a:stretch>
                            <a:fillRect/>
                          </a:stretch>
                        </pic:blipFill>
                        <pic:spPr>
                          <a:xfrm>
                            <a:off x="0" y="0"/>
                            <a:ext cx="44767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91770"/>
                  <wp:effectExtent l="0" t="0" r="0" b="0"/>
                  <wp:wrapNone/>
                  <wp:docPr id="340" name="Picture_7517"/>
                  <wp:cNvGraphicFramePr/>
                  <a:graphic xmlns:a="http://schemas.openxmlformats.org/drawingml/2006/main">
                    <a:graphicData uri="http://schemas.openxmlformats.org/drawingml/2006/picture">
                      <pic:pic xmlns:pic="http://schemas.openxmlformats.org/drawingml/2006/picture">
                        <pic:nvPicPr>
                          <pic:cNvPr id="340" name="Picture_7517"/>
                          <pic:cNvPicPr/>
                        </pic:nvPicPr>
                        <pic:blipFill>
                          <a:blip r:embed="rId15"/>
                          <a:stretch>
                            <a:fillRect/>
                          </a:stretch>
                        </pic:blipFill>
                        <pic:spPr>
                          <a:xfrm>
                            <a:off x="0" y="0"/>
                            <a:ext cx="292100" cy="191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91770"/>
                  <wp:effectExtent l="0" t="0" r="0" b="0"/>
                  <wp:wrapNone/>
                  <wp:docPr id="343" name="Picture_7518"/>
                  <wp:cNvGraphicFramePr/>
                  <a:graphic xmlns:a="http://schemas.openxmlformats.org/drawingml/2006/main">
                    <a:graphicData uri="http://schemas.openxmlformats.org/drawingml/2006/picture">
                      <pic:pic xmlns:pic="http://schemas.openxmlformats.org/drawingml/2006/picture">
                        <pic:nvPicPr>
                          <pic:cNvPr id="343" name="Picture_7518"/>
                          <pic:cNvPicPr/>
                        </pic:nvPicPr>
                        <pic:blipFill>
                          <a:blip r:embed="rId15"/>
                          <a:stretch>
                            <a:fillRect/>
                          </a:stretch>
                        </pic:blipFill>
                        <pic:spPr>
                          <a:xfrm>
                            <a:off x="0" y="0"/>
                            <a:ext cx="392430" cy="191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323215"/>
                  <wp:effectExtent l="0" t="0" r="0" b="0"/>
                  <wp:wrapNone/>
                  <wp:docPr id="341" name="Picture_4"/>
                  <wp:cNvGraphicFramePr/>
                  <a:graphic xmlns:a="http://schemas.openxmlformats.org/drawingml/2006/main">
                    <a:graphicData uri="http://schemas.openxmlformats.org/drawingml/2006/picture">
                      <pic:pic xmlns:pic="http://schemas.openxmlformats.org/drawingml/2006/picture">
                        <pic:nvPicPr>
                          <pic:cNvPr id="341" name="Picture_4"/>
                          <pic:cNvPicPr/>
                        </pic:nvPicPr>
                        <pic:blipFill>
                          <a:blip r:embed="rId21"/>
                          <a:stretch>
                            <a:fillRect/>
                          </a:stretch>
                        </pic:blipFill>
                        <pic:spPr>
                          <a:xfrm>
                            <a:off x="0" y="0"/>
                            <a:ext cx="35369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179070"/>
                  <wp:effectExtent l="0" t="0" r="0" b="0"/>
                  <wp:wrapNone/>
                  <wp:docPr id="342" name="Picture_7518_SpCnt_1"/>
                  <wp:cNvGraphicFramePr/>
                  <a:graphic xmlns:a="http://schemas.openxmlformats.org/drawingml/2006/main">
                    <a:graphicData uri="http://schemas.openxmlformats.org/drawingml/2006/picture">
                      <pic:pic xmlns:pic="http://schemas.openxmlformats.org/drawingml/2006/picture">
                        <pic:nvPicPr>
                          <pic:cNvPr id="342" name="Picture_7518_SpCnt_1"/>
                          <pic:cNvPicPr/>
                        </pic:nvPicPr>
                        <pic:blipFill>
                          <a:blip r:embed="rId22"/>
                          <a:stretch>
                            <a:fillRect/>
                          </a:stretch>
                        </pic:blipFill>
                        <pic:spPr>
                          <a:xfrm>
                            <a:off x="0" y="0"/>
                            <a:ext cx="35369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323215"/>
                  <wp:effectExtent l="0" t="0" r="0" b="0"/>
                  <wp:wrapNone/>
                  <wp:docPr id="345" name="Picture_3"/>
                  <wp:cNvGraphicFramePr/>
                  <a:graphic xmlns:a="http://schemas.openxmlformats.org/drawingml/2006/main">
                    <a:graphicData uri="http://schemas.openxmlformats.org/drawingml/2006/picture">
                      <pic:pic xmlns:pic="http://schemas.openxmlformats.org/drawingml/2006/picture">
                        <pic:nvPicPr>
                          <pic:cNvPr id="345" name="Picture_3"/>
                          <pic:cNvPicPr/>
                        </pic:nvPicPr>
                        <pic:blipFill>
                          <a:blip r:embed="rId23"/>
                          <a:stretch>
                            <a:fillRect/>
                          </a:stretch>
                        </pic:blipFill>
                        <pic:spPr>
                          <a:xfrm>
                            <a:off x="0" y="0"/>
                            <a:ext cx="26225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10160"/>
                  <wp:effectExtent l="0" t="0" r="0" b="0"/>
                  <wp:wrapNone/>
                  <wp:docPr id="335" name="Picture_595_SpCnt_1"/>
                  <wp:cNvGraphicFramePr/>
                  <a:graphic xmlns:a="http://schemas.openxmlformats.org/drawingml/2006/main">
                    <a:graphicData uri="http://schemas.openxmlformats.org/drawingml/2006/picture">
                      <pic:pic xmlns:pic="http://schemas.openxmlformats.org/drawingml/2006/picture">
                        <pic:nvPicPr>
                          <pic:cNvPr id="335" name="Picture_595_SpCnt_1"/>
                          <pic:cNvPicPr/>
                        </pic:nvPicPr>
                        <pic:blipFill>
                          <a:blip r:embed="rId24"/>
                          <a:stretch>
                            <a:fillRect/>
                          </a:stretch>
                        </pic:blipFill>
                        <pic:spPr>
                          <a:xfrm>
                            <a:off x="0" y="0"/>
                            <a:ext cx="35369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1820" cy="271145"/>
                  <wp:effectExtent l="0" t="0" r="0" b="0"/>
                  <wp:wrapNone/>
                  <wp:docPr id="344" name="Picture_8"/>
                  <wp:cNvGraphicFramePr/>
                  <a:graphic xmlns:a="http://schemas.openxmlformats.org/drawingml/2006/main">
                    <a:graphicData uri="http://schemas.openxmlformats.org/drawingml/2006/picture">
                      <pic:pic xmlns:pic="http://schemas.openxmlformats.org/drawingml/2006/picture">
                        <pic:nvPicPr>
                          <pic:cNvPr id="344" name="Picture_8"/>
                          <pic:cNvPicPr/>
                        </pic:nvPicPr>
                        <pic:blipFill>
                          <a:blip r:embed="rId15"/>
                          <a:stretch>
                            <a:fillRect/>
                          </a:stretch>
                        </pic:blipFill>
                        <pic:spPr>
                          <a:xfrm>
                            <a:off x="0" y="0"/>
                            <a:ext cx="59182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480" cy="279400"/>
                  <wp:effectExtent l="0" t="0" r="0" b="0"/>
                  <wp:wrapNone/>
                  <wp:docPr id="336" name="Picture_8_SpCnt_1"/>
                  <wp:cNvGraphicFramePr/>
                  <a:graphic xmlns:a="http://schemas.openxmlformats.org/drawingml/2006/main">
                    <a:graphicData uri="http://schemas.openxmlformats.org/drawingml/2006/picture">
                      <pic:pic xmlns:pic="http://schemas.openxmlformats.org/drawingml/2006/picture">
                        <pic:nvPicPr>
                          <pic:cNvPr id="336" name="Picture_8_SpCnt_1"/>
                          <pic:cNvPicPr/>
                        </pic:nvPicPr>
                        <pic:blipFill>
                          <a:blip r:embed="rId15"/>
                          <a:stretch>
                            <a:fillRect/>
                          </a:stretch>
                        </pic:blipFill>
                        <pic:spPr>
                          <a:xfrm>
                            <a:off x="0" y="0"/>
                            <a:ext cx="538480" cy="2794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6510"/>
                  <wp:effectExtent l="0" t="0" r="0" b="0"/>
                  <wp:wrapNone/>
                  <wp:docPr id="337" name="Picture_593"/>
                  <wp:cNvGraphicFramePr/>
                  <a:graphic xmlns:a="http://schemas.openxmlformats.org/drawingml/2006/main">
                    <a:graphicData uri="http://schemas.openxmlformats.org/drawingml/2006/picture">
                      <pic:pic xmlns:pic="http://schemas.openxmlformats.org/drawingml/2006/picture">
                        <pic:nvPicPr>
                          <pic:cNvPr id="337" name="Picture_593"/>
                          <pic:cNvPicPr/>
                        </pic:nvPicPr>
                        <pic:blipFill>
                          <a:blip r:embed="rId15"/>
                          <a:stretch>
                            <a:fillRect/>
                          </a:stretch>
                        </pic:blipFill>
                        <pic:spPr>
                          <a:xfrm>
                            <a:off x="0" y="0"/>
                            <a:ext cx="85725" cy="165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005" cy="268605"/>
                  <wp:effectExtent l="0" t="0" r="0" b="0"/>
                  <wp:wrapNone/>
                  <wp:docPr id="338" name="Picture_8_SpCnt_2"/>
                  <wp:cNvGraphicFramePr/>
                  <a:graphic xmlns:a="http://schemas.openxmlformats.org/drawingml/2006/main">
                    <a:graphicData uri="http://schemas.openxmlformats.org/drawingml/2006/picture">
                      <pic:pic xmlns:pic="http://schemas.openxmlformats.org/drawingml/2006/picture">
                        <pic:nvPicPr>
                          <pic:cNvPr id="338" name="Picture_8_SpCnt_2"/>
                          <pic:cNvPicPr/>
                        </pic:nvPicPr>
                        <pic:blipFill>
                          <a:blip r:embed="rId25"/>
                          <a:stretch>
                            <a:fillRect/>
                          </a:stretch>
                        </pic:blipFill>
                        <pic:spPr>
                          <a:xfrm>
                            <a:off x="0" y="0"/>
                            <a:ext cx="54800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1770"/>
                  <wp:effectExtent l="0" t="0" r="0" b="0"/>
                  <wp:wrapNone/>
                  <wp:docPr id="40" name="Picture_7516_SpCnt_1"/>
                  <wp:cNvGraphicFramePr/>
                  <a:graphic xmlns:a="http://schemas.openxmlformats.org/drawingml/2006/main">
                    <a:graphicData uri="http://schemas.openxmlformats.org/drawingml/2006/picture">
                      <pic:pic xmlns:pic="http://schemas.openxmlformats.org/drawingml/2006/picture">
                        <pic:nvPicPr>
                          <pic:cNvPr id="40" name="Picture_7516_SpCnt_1"/>
                          <pic:cNvPicPr/>
                        </pic:nvPicPr>
                        <pic:blipFill>
                          <a:blip r:embed="rId15"/>
                          <a:stretch>
                            <a:fillRect/>
                          </a:stretch>
                        </pic:blipFill>
                        <pic:spPr>
                          <a:xfrm>
                            <a:off x="0" y="0"/>
                            <a:ext cx="190500" cy="191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179070"/>
                  <wp:effectExtent l="0" t="0" r="0" b="0"/>
                  <wp:wrapNone/>
                  <wp:docPr id="46" name="Picture_7517_SpCnt_1"/>
                  <wp:cNvGraphicFramePr/>
                  <a:graphic xmlns:a="http://schemas.openxmlformats.org/drawingml/2006/main">
                    <a:graphicData uri="http://schemas.openxmlformats.org/drawingml/2006/picture">
                      <pic:pic xmlns:pic="http://schemas.openxmlformats.org/drawingml/2006/picture">
                        <pic:nvPicPr>
                          <pic:cNvPr id="46" name="Picture_7517_SpCnt_1"/>
                          <pic:cNvPicPr/>
                        </pic:nvPicPr>
                        <pic:blipFill>
                          <a:blip r:embed="rId26"/>
                          <a:stretch>
                            <a:fillRect/>
                          </a:stretch>
                        </pic:blipFill>
                        <pic:spPr>
                          <a:xfrm>
                            <a:off x="0" y="0"/>
                            <a:ext cx="26225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480" cy="271145"/>
                  <wp:effectExtent l="0" t="0" r="0" b="0"/>
                  <wp:wrapNone/>
                  <wp:docPr id="43" name="Picture_8_SpCnt_3"/>
                  <wp:cNvGraphicFramePr/>
                  <a:graphic xmlns:a="http://schemas.openxmlformats.org/drawingml/2006/main">
                    <a:graphicData uri="http://schemas.openxmlformats.org/drawingml/2006/picture">
                      <pic:pic xmlns:pic="http://schemas.openxmlformats.org/drawingml/2006/picture">
                        <pic:nvPicPr>
                          <pic:cNvPr id="43" name="Picture_8_SpCnt_3"/>
                          <pic:cNvPicPr/>
                        </pic:nvPicPr>
                        <pic:blipFill>
                          <a:blip r:embed="rId27"/>
                          <a:stretch>
                            <a:fillRect/>
                          </a:stretch>
                        </pic:blipFill>
                        <pic:spPr>
                          <a:xfrm>
                            <a:off x="0" y="0"/>
                            <a:ext cx="53848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5940" cy="271145"/>
                  <wp:effectExtent l="0" t="0" r="0" b="0"/>
                  <wp:wrapNone/>
                  <wp:docPr id="45" name="Picture_7_SpCnt_1"/>
                  <wp:cNvGraphicFramePr/>
                  <a:graphic xmlns:a="http://schemas.openxmlformats.org/drawingml/2006/main">
                    <a:graphicData uri="http://schemas.openxmlformats.org/drawingml/2006/picture">
                      <pic:pic xmlns:pic="http://schemas.openxmlformats.org/drawingml/2006/picture">
                        <pic:nvPicPr>
                          <pic:cNvPr id="45" name="Picture_7_SpCnt_1"/>
                          <pic:cNvPicPr/>
                        </pic:nvPicPr>
                        <pic:blipFill>
                          <a:blip r:embed="rId27"/>
                          <a:stretch>
                            <a:fillRect/>
                          </a:stretch>
                        </pic:blipFill>
                        <pic:spPr>
                          <a:xfrm>
                            <a:off x="0" y="0"/>
                            <a:ext cx="53594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480" cy="271145"/>
                  <wp:effectExtent l="0" t="0" r="0" b="0"/>
                  <wp:wrapNone/>
                  <wp:docPr id="39" name="Picture_8_SpCnt_4"/>
                  <wp:cNvGraphicFramePr/>
                  <a:graphic xmlns:a="http://schemas.openxmlformats.org/drawingml/2006/main">
                    <a:graphicData uri="http://schemas.openxmlformats.org/drawingml/2006/picture">
                      <pic:pic xmlns:pic="http://schemas.openxmlformats.org/drawingml/2006/picture">
                        <pic:nvPicPr>
                          <pic:cNvPr id="39" name="Picture_8_SpCnt_4"/>
                          <pic:cNvPicPr/>
                        </pic:nvPicPr>
                        <pic:blipFill>
                          <a:blip r:embed="rId15"/>
                          <a:stretch>
                            <a:fillRect/>
                          </a:stretch>
                        </pic:blipFill>
                        <pic:spPr>
                          <a:xfrm>
                            <a:off x="0" y="0"/>
                            <a:ext cx="53848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10160"/>
                  <wp:effectExtent l="0" t="0" r="0" b="0"/>
                  <wp:wrapNone/>
                  <wp:docPr id="47" name="Picture_594"/>
                  <wp:cNvGraphicFramePr/>
                  <a:graphic xmlns:a="http://schemas.openxmlformats.org/drawingml/2006/main">
                    <a:graphicData uri="http://schemas.openxmlformats.org/drawingml/2006/picture">
                      <pic:pic xmlns:pic="http://schemas.openxmlformats.org/drawingml/2006/picture">
                        <pic:nvPicPr>
                          <pic:cNvPr id="47" name="Picture_594"/>
                          <pic:cNvPicPr/>
                        </pic:nvPicPr>
                        <pic:blipFill>
                          <a:blip r:embed="rId28"/>
                          <a:stretch>
                            <a:fillRect/>
                          </a:stretch>
                        </pic:blipFill>
                        <pic:spPr>
                          <a:xfrm>
                            <a:off x="0" y="0"/>
                            <a:ext cx="26225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323215"/>
                  <wp:effectExtent l="0" t="0" r="0" b="0"/>
                  <wp:wrapNone/>
                  <wp:docPr id="44" name="Picture_2_SpCnt_1"/>
                  <wp:cNvGraphicFramePr/>
                  <a:graphic xmlns:a="http://schemas.openxmlformats.org/drawingml/2006/main">
                    <a:graphicData uri="http://schemas.openxmlformats.org/drawingml/2006/picture">
                      <pic:pic xmlns:pic="http://schemas.openxmlformats.org/drawingml/2006/picture">
                        <pic:nvPicPr>
                          <pic:cNvPr id="44" name="Picture_2_SpCnt_1"/>
                          <pic:cNvPicPr/>
                        </pic:nvPicPr>
                        <pic:blipFill>
                          <a:blip r:embed="rId29"/>
                          <a:stretch>
                            <a:fillRect/>
                          </a:stretch>
                        </pic:blipFill>
                        <pic:spPr>
                          <a:xfrm>
                            <a:off x="0" y="0"/>
                            <a:ext cx="171450"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10160"/>
                  <wp:effectExtent l="0" t="0" r="0" b="0"/>
                  <wp:wrapNone/>
                  <wp:docPr id="42" name="Picture_593_SpCnt_1"/>
                  <wp:cNvGraphicFramePr/>
                  <a:graphic xmlns:a="http://schemas.openxmlformats.org/drawingml/2006/main">
                    <a:graphicData uri="http://schemas.openxmlformats.org/drawingml/2006/picture">
                      <pic:pic xmlns:pic="http://schemas.openxmlformats.org/drawingml/2006/picture">
                        <pic:nvPicPr>
                          <pic:cNvPr id="42" name="Picture_593_SpCnt_1"/>
                          <pic:cNvPicPr/>
                        </pic:nvPicPr>
                        <pic:blipFill>
                          <a:blip r:embed="rId30"/>
                          <a:stretch>
                            <a:fillRect/>
                          </a:stretch>
                        </pic:blipFill>
                        <pic:spPr>
                          <a:xfrm>
                            <a:off x="0" y="0"/>
                            <a:ext cx="17145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12700"/>
                  <wp:effectExtent l="0" t="0" r="0" b="0"/>
                  <wp:wrapNone/>
                  <wp:docPr id="38" name="Picture_597_SpCnt_1"/>
                  <wp:cNvGraphicFramePr/>
                  <a:graphic xmlns:a="http://schemas.openxmlformats.org/drawingml/2006/main">
                    <a:graphicData uri="http://schemas.openxmlformats.org/drawingml/2006/picture">
                      <pic:pic xmlns:pic="http://schemas.openxmlformats.org/drawingml/2006/picture">
                        <pic:nvPicPr>
                          <pic:cNvPr id="38" name="Picture_597_SpCnt_1"/>
                          <pic:cNvPicPr/>
                        </pic:nvPicPr>
                        <pic:blipFill>
                          <a:blip r:embed="rId31"/>
                          <a:stretch>
                            <a:fillRect/>
                          </a:stretch>
                        </pic:blipFill>
                        <pic:spPr>
                          <a:xfrm>
                            <a:off x="0" y="0"/>
                            <a:ext cx="51435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68605"/>
                  <wp:effectExtent l="0" t="0" r="0" b="0"/>
                  <wp:wrapNone/>
                  <wp:docPr id="41" name="Picture_7_SpCnt_2"/>
                  <wp:cNvGraphicFramePr/>
                  <a:graphic xmlns:a="http://schemas.openxmlformats.org/drawingml/2006/main">
                    <a:graphicData uri="http://schemas.openxmlformats.org/drawingml/2006/picture">
                      <pic:pic xmlns:pic="http://schemas.openxmlformats.org/drawingml/2006/picture">
                        <pic:nvPicPr>
                          <pic:cNvPr id="41" name="Picture_7_SpCnt_2"/>
                          <pic:cNvPicPr/>
                        </pic:nvPicPr>
                        <pic:blipFill>
                          <a:blip r:embed="rId32"/>
                          <a:stretch>
                            <a:fillRect/>
                          </a:stretch>
                        </pic:blipFill>
                        <pic:spPr>
                          <a:xfrm>
                            <a:off x="0" y="0"/>
                            <a:ext cx="51435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179070"/>
                  <wp:effectExtent l="0" t="0" r="0" b="0"/>
                  <wp:wrapNone/>
                  <wp:docPr id="37" name="Picture_7516_SpCnt_2"/>
                  <wp:cNvGraphicFramePr/>
                  <a:graphic xmlns:a="http://schemas.openxmlformats.org/drawingml/2006/main">
                    <a:graphicData uri="http://schemas.openxmlformats.org/drawingml/2006/picture">
                      <pic:pic xmlns:pic="http://schemas.openxmlformats.org/drawingml/2006/picture">
                        <pic:nvPicPr>
                          <pic:cNvPr id="37" name="Picture_7516_SpCnt_2"/>
                          <pic:cNvPicPr/>
                        </pic:nvPicPr>
                        <pic:blipFill>
                          <a:blip r:embed="rId33"/>
                          <a:stretch>
                            <a:fillRect/>
                          </a:stretch>
                        </pic:blipFill>
                        <pic:spPr>
                          <a:xfrm>
                            <a:off x="0" y="0"/>
                            <a:ext cx="17145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458470"/>
                  <wp:effectExtent l="0" t="0" r="0" b="0"/>
                  <wp:wrapNone/>
                  <wp:docPr id="179" name="图片_65_SpCnt_1"/>
                  <wp:cNvGraphicFramePr/>
                  <a:graphic xmlns:a="http://schemas.openxmlformats.org/drawingml/2006/main">
                    <a:graphicData uri="http://schemas.openxmlformats.org/drawingml/2006/picture">
                      <pic:pic xmlns:pic="http://schemas.openxmlformats.org/drawingml/2006/picture">
                        <pic:nvPicPr>
                          <pic:cNvPr id="179" name="图片_65_SpCnt_1"/>
                          <pic:cNvPicPr/>
                        </pic:nvPicPr>
                        <pic:blipFill>
                          <a:blip r:embed="rId34"/>
                          <a:stretch>
                            <a:fillRect/>
                          </a:stretch>
                        </pic:blipFill>
                        <pic:spPr>
                          <a:xfrm>
                            <a:off x="0" y="0"/>
                            <a:ext cx="73660"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179070"/>
                  <wp:effectExtent l="0" t="0" r="0" b="0"/>
                  <wp:wrapNone/>
                  <wp:docPr id="192" name="Picture_7519_SpCnt_3"/>
                  <wp:cNvGraphicFramePr/>
                  <a:graphic xmlns:a="http://schemas.openxmlformats.org/drawingml/2006/main">
                    <a:graphicData uri="http://schemas.openxmlformats.org/drawingml/2006/picture">
                      <pic:pic xmlns:pic="http://schemas.openxmlformats.org/drawingml/2006/picture">
                        <pic:nvPicPr>
                          <pic:cNvPr id="192" name="Picture_7519_SpCnt_3"/>
                          <pic:cNvPicPr/>
                        </pic:nvPicPr>
                        <pic:blipFill>
                          <a:blip r:embed="rId15"/>
                          <a:stretch>
                            <a:fillRect/>
                          </a:stretch>
                        </pic:blipFill>
                        <pic:spPr>
                          <a:xfrm>
                            <a:off x="0" y="0"/>
                            <a:ext cx="44767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985" cy="458470"/>
                  <wp:effectExtent l="0" t="0" r="0" b="0"/>
                  <wp:wrapNone/>
                  <wp:docPr id="187" name="图片_63"/>
                  <wp:cNvGraphicFramePr/>
                  <a:graphic xmlns:a="http://schemas.openxmlformats.org/drawingml/2006/main">
                    <a:graphicData uri="http://schemas.openxmlformats.org/drawingml/2006/picture">
                      <pic:pic xmlns:pic="http://schemas.openxmlformats.org/drawingml/2006/picture">
                        <pic:nvPicPr>
                          <pic:cNvPr id="187" name="图片_63"/>
                          <pic:cNvPicPr/>
                        </pic:nvPicPr>
                        <pic:blipFill>
                          <a:blip r:embed="rId35"/>
                          <a:stretch>
                            <a:fillRect/>
                          </a:stretch>
                        </pic:blipFill>
                        <pic:spPr>
                          <a:xfrm>
                            <a:off x="0" y="0"/>
                            <a:ext cx="260985"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0160"/>
                  <wp:effectExtent l="0" t="0" r="0" b="0"/>
                  <wp:wrapNone/>
                  <wp:docPr id="189" name="Picture_596_SpCnt_1"/>
                  <wp:cNvGraphicFramePr/>
                  <a:graphic xmlns:a="http://schemas.openxmlformats.org/drawingml/2006/main">
                    <a:graphicData uri="http://schemas.openxmlformats.org/drawingml/2006/picture">
                      <pic:pic xmlns:pic="http://schemas.openxmlformats.org/drawingml/2006/picture">
                        <pic:nvPicPr>
                          <pic:cNvPr id="189" name="Picture_596_SpCnt_1"/>
                          <pic:cNvPicPr/>
                        </pic:nvPicPr>
                        <pic:blipFill>
                          <a:blip r:embed="rId36"/>
                          <a:stretch>
                            <a:fillRect/>
                          </a:stretch>
                        </pic:blipFill>
                        <pic:spPr>
                          <a:xfrm>
                            <a:off x="0" y="0"/>
                            <a:ext cx="49720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81305"/>
                  <wp:effectExtent l="0" t="0" r="0" b="0"/>
                  <wp:wrapNone/>
                  <wp:docPr id="185" name="Picture_7_SpCnt_3"/>
                  <wp:cNvGraphicFramePr/>
                  <a:graphic xmlns:a="http://schemas.openxmlformats.org/drawingml/2006/main">
                    <a:graphicData uri="http://schemas.openxmlformats.org/drawingml/2006/picture">
                      <pic:pic xmlns:pic="http://schemas.openxmlformats.org/drawingml/2006/picture">
                        <pic:nvPicPr>
                          <pic:cNvPr id="185" name="Picture_7_SpCnt_3"/>
                          <pic:cNvPicPr/>
                        </pic:nvPicPr>
                        <pic:blipFill>
                          <a:blip r:embed="rId15"/>
                          <a:stretch>
                            <a:fillRect/>
                          </a:stretch>
                        </pic:blipFill>
                        <pic:spPr>
                          <a:xfrm>
                            <a:off x="0" y="0"/>
                            <a:ext cx="8572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2700"/>
                  <wp:effectExtent l="0" t="0" r="0" b="0"/>
                  <wp:wrapNone/>
                  <wp:docPr id="190" name="Picture_595_SpCnt_2"/>
                  <wp:cNvGraphicFramePr/>
                  <a:graphic xmlns:a="http://schemas.openxmlformats.org/drawingml/2006/main">
                    <a:graphicData uri="http://schemas.openxmlformats.org/drawingml/2006/picture">
                      <pic:pic xmlns:pic="http://schemas.openxmlformats.org/drawingml/2006/picture">
                        <pic:nvPicPr>
                          <pic:cNvPr id="190" name="Picture_595_SpCnt_2"/>
                          <pic:cNvPicPr/>
                        </pic:nvPicPr>
                        <pic:blipFill>
                          <a:blip r:embed="rId37"/>
                          <a:stretch>
                            <a:fillRect/>
                          </a:stretch>
                        </pic:blipFill>
                        <pic:spPr>
                          <a:xfrm>
                            <a:off x="0" y="0"/>
                            <a:ext cx="39243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2700"/>
                  <wp:effectExtent l="0" t="0" r="0" b="0"/>
                  <wp:wrapNone/>
                  <wp:docPr id="180" name="Picture_596_SpCnt_2"/>
                  <wp:cNvGraphicFramePr/>
                  <a:graphic xmlns:a="http://schemas.openxmlformats.org/drawingml/2006/main">
                    <a:graphicData uri="http://schemas.openxmlformats.org/drawingml/2006/picture">
                      <pic:pic xmlns:pic="http://schemas.openxmlformats.org/drawingml/2006/picture">
                        <pic:nvPicPr>
                          <pic:cNvPr id="180" name="Picture_596_SpCnt_2"/>
                          <pic:cNvPicPr/>
                        </pic:nvPicPr>
                        <pic:blipFill>
                          <a:blip r:embed="rId36"/>
                          <a:stretch>
                            <a:fillRect/>
                          </a:stretch>
                        </pic:blipFill>
                        <pic:spPr>
                          <a:xfrm>
                            <a:off x="0" y="0"/>
                            <a:ext cx="497205"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179070"/>
                  <wp:effectExtent l="0" t="0" r="0" b="0"/>
                  <wp:wrapNone/>
                  <wp:docPr id="184" name="Picture_7518_SpCnt_2"/>
                  <wp:cNvGraphicFramePr/>
                  <a:graphic xmlns:a="http://schemas.openxmlformats.org/drawingml/2006/main">
                    <a:graphicData uri="http://schemas.openxmlformats.org/drawingml/2006/picture">
                      <pic:pic xmlns:pic="http://schemas.openxmlformats.org/drawingml/2006/picture">
                        <pic:nvPicPr>
                          <pic:cNvPr id="184" name="Picture_7518_SpCnt_2"/>
                          <pic:cNvPicPr/>
                        </pic:nvPicPr>
                        <pic:blipFill>
                          <a:blip r:embed="rId15"/>
                          <a:stretch>
                            <a:fillRect/>
                          </a:stretch>
                        </pic:blipFill>
                        <pic:spPr>
                          <a:xfrm>
                            <a:off x="0" y="0"/>
                            <a:ext cx="35369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179070"/>
                  <wp:effectExtent l="0" t="0" r="0" b="0"/>
                  <wp:wrapNone/>
                  <wp:docPr id="186" name="Picture_7517_SpCnt_2"/>
                  <wp:cNvGraphicFramePr/>
                  <a:graphic xmlns:a="http://schemas.openxmlformats.org/drawingml/2006/main">
                    <a:graphicData uri="http://schemas.openxmlformats.org/drawingml/2006/picture">
                      <pic:pic xmlns:pic="http://schemas.openxmlformats.org/drawingml/2006/picture">
                        <pic:nvPicPr>
                          <pic:cNvPr id="186" name="Picture_7517_SpCnt_2"/>
                          <pic:cNvPicPr/>
                        </pic:nvPicPr>
                        <pic:blipFill>
                          <a:blip r:embed="rId15"/>
                          <a:stretch>
                            <a:fillRect/>
                          </a:stretch>
                        </pic:blipFill>
                        <pic:spPr>
                          <a:xfrm>
                            <a:off x="0" y="0"/>
                            <a:ext cx="26225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4825" cy="10160"/>
                  <wp:effectExtent l="0" t="0" r="0" b="0"/>
                  <wp:wrapNone/>
                  <wp:docPr id="188" name="Picture_597_SpCnt_2"/>
                  <wp:cNvGraphicFramePr/>
                  <a:graphic xmlns:a="http://schemas.openxmlformats.org/drawingml/2006/main">
                    <a:graphicData uri="http://schemas.openxmlformats.org/drawingml/2006/picture">
                      <pic:pic xmlns:pic="http://schemas.openxmlformats.org/drawingml/2006/picture">
                        <pic:nvPicPr>
                          <pic:cNvPr id="188" name="Picture_597_SpCnt_2"/>
                          <pic:cNvPicPr/>
                        </pic:nvPicPr>
                        <pic:blipFill>
                          <a:blip r:embed="rId15"/>
                          <a:stretch>
                            <a:fillRect/>
                          </a:stretch>
                        </pic:blipFill>
                        <pic:spPr>
                          <a:xfrm>
                            <a:off x="0" y="0"/>
                            <a:ext cx="50482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179070"/>
                  <wp:effectExtent l="0" t="0" r="0" b="0"/>
                  <wp:wrapNone/>
                  <wp:docPr id="191" name="Picture_7516_SpCnt_3"/>
                  <wp:cNvGraphicFramePr/>
                  <a:graphic xmlns:a="http://schemas.openxmlformats.org/drawingml/2006/main">
                    <a:graphicData uri="http://schemas.openxmlformats.org/drawingml/2006/picture">
                      <pic:pic xmlns:pic="http://schemas.openxmlformats.org/drawingml/2006/picture">
                        <pic:nvPicPr>
                          <pic:cNvPr id="191" name="Picture_7516_SpCnt_3"/>
                          <pic:cNvPicPr/>
                        </pic:nvPicPr>
                        <pic:blipFill>
                          <a:blip r:embed="rId15"/>
                          <a:stretch>
                            <a:fillRect/>
                          </a:stretch>
                        </pic:blipFill>
                        <pic:spPr>
                          <a:xfrm>
                            <a:off x="0" y="0"/>
                            <a:ext cx="17145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2700"/>
                  <wp:effectExtent l="0" t="0" r="0" b="0"/>
                  <wp:wrapNone/>
                  <wp:docPr id="193" name="Picture_593_SpCnt_2"/>
                  <wp:cNvGraphicFramePr/>
                  <a:graphic xmlns:a="http://schemas.openxmlformats.org/drawingml/2006/main">
                    <a:graphicData uri="http://schemas.openxmlformats.org/drawingml/2006/picture">
                      <pic:pic xmlns:pic="http://schemas.openxmlformats.org/drawingml/2006/picture">
                        <pic:nvPicPr>
                          <pic:cNvPr id="193" name="Picture_593_SpCnt_2"/>
                          <pic:cNvPicPr/>
                        </pic:nvPicPr>
                        <pic:blipFill>
                          <a:blip r:embed="rId38"/>
                          <a:stretch>
                            <a:fillRect/>
                          </a:stretch>
                        </pic:blipFill>
                        <pic:spPr>
                          <a:xfrm>
                            <a:off x="0" y="0"/>
                            <a:ext cx="19050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2700"/>
                  <wp:effectExtent l="0" t="0" r="0" b="0"/>
                  <wp:wrapNone/>
                  <wp:docPr id="182" name="Picture_594_SpCnt_1"/>
                  <wp:cNvGraphicFramePr/>
                  <a:graphic xmlns:a="http://schemas.openxmlformats.org/drawingml/2006/main">
                    <a:graphicData uri="http://schemas.openxmlformats.org/drawingml/2006/picture">
                      <pic:pic xmlns:pic="http://schemas.openxmlformats.org/drawingml/2006/picture">
                        <pic:nvPicPr>
                          <pic:cNvPr id="182" name="Picture_594_SpCnt_1"/>
                          <pic:cNvPicPr/>
                        </pic:nvPicPr>
                        <pic:blipFill>
                          <a:blip r:embed="rId39"/>
                          <a:stretch>
                            <a:fillRect/>
                          </a:stretch>
                        </pic:blipFill>
                        <pic:spPr>
                          <a:xfrm>
                            <a:off x="0" y="0"/>
                            <a:ext cx="29210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10160"/>
                  <wp:effectExtent l="0" t="0" r="0" b="0"/>
                  <wp:wrapNone/>
                  <wp:docPr id="194" name="Picture_596_SpCnt_3"/>
                  <wp:cNvGraphicFramePr/>
                  <a:graphic xmlns:a="http://schemas.openxmlformats.org/drawingml/2006/main">
                    <a:graphicData uri="http://schemas.openxmlformats.org/drawingml/2006/picture">
                      <pic:pic xmlns:pic="http://schemas.openxmlformats.org/drawingml/2006/picture">
                        <pic:nvPicPr>
                          <pic:cNvPr id="194" name="Picture_596_SpCnt_3"/>
                          <pic:cNvPicPr/>
                        </pic:nvPicPr>
                        <pic:blipFill>
                          <a:blip r:embed="rId15"/>
                          <a:stretch>
                            <a:fillRect/>
                          </a:stretch>
                        </pic:blipFill>
                        <pic:spPr>
                          <a:xfrm>
                            <a:off x="0" y="0"/>
                            <a:ext cx="44767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10160"/>
                  <wp:effectExtent l="0" t="0" r="0" b="0"/>
                  <wp:wrapNone/>
                  <wp:docPr id="178" name="Picture_595_SpCnt_3"/>
                  <wp:cNvGraphicFramePr/>
                  <a:graphic xmlns:a="http://schemas.openxmlformats.org/drawingml/2006/main">
                    <a:graphicData uri="http://schemas.openxmlformats.org/drawingml/2006/picture">
                      <pic:pic xmlns:pic="http://schemas.openxmlformats.org/drawingml/2006/picture">
                        <pic:nvPicPr>
                          <pic:cNvPr id="178" name="Picture_595_SpCnt_3"/>
                          <pic:cNvPicPr/>
                        </pic:nvPicPr>
                        <pic:blipFill>
                          <a:blip r:embed="rId15"/>
                          <a:stretch>
                            <a:fillRect/>
                          </a:stretch>
                        </pic:blipFill>
                        <pic:spPr>
                          <a:xfrm>
                            <a:off x="0" y="0"/>
                            <a:ext cx="35369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10160"/>
                  <wp:effectExtent l="0" t="0" r="0" b="0"/>
                  <wp:wrapNone/>
                  <wp:docPr id="181" name="Picture_593_SpCnt_3"/>
                  <wp:cNvGraphicFramePr/>
                  <a:graphic xmlns:a="http://schemas.openxmlformats.org/drawingml/2006/main">
                    <a:graphicData uri="http://schemas.openxmlformats.org/drawingml/2006/picture">
                      <pic:pic xmlns:pic="http://schemas.openxmlformats.org/drawingml/2006/picture">
                        <pic:nvPicPr>
                          <pic:cNvPr id="181" name="Picture_593_SpCnt_3"/>
                          <pic:cNvPicPr/>
                        </pic:nvPicPr>
                        <pic:blipFill>
                          <a:blip r:embed="rId15"/>
                          <a:stretch>
                            <a:fillRect/>
                          </a:stretch>
                        </pic:blipFill>
                        <pic:spPr>
                          <a:xfrm>
                            <a:off x="0" y="0"/>
                            <a:ext cx="17145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10160"/>
                  <wp:effectExtent l="0" t="0" r="0" b="0"/>
                  <wp:wrapNone/>
                  <wp:docPr id="183" name="Picture_594_SpCnt_2"/>
                  <wp:cNvGraphicFramePr/>
                  <a:graphic xmlns:a="http://schemas.openxmlformats.org/drawingml/2006/main">
                    <a:graphicData uri="http://schemas.openxmlformats.org/drawingml/2006/picture">
                      <pic:pic xmlns:pic="http://schemas.openxmlformats.org/drawingml/2006/picture">
                        <pic:nvPicPr>
                          <pic:cNvPr id="183" name="Picture_594_SpCnt_2"/>
                          <pic:cNvPicPr/>
                        </pic:nvPicPr>
                        <pic:blipFill>
                          <a:blip r:embed="rId15"/>
                          <a:stretch>
                            <a:fillRect/>
                          </a:stretch>
                        </pic:blipFill>
                        <pic:spPr>
                          <a:xfrm>
                            <a:off x="0" y="0"/>
                            <a:ext cx="26225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265" cy="316865"/>
                  <wp:effectExtent l="0" t="0" r="0" b="0"/>
                  <wp:wrapNone/>
                  <wp:docPr id="70" name="Picture_4_SpCnt_1"/>
                  <wp:cNvGraphicFramePr/>
                  <a:graphic xmlns:a="http://schemas.openxmlformats.org/drawingml/2006/main">
                    <a:graphicData uri="http://schemas.openxmlformats.org/drawingml/2006/picture">
                      <pic:pic xmlns:pic="http://schemas.openxmlformats.org/drawingml/2006/picture">
                        <pic:nvPicPr>
                          <pic:cNvPr id="70" name="Picture_4_SpCnt_1"/>
                          <pic:cNvPicPr/>
                        </pic:nvPicPr>
                        <pic:blipFill>
                          <a:blip r:embed="rId15"/>
                          <a:stretch>
                            <a:fillRect/>
                          </a:stretch>
                        </pic:blipFill>
                        <pic:spPr>
                          <a:xfrm>
                            <a:off x="0" y="0"/>
                            <a:ext cx="8826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2700"/>
                  <wp:effectExtent l="0" t="0" r="0" b="0"/>
                  <wp:wrapNone/>
                  <wp:docPr id="71" name="Picture_596_SpCnt_4"/>
                  <wp:cNvGraphicFramePr/>
                  <a:graphic xmlns:a="http://schemas.openxmlformats.org/drawingml/2006/main">
                    <a:graphicData uri="http://schemas.openxmlformats.org/drawingml/2006/picture">
                      <pic:pic xmlns:pic="http://schemas.openxmlformats.org/drawingml/2006/picture">
                        <pic:nvPicPr>
                          <pic:cNvPr id="71" name="Picture_596_SpCnt_4"/>
                          <pic:cNvPicPr/>
                        </pic:nvPicPr>
                        <pic:blipFill>
                          <a:blip r:embed="rId15"/>
                          <a:stretch>
                            <a:fillRect/>
                          </a:stretch>
                        </pic:blipFill>
                        <pic:spPr>
                          <a:xfrm>
                            <a:off x="0" y="0"/>
                            <a:ext cx="497205"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12700"/>
                  <wp:effectExtent l="0" t="0" r="0" b="0"/>
                  <wp:wrapNone/>
                  <wp:docPr id="68" name="Picture_597_SpCnt_3"/>
                  <wp:cNvGraphicFramePr/>
                  <a:graphic xmlns:a="http://schemas.openxmlformats.org/drawingml/2006/main">
                    <a:graphicData uri="http://schemas.openxmlformats.org/drawingml/2006/picture">
                      <pic:pic xmlns:pic="http://schemas.openxmlformats.org/drawingml/2006/picture">
                        <pic:nvPicPr>
                          <pic:cNvPr id="68" name="Picture_597_SpCnt_3"/>
                          <pic:cNvPicPr/>
                        </pic:nvPicPr>
                        <pic:blipFill>
                          <a:blip r:embed="rId15"/>
                          <a:stretch>
                            <a:fillRect/>
                          </a:stretch>
                        </pic:blipFill>
                        <pic:spPr>
                          <a:xfrm>
                            <a:off x="0" y="0"/>
                            <a:ext cx="51435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7060" cy="271145"/>
                  <wp:effectExtent l="0" t="0" r="0" b="0"/>
                  <wp:wrapNone/>
                  <wp:docPr id="65" name="Picture_8_SpCnt_5"/>
                  <wp:cNvGraphicFramePr/>
                  <a:graphic xmlns:a="http://schemas.openxmlformats.org/drawingml/2006/main">
                    <a:graphicData uri="http://schemas.openxmlformats.org/drawingml/2006/picture">
                      <pic:pic xmlns:pic="http://schemas.openxmlformats.org/drawingml/2006/picture">
                        <pic:nvPicPr>
                          <pic:cNvPr id="65" name="Picture_8_SpCnt_5"/>
                          <pic:cNvPicPr/>
                        </pic:nvPicPr>
                        <pic:blipFill>
                          <a:blip r:embed="rId15"/>
                          <a:stretch>
                            <a:fillRect/>
                          </a:stretch>
                        </pic:blipFill>
                        <pic:spPr>
                          <a:xfrm>
                            <a:off x="0" y="0"/>
                            <a:ext cx="60706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3885" cy="271145"/>
                  <wp:effectExtent l="0" t="0" r="0" b="0"/>
                  <wp:wrapNone/>
                  <wp:docPr id="66" name="Picture_7_SpCnt_4"/>
                  <wp:cNvGraphicFramePr/>
                  <a:graphic xmlns:a="http://schemas.openxmlformats.org/drawingml/2006/main">
                    <a:graphicData uri="http://schemas.openxmlformats.org/drawingml/2006/picture">
                      <pic:pic xmlns:pic="http://schemas.openxmlformats.org/drawingml/2006/picture">
                        <pic:nvPicPr>
                          <pic:cNvPr id="66" name="Picture_7_SpCnt_4"/>
                          <pic:cNvPicPr/>
                        </pic:nvPicPr>
                        <pic:blipFill>
                          <a:blip r:embed="rId15"/>
                          <a:stretch>
                            <a:fillRect/>
                          </a:stretch>
                        </pic:blipFill>
                        <pic:spPr>
                          <a:xfrm>
                            <a:off x="0" y="0"/>
                            <a:ext cx="60388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323215"/>
                  <wp:effectExtent l="0" t="0" r="0" b="0"/>
                  <wp:wrapNone/>
                  <wp:docPr id="67" name="Picture_5_SpCnt_1"/>
                  <wp:cNvGraphicFramePr/>
                  <a:graphic xmlns:a="http://schemas.openxmlformats.org/drawingml/2006/main">
                    <a:graphicData uri="http://schemas.openxmlformats.org/drawingml/2006/picture">
                      <pic:pic xmlns:pic="http://schemas.openxmlformats.org/drawingml/2006/picture">
                        <pic:nvPicPr>
                          <pic:cNvPr id="67" name="Picture_5_SpCnt_1"/>
                          <pic:cNvPicPr/>
                        </pic:nvPicPr>
                        <pic:blipFill>
                          <a:blip r:embed="rId15"/>
                          <a:stretch>
                            <a:fillRect/>
                          </a:stretch>
                        </pic:blipFill>
                        <pic:spPr>
                          <a:xfrm>
                            <a:off x="0" y="0"/>
                            <a:ext cx="44767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4825" cy="323215"/>
                  <wp:effectExtent l="0" t="0" r="0" b="0"/>
                  <wp:wrapNone/>
                  <wp:docPr id="69" name="Picture_6_SpCnt_1"/>
                  <wp:cNvGraphicFramePr/>
                  <a:graphic xmlns:a="http://schemas.openxmlformats.org/drawingml/2006/main">
                    <a:graphicData uri="http://schemas.openxmlformats.org/drawingml/2006/picture">
                      <pic:pic xmlns:pic="http://schemas.openxmlformats.org/drawingml/2006/picture">
                        <pic:nvPicPr>
                          <pic:cNvPr id="69" name="Picture_6_SpCnt_1"/>
                          <pic:cNvPicPr/>
                        </pic:nvPicPr>
                        <pic:blipFill>
                          <a:blip r:embed="rId15"/>
                          <a:stretch>
                            <a:fillRect/>
                          </a:stretch>
                        </pic:blipFill>
                        <pic:spPr>
                          <a:xfrm>
                            <a:off x="0" y="0"/>
                            <a:ext cx="50482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2700"/>
                  <wp:effectExtent l="0" t="0" r="0" b="0"/>
                  <wp:wrapNone/>
                  <wp:docPr id="72" name="Picture_594_SpCnt_3"/>
                  <wp:cNvGraphicFramePr/>
                  <a:graphic xmlns:a="http://schemas.openxmlformats.org/drawingml/2006/main">
                    <a:graphicData uri="http://schemas.openxmlformats.org/drawingml/2006/picture">
                      <pic:pic xmlns:pic="http://schemas.openxmlformats.org/drawingml/2006/picture">
                        <pic:nvPicPr>
                          <pic:cNvPr id="72" name="Picture_594_SpCnt_3"/>
                          <pic:cNvPicPr/>
                        </pic:nvPicPr>
                        <pic:blipFill>
                          <a:blip r:embed="rId15"/>
                          <a:stretch>
                            <a:fillRect/>
                          </a:stretch>
                        </pic:blipFill>
                        <pic:spPr>
                          <a:xfrm>
                            <a:off x="0" y="0"/>
                            <a:ext cx="29210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2700"/>
                  <wp:effectExtent l="0" t="0" r="0" b="0"/>
                  <wp:wrapNone/>
                  <wp:docPr id="55" name="Picture_595_SpCnt_4"/>
                  <wp:cNvGraphicFramePr/>
                  <a:graphic xmlns:a="http://schemas.openxmlformats.org/drawingml/2006/main">
                    <a:graphicData uri="http://schemas.openxmlformats.org/drawingml/2006/picture">
                      <pic:pic xmlns:pic="http://schemas.openxmlformats.org/drawingml/2006/picture">
                        <pic:nvPicPr>
                          <pic:cNvPr id="55" name="Picture_595_SpCnt_4"/>
                          <pic:cNvPicPr/>
                        </pic:nvPicPr>
                        <pic:blipFill>
                          <a:blip r:embed="rId15"/>
                          <a:stretch>
                            <a:fillRect/>
                          </a:stretch>
                        </pic:blipFill>
                        <pic:spPr>
                          <a:xfrm>
                            <a:off x="0" y="0"/>
                            <a:ext cx="39243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323215"/>
                  <wp:effectExtent l="0" t="0" r="0" b="0"/>
                  <wp:wrapNone/>
                  <wp:docPr id="50" name="Picture_4_SpCnt_2"/>
                  <wp:cNvGraphicFramePr/>
                  <a:graphic xmlns:a="http://schemas.openxmlformats.org/drawingml/2006/main">
                    <a:graphicData uri="http://schemas.openxmlformats.org/drawingml/2006/picture">
                      <pic:pic xmlns:pic="http://schemas.openxmlformats.org/drawingml/2006/picture">
                        <pic:nvPicPr>
                          <pic:cNvPr id="50" name="Picture_4_SpCnt_2"/>
                          <pic:cNvPicPr/>
                        </pic:nvPicPr>
                        <pic:blipFill>
                          <a:blip r:embed="rId15"/>
                          <a:stretch>
                            <a:fillRect/>
                          </a:stretch>
                        </pic:blipFill>
                        <pic:spPr>
                          <a:xfrm>
                            <a:off x="0" y="0"/>
                            <a:ext cx="35369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323215"/>
                  <wp:effectExtent l="0" t="0" r="0" b="0"/>
                  <wp:wrapNone/>
                  <wp:docPr id="49" name="Picture_3_SpCnt_1"/>
                  <wp:cNvGraphicFramePr/>
                  <a:graphic xmlns:a="http://schemas.openxmlformats.org/drawingml/2006/main">
                    <a:graphicData uri="http://schemas.openxmlformats.org/drawingml/2006/picture">
                      <pic:pic xmlns:pic="http://schemas.openxmlformats.org/drawingml/2006/picture">
                        <pic:nvPicPr>
                          <pic:cNvPr id="49" name="Picture_3_SpCnt_1"/>
                          <pic:cNvPicPr/>
                        </pic:nvPicPr>
                        <pic:blipFill>
                          <a:blip r:embed="rId15"/>
                          <a:stretch>
                            <a:fillRect/>
                          </a:stretch>
                        </pic:blipFill>
                        <pic:spPr>
                          <a:xfrm>
                            <a:off x="0" y="0"/>
                            <a:ext cx="26225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458470"/>
                  <wp:effectExtent l="0" t="0" r="0" b="0"/>
                  <wp:wrapNone/>
                  <wp:docPr id="48" name="图片_65_SpCnt_2"/>
                  <wp:cNvGraphicFramePr/>
                  <a:graphic xmlns:a="http://schemas.openxmlformats.org/drawingml/2006/main">
                    <a:graphicData uri="http://schemas.openxmlformats.org/drawingml/2006/picture">
                      <pic:pic xmlns:pic="http://schemas.openxmlformats.org/drawingml/2006/picture">
                        <pic:nvPicPr>
                          <pic:cNvPr id="48" name="图片_65_SpCnt_2"/>
                          <pic:cNvPicPr/>
                        </pic:nvPicPr>
                        <pic:blipFill>
                          <a:blip r:embed="rId34"/>
                          <a:stretch>
                            <a:fillRect/>
                          </a:stretch>
                        </pic:blipFill>
                        <pic:spPr>
                          <a:xfrm>
                            <a:off x="0" y="0"/>
                            <a:ext cx="73660"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323215"/>
                  <wp:effectExtent l="0" t="0" r="0" b="0"/>
                  <wp:wrapNone/>
                  <wp:docPr id="51" name="Picture_2_SpCnt_2"/>
                  <wp:cNvGraphicFramePr/>
                  <a:graphic xmlns:a="http://schemas.openxmlformats.org/drawingml/2006/main">
                    <a:graphicData uri="http://schemas.openxmlformats.org/drawingml/2006/picture">
                      <pic:pic xmlns:pic="http://schemas.openxmlformats.org/drawingml/2006/picture">
                        <pic:nvPicPr>
                          <pic:cNvPr id="51" name="Picture_2_SpCnt_2"/>
                          <pic:cNvPicPr/>
                        </pic:nvPicPr>
                        <pic:blipFill>
                          <a:blip r:embed="rId15"/>
                          <a:stretch>
                            <a:fillRect/>
                          </a:stretch>
                        </pic:blipFill>
                        <pic:spPr>
                          <a:xfrm>
                            <a:off x="0" y="0"/>
                            <a:ext cx="171450"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10160"/>
                  <wp:effectExtent l="0" t="0" r="0" b="0"/>
                  <wp:wrapNone/>
                  <wp:docPr id="53" name="Picture_597_SpCnt_4"/>
                  <wp:cNvGraphicFramePr/>
                  <a:graphic xmlns:a="http://schemas.openxmlformats.org/drawingml/2006/main">
                    <a:graphicData uri="http://schemas.openxmlformats.org/drawingml/2006/picture">
                      <pic:pic xmlns:pic="http://schemas.openxmlformats.org/drawingml/2006/picture">
                        <pic:nvPicPr>
                          <pic:cNvPr id="53" name="Picture_597_SpCnt_4"/>
                          <pic:cNvPicPr/>
                        </pic:nvPicPr>
                        <pic:blipFill>
                          <a:blip r:embed="rId15"/>
                          <a:stretch>
                            <a:fillRect/>
                          </a:stretch>
                        </pic:blipFill>
                        <pic:spPr>
                          <a:xfrm>
                            <a:off x="0" y="0"/>
                            <a:ext cx="51435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320675"/>
                  <wp:effectExtent l="0" t="0" r="0" b="0"/>
                  <wp:wrapNone/>
                  <wp:docPr id="52" name="Picture_4_SpCnt_3"/>
                  <wp:cNvGraphicFramePr/>
                  <a:graphic xmlns:a="http://schemas.openxmlformats.org/drawingml/2006/main">
                    <a:graphicData uri="http://schemas.openxmlformats.org/drawingml/2006/picture">
                      <pic:pic xmlns:pic="http://schemas.openxmlformats.org/drawingml/2006/picture">
                        <pic:nvPicPr>
                          <pic:cNvPr id="52" name="Picture_4_SpCnt_3"/>
                          <pic:cNvPicPr/>
                        </pic:nvPicPr>
                        <pic:blipFill>
                          <a:blip r:embed="rId40"/>
                          <a:stretch>
                            <a:fillRect/>
                          </a:stretch>
                        </pic:blipFill>
                        <pic:spPr>
                          <a:xfrm>
                            <a:off x="0" y="0"/>
                            <a:ext cx="39243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316865"/>
                  <wp:effectExtent l="0" t="0" r="0" b="0"/>
                  <wp:wrapNone/>
                  <wp:docPr id="54" name="Picture_2_SpCnt_3"/>
                  <wp:cNvGraphicFramePr/>
                  <a:graphic xmlns:a="http://schemas.openxmlformats.org/drawingml/2006/main">
                    <a:graphicData uri="http://schemas.openxmlformats.org/drawingml/2006/picture">
                      <pic:pic xmlns:pic="http://schemas.openxmlformats.org/drawingml/2006/picture">
                        <pic:nvPicPr>
                          <pic:cNvPr id="54" name="Picture_2_SpCnt_3"/>
                          <pic:cNvPicPr/>
                        </pic:nvPicPr>
                        <pic:blipFill>
                          <a:blip r:embed="rId15"/>
                          <a:stretch>
                            <a:fillRect/>
                          </a:stretch>
                        </pic:blipFill>
                        <pic:spPr>
                          <a:xfrm>
                            <a:off x="0" y="0"/>
                            <a:ext cx="8572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005" cy="268605"/>
                  <wp:effectExtent l="0" t="0" r="0" b="0"/>
                  <wp:wrapNone/>
                  <wp:docPr id="25" name="Picture_8_SpCnt_6"/>
                  <wp:cNvGraphicFramePr/>
                  <a:graphic xmlns:a="http://schemas.openxmlformats.org/drawingml/2006/main">
                    <a:graphicData uri="http://schemas.openxmlformats.org/drawingml/2006/picture">
                      <pic:pic xmlns:pic="http://schemas.openxmlformats.org/drawingml/2006/picture">
                        <pic:nvPicPr>
                          <pic:cNvPr id="25" name="Picture_8_SpCnt_6"/>
                          <pic:cNvPicPr/>
                        </pic:nvPicPr>
                        <pic:blipFill>
                          <a:blip r:embed="rId15"/>
                          <a:stretch>
                            <a:fillRect/>
                          </a:stretch>
                        </pic:blipFill>
                        <pic:spPr>
                          <a:xfrm>
                            <a:off x="0" y="0"/>
                            <a:ext cx="54800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2700"/>
                  <wp:effectExtent l="0" t="0" r="0" b="0"/>
                  <wp:wrapNone/>
                  <wp:docPr id="2" name="Picture_593_SpCnt_4"/>
                  <wp:cNvGraphicFramePr/>
                  <a:graphic xmlns:a="http://schemas.openxmlformats.org/drawingml/2006/main">
                    <a:graphicData uri="http://schemas.openxmlformats.org/drawingml/2006/picture">
                      <pic:pic xmlns:pic="http://schemas.openxmlformats.org/drawingml/2006/picture">
                        <pic:nvPicPr>
                          <pic:cNvPr id="2" name="Picture_593_SpCnt_4"/>
                          <pic:cNvPicPr/>
                        </pic:nvPicPr>
                        <pic:blipFill>
                          <a:blip r:embed="rId15"/>
                          <a:stretch>
                            <a:fillRect/>
                          </a:stretch>
                        </pic:blipFill>
                        <pic:spPr>
                          <a:xfrm>
                            <a:off x="0" y="0"/>
                            <a:ext cx="19050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0375"/>
                  <wp:effectExtent l="0" t="0" r="0" b="0"/>
                  <wp:wrapNone/>
                  <wp:docPr id="23" name="图片_63_SpCnt_1"/>
                  <wp:cNvGraphicFramePr/>
                  <a:graphic xmlns:a="http://schemas.openxmlformats.org/drawingml/2006/main">
                    <a:graphicData uri="http://schemas.openxmlformats.org/drawingml/2006/picture">
                      <pic:pic xmlns:pic="http://schemas.openxmlformats.org/drawingml/2006/picture">
                        <pic:nvPicPr>
                          <pic:cNvPr id="23" name="图片_63_SpCnt_1"/>
                          <pic:cNvPicPr/>
                        </pic:nvPicPr>
                        <pic:blipFill>
                          <a:blip r:embed="rId41"/>
                          <a:stretch>
                            <a:fillRect/>
                          </a:stretch>
                        </pic:blipFill>
                        <pic:spPr>
                          <a:xfrm>
                            <a:off x="0" y="0"/>
                            <a:ext cx="27305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2280"/>
                  <wp:effectExtent l="0" t="0" r="0" b="0"/>
                  <wp:wrapNone/>
                  <wp:docPr id="6" name="图片_65_SpCnt_3"/>
                  <wp:cNvGraphicFramePr/>
                  <a:graphic xmlns:a="http://schemas.openxmlformats.org/drawingml/2006/main">
                    <a:graphicData uri="http://schemas.openxmlformats.org/drawingml/2006/picture">
                      <pic:pic xmlns:pic="http://schemas.openxmlformats.org/drawingml/2006/picture">
                        <pic:nvPicPr>
                          <pic:cNvPr id="6" name="图片_65_SpCnt_3"/>
                          <pic:cNvPicPr/>
                        </pic:nvPicPr>
                        <pic:blipFill>
                          <a:blip r:embed="rId34"/>
                          <a:stretch>
                            <a:fillRect/>
                          </a:stretch>
                        </pic:blipFill>
                        <pic:spPr>
                          <a:xfrm>
                            <a:off x="0" y="0"/>
                            <a:ext cx="77470"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0375"/>
                  <wp:effectExtent l="0" t="0" r="0" b="0"/>
                  <wp:wrapNone/>
                  <wp:docPr id="24" name="图片_65_SpCnt_4"/>
                  <wp:cNvGraphicFramePr/>
                  <a:graphic xmlns:a="http://schemas.openxmlformats.org/drawingml/2006/main">
                    <a:graphicData uri="http://schemas.openxmlformats.org/drawingml/2006/picture">
                      <pic:pic xmlns:pic="http://schemas.openxmlformats.org/drawingml/2006/picture">
                        <pic:nvPicPr>
                          <pic:cNvPr id="24" name="图片_65_SpCnt_4"/>
                          <pic:cNvPicPr/>
                        </pic:nvPicPr>
                        <pic:blipFill>
                          <a:blip r:embed="rId34"/>
                          <a:stretch>
                            <a:fillRect/>
                          </a:stretch>
                        </pic:blipFill>
                        <pic:spPr>
                          <a:xfrm>
                            <a:off x="0" y="0"/>
                            <a:ext cx="7747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0375"/>
                  <wp:effectExtent l="0" t="0" r="0" b="0"/>
                  <wp:wrapNone/>
                  <wp:docPr id="26" name="图片_63_SpCnt_2"/>
                  <wp:cNvGraphicFramePr/>
                  <a:graphic xmlns:a="http://schemas.openxmlformats.org/drawingml/2006/main">
                    <a:graphicData uri="http://schemas.openxmlformats.org/drawingml/2006/picture">
                      <pic:pic xmlns:pic="http://schemas.openxmlformats.org/drawingml/2006/picture">
                        <pic:nvPicPr>
                          <pic:cNvPr id="26" name="图片_63_SpCnt_2"/>
                          <pic:cNvPicPr/>
                        </pic:nvPicPr>
                        <pic:blipFill>
                          <a:blip r:embed="rId41"/>
                          <a:stretch>
                            <a:fillRect/>
                          </a:stretch>
                        </pic:blipFill>
                        <pic:spPr>
                          <a:xfrm>
                            <a:off x="0" y="0"/>
                            <a:ext cx="27305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95580"/>
                  <wp:effectExtent l="0" t="0" r="0" b="0"/>
                  <wp:wrapNone/>
                  <wp:docPr id="27" name="Picture_7519_SpCnt_4"/>
                  <wp:cNvGraphicFramePr/>
                  <a:graphic xmlns:a="http://schemas.openxmlformats.org/drawingml/2006/main">
                    <a:graphicData uri="http://schemas.openxmlformats.org/drawingml/2006/picture">
                      <pic:pic xmlns:pic="http://schemas.openxmlformats.org/drawingml/2006/picture">
                        <pic:nvPicPr>
                          <pic:cNvPr id="27" name="Picture_7519_SpCnt_4"/>
                          <pic:cNvPicPr/>
                        </pic:nvPicPr>
                        <pic:blipFill>
                          <a:blip r:embed="rId15"/>
                          <a:stretch>
                            <a:fillRect/>
                          </a:stretch>
                        </pic:blipFill>
                        <pic:spPr>
                          <a:xfrm>
                            <a:off x="0" y="0"/>
                            <a:ext cx="497205"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68605"/>
                  <wp:effectExtent l="0" t="0" r="0" b="0"/>
                  <wp:wrapNone/>
                  <wp:docPr id="11" name="Picture_7_SpCnt_5"/>
                  <wp:cNvGraphicFramePr/>
                  <a:graphic xmlns:a="http://schemas.openxmlformats.org/drawingml/2006/main">
                    <a:graphicData uri="http://schemas.openxmlformats.org/drawingml/2006/picture">
                      <pic:pic xmlns:pic="http://schemas.openxmlformats.org/drawingml/2006/picture">
                        <pic:nvPicPr>
                          <pic:cNvPr id="11" name="Picture_7_SpCnt_5"/>
                          <pic:cNvPicPr/>
                        </pic:nvPicPr>
                        <pic:blipFill>
                          <a:blip r:embed="rId15"/>
                          <a:stretch>
                            <a:fillRect/>
                          </a:stretch>
                        </pic:blipFill>
                        <pic:spPr>
                          <a:xfrm>
                            <a:off x="0" y="0"/>
                            <a:ext cx="51435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0870" cy="271145"/>
                  <wp:effectExtent l="0" t="0" r="0" b="0"/>
                  <wp:wrapNone/>
                  <wp:docPr id="17" name="Picture_7_SpCnt_6"/>
                  <wp:cNvGraphicFramePr/>
                  <a:graphic xmlns:a="http://schemas.openxmlformats.org/drawingml/2006/main">
                    <a:graphicData uri="http://schemas.openxmlformats.org/drawingml/2006/picture">
                      <pic:pic xmlns:pic="http://schemas.openxmlformats.org/drawingml/2006/picture">
                        <pic:nvPicPr>
                          <pic:cNvPr id="17" name="Picture_7_SpCnt_6"/>
                          <pic:cNvPicPr/>
                        </pic:nvPicPr>
                        <pic:blipFill>
                          <a:blip r:embed="rId42"/>
                          <a:stretch>
                            <a:fillRect/>
                          </a:stretch>
                        </pic:blipFill>
                        <pic:spPr>
                          <a:xfrm>
                            <a:off x="0" y="0"/>
                            <a:ext cx="61087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3560" cy="318770"/>
                  <wp:effectExtent l="0" t="0" r="0" b="0"/>
                  <wp:wrapNone/>
                  <wp:docPr id="13" name="Picture_6_SpCnt_2"/>
                  <wp:cNvGraphicFramePr/>
                  <a:graphic xmlns:a="http://schemas.openxmlformats.org/drawingml/2006/main">
                    <a:graphicData uri="http://schemas.openxmlformats.org/drawingml/2006/picture">
                      <pic:pic xmlns:pic="http://schemas.openxmlformats.org/drawingml/2006/picture">
                        <pic:nvPicPr>
                          <pic:cNvPr id="13" name="Picture_6_SpCnt_2"/>
                          <pic:cNvPicPr/>
                        </pic:nvPicPr>
                        <pic:blipFill>
                          <a:blip r:embed="rId43"/>
                          <a:stretch>
                            <a:fillRect/>
                          </a:stretch>
                        </pic:blipFill>
                        <pic:spPr>
                          <a:xfrm>
                            <a:off x="0" y="0"/>
                            <a:ext cx="54356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318770"/>
                  <wp:effectExtent l="0" t="0" r="0" b="0"/>
                  <wp:wrapNone/>
                  <wp:docPr id="4" name="Picture_5_SpCnt_2"/>
                  <wp:cNvGraphicFramePr/>
                  <a:graphic xmlns:a="http://schemas.openxmlformats.org/drawingml/2006/main">
                    <a:graphicData uri="http://schemas.openxmlformats.org/drawingml/2006/picture">
                      <pic:pic xmlns:pic="http://schemas.openxmlformats.org/drawingml/2006/picture">
                        <pic:nvPicPr>
                          <pic:cNvPr id="4" name="Picture_5_SpCnt_2"/>
                          <pic:cNvPicPr/>
                        </pic:nvPicPr>
                        <pic:blipFill>
                          <a:blip r:embed="rId44"/>
                          <a:stretch>
                            <a:fillRect/>
                          </a:stretch>
                        </pic:blipFill>
                        <pic:spPr>
                          <a:xfrm>
                            <a:off x="0" y="0"/>
                            <a:ext cx="46863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3560" cy="10160"/>
                  <wp:effectExtent l="0" t="0" r="0" b="0"/>
                  <wp:wrapNone/>
                  <wp:docPr id="22" name="Picture_597_SpCnt_5"/>
                  <wp:cNvGraphicFramePr/>
                  <a:graphic xmlns:a="http://schemas.openxmlformats.org/drawingml/2006/main">
                    <a:graphicData uri="http://schemas.openxmlformats.org/drawingml/2006/picture">
                      <pic:pic xmlns:pic="http://schemas.openxmlformats.org/drawingml/2006/picture">
                        <pic:nvPicPr>
                          <pic:cNvPr id="22" name="Picture_597_SpCnt_5"/>
                          <pic:cNvPicPr/>
                        </pic:nvPicPr>
                        <pic:blipFill>
                          <a:blip r:embed="rId45"/>
                          <a:stretch>
                            <a:fillRect/>
                          </a:stretch>
                        </pic:blipFill>
                        <pic:spPr>
                          <a:xfrm>
                            <a:off x="0" y="0"/>
                            <a:ext cx="54356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9925" cy="271145"/>
                  <wp:effectExtent l="0" t="0" r="0" b="0"/>
                  <wp:wrapNone/>
                  <wp:docPr id="8" name="Picture_8_SpCnt_7"/>
                  <wp:cNvGraphicFramePr/>
                  <a:graphic xmlns:a="http://schemas.openxmlformats.org/drawingml/2006/main">
                    <a:graphicData uri="http://schemas.openxmlformats.org/drawingml/2006/picture">
                      <pic:pic xmlns:pic="http://schemas.openxmlformats.org/drawingml/2006/picture">
                        <pic:nvPicPr>
                          <pic:cNvPr id="8" name="Picture_8_SpCnt_7"/>
                          <pic:cNvPicPr/>
                        </pic:nvPicPr>
                        <pic:blipFill>
                          <a:blip r:embed="rId15"/>
                          <a:stretch>
                            <a:fillRect/>
                          </a:stretch>
                        </pic:blipFill>
                        <pic:spPr>
                          <a:xfrm>
                            <a:off x="0" y="0"/>
                            <a:ext cx="66992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95580"/>
                  <wp:effectExtent l="0" t="0" r="0" b="0"/>
                  <wp:wrapNone/>
                  <wp:docPr id="28" name="Picture_7517_SpCnt_3"/>
                  <wp:cNvGraphicFramePr/>
                  <a:graphic xmlns:a="http://schemas.openxmlformats.org/drawingml/2006/main">
                    <a:graphicData uri="http://schemas.openxmlformats.org/drawingml/2006/picture">
                      <pic:pic xmlns:pic="http://schemas.openxmlformats.org/drawingml/2006/picture">
                        <pic:nvPicPr>
                          <pic:cNvPr id="28" name="Picture_7517_SpCnt_3"/>
                          <pic:cNvPicPr/>
                        </pic:nvPicPr>
                        <pic:blipFill>
                          <a:blip r:embed="rId15"/>
                          <a:stretch>
                            <a:fillRect/>
                          </a:stretch>
                        </pic:blipFill>
                        <pic:spPr>
                          <a:xfrm>
                            <a:off x="0" y="0"/>
                            <a:ext cx="29210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95580"/>
                  <wp:effectExtent l="0" t="0" r="0" b="0"/>
                  <wp:wrapNone/>
                  <wp:docPr id="12" name="Picture_7518_SpCnt_3"/>
                  <wp:cNvGraphicFramePr/>
                  <a:graphic xmlns:a="http://schemas.openxmlformats.org/drawingml/2006/main">
                    <a:graphicData uri="http://schemas.openxmlformats.org/drawingml/2006/picture">
                      <pic:pic xmlns:pic="http://schemas.openxmlformats.org/drawingml/2006/picture">
                        <pic:nvPicPr>
                          <pic:cNvPr id="12" name="Picture_7518_SpCnt_3"/>
                          <pic:cNvPicPr/>
                        </pic:nvPicPr>
                        <pic:blipFill>
                          <a:blip r:embed="rId15"/>
                          <a:stretch>
                            <a:fillRect/>
                          </a:stretch>
                        </pic:blipFill>
                        <pic:spPr>
                          <a:xfrm>
                            <a:off x="0" y="0"/>
                            <a:ext cx="39243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189865"/>
                  <wp:effectExtent l="0" t="0" r="0" b="0"/>
                  <wp:wrapNone/>
                  <wp:docPr id="7" name="Picture_7519_SpCnt_5"/>
                  <wp:cNvGraphicFramePr/>
                  <a:graphic xmlns:a="http://schemas.openxmlformats.org/drawingml/2006/main">
                    <a:graphicData uri="http://schemas.openxmlformats.org/drawingml/2006/picture">
                      <pic:pic xmlns:pic="http://schemas.openxmlformats.org/drawingml/2006/picture">
                        <pic:nvPicPr>
                          <pic:cNvPr id="7" name="Picture_7519_SpCnt_5"/>
                          <pic:cNvPicPr/>
                        </pic:nvPicPr>
                        <pic:blipFill>
                          <a:blip r:embed="rId46"/>
                          <a:stretch>
                            <a:fillRect/>
                          </a:stretch>
                        </pic:blipFill>
                        <pic:spPr>
                          <a:xfrm>
                            <a:off x="0" y="0"/>
                            <a:ext cx="468630"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10160"/>
                  <wp:effectExtent l="0" t="0" r="0" b="0"/>
                  <wp:wrapNone/>
                  <wp:docPr id="33" name="Picture_596_SpCnt_5"/>
                  <wp:cNvGraphicFramePr/>
                  <a:graphic xmlns:a="http://schemas.openxmlformats.org/drawingml/2006/main">
                    <a:graphicData uri="http://schemas.openxmlformats.org/drawingml/2006/picture">
                      <pic:pic xmlns:pic="http://schemas.openxmlformats.org/drawingml/2006/picture">
                        <pic:nvPicPr>
                          <pic:cNvPr id="33" name="Picture_596_SpCnt_5"/>
                          <pic:cNvPicPr/>
                        </pic:nvPicPr>
                        <pic:blipFill>
                          <a:blip r:embed="rId47"/>
                          <a:stretch>
                            <a:fillRect/>
                          </a:stretch>
                        </pic:blipFill>
                        <pic:spPr>
                          <a:xfrm>
                            <a:off x="0" y="0"/>
                            <a:ext cx="46863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7860" cy="271145"/>
                  <wp:effectExtent l="0" t="0" r="0" b="0"/>
                  <wp:wrapNone/>
                  <wp:docPr id="29" name="Picture_7_SpCnt_7"/>
                  <wp:cNvGraphicFramePr/>
                  <a:graphic xmlns:a="http://schemas.openxmlformats.org/drawingml/2006/main">
                    <a:graphicData uri="http://schemas.openxmlformats.org/drawingml/2006/picture">
                      <pic:pic xmlns:pic="http://schemas.openxmlformats.org/drawingml/2006/picture">
                        <pic:nvPicPr>
                          <pic:cNvPr id="29" name="Picture_7_SpCnt_7"/>
                          <pic:cNvPicPr/>
                        </pic:nvPicPr>
                        <pic:blipFill>
                          <a:blip r:embed="rId15"/>
                          <a:stretch>
                            <a:fillRect/>
                          </a:stretch>
                        </pic:blipFill>
                        <pic:spPr>
                          <a:xfrm>
                            <a:off x="0" y="0"/>
                            <a:ext cx="65786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89865"/>
                  <wp:effectExtent l="0" t="0" r="0" b="0"/>
                  <wp:wrapNone/>
                  <wp:docPr id="19" name="Picture_7518_SpCnt_4"/>
                  <wp:cNvGraphicFramePr/>
                  <a:graphic xmlns:a="http://schemas.openxmlformats.org/drawingml/2006/main">
                    <a:graphicData uri="http://schemas.openxmlformats.org/drawingml/2006/picture">
                      <pic:pic xmlns:pic="http://schemas.openxmlformats.org/drawingml/2006/picture">
                        <pic:nvPicPr>
                          <pic:cNvPr id="19" name="Picture_7518_SpCnt_4"/>
                          <pic:cNvPicPr/>
                        </pic:nvPicPr>
                        <pic:blipFill>
                          <a:blip r:embed="rId48"/>
                          <a:stretch>
                            <a:fillRect/>
                          </a:stretch>
                        </pic:blipFill>
                        <pic:spPr>
                          <a:xfrm>
                            <a:off x="0" y="0"/>
                            <a:ext cx="370840"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318770"/>
                  <wp:effectExtent l="0" t="0" r="0" b="0"/>
                  <wp:wrapNone/>
                  <wp:docPr id="1" name="Picture_4_SpCnt_4"/>
                  <wp:cNvGraphicFramePr/>
                  <a:graphic xmlns:a="http://schemas.openxmlformats.org/drawingml/2006/main">
                    <a:graphicData uri="http://schemas.openxmlformats.org/drawingml/2006/picture">
                      <pic:pic xmlns:pic="http://schemas.openxmlformats.org/drawingml/2006/picture">
                        <pic:nvPicPr>
                          <pic:cNvPr id="1" name="Picture_4_SpCnt_4"/>
                          <pic:cNvPicPr/>
                        </pic:nvPicPr>
                        <pic:blipFill>
                          <a:blip r:embed="rId49"/>
                          <a:stretch>
                            <a:fillRect/>
                          </a:stretch>
                        </pic:blipFill>
                        <pic:spPr>
                          <a:xfrm>
                            <a:off x="0" y="0"/>
                            <a:ext cx="37084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195580"/>
                  <wp:effectExtent l="0" t="0" r="0" b="0"/>
                  <wp:wrapNone/>
                  <wp:docPr id="21" name="Picture_7519_SpCnt_6"/>
                  <wp:cNvGraphicFramePr/>
                  <a:graphic xmlns:a="http://schemas.openxmlformats.org/drawingml/2006/main">
                    <a:graphicData uri="http://schemas.openxmlformats.org/drawingml/2006/picture">
                      <pic:pic xmlns:pic="http://schemas.openxmlformats.org/drawingml/2006/picture">
                        <pic:nvPicPr>
                          <pic:cNvPr id="21" name="Picture_7519_SpCnt_6"/>
                          <pic:cNvPicPr/>
                        </pic:nvPicPr>
                        <pic:blipFill>
                          <a:blip r:embed="rId15"/>
                          <a:stretch>
                            <a:fillRect/>
                          </a:stretch>
                        </pic:blipFill>
                        <pic:spPr>
                          <a:xfrm>
                            <a:off x="0" y="0"/>
                            <a:ext cx="447675"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195580"/>
                  <wp:effectExtent l="0" t="0" r="0" b="0"/>
                  <wp:wrapNone/>
                  <wp:docPr id="3" name="Picture_7517_SpCnt_4"/>
                  <wp:cNvGraphicFramePr/>
                  <a:graphic xmlns:a="http://schemas.openxmlformats.org/drawingml/2006/main">
                    <a:graphicData uri="http://schemas.openxmlformats.org/drawingml/2006/picture">
                      <pic:pic xmlns:pic="http://schemas.openxmlformats.org/drawingml/2006/picture">
                        <pic:nvPicPr>
                          <pic:cNvPr id="3" name="Picture_7517_SpCnt_4"/>
                          <pic:cNvPicPr/>
                        </pic:nvPicPr>
                        <pic:blipFill>
                          <a:blip r:embed="rId15"/>
                          <a:stretch>
                            <a:fillRect/>
                          </a:stretch>
                        </pic:blipFill>
                        <pic:spPr>
                          <a:xfrm>
                            <a:off x="0" y="0"/>
                            <a:ext cx="262255"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195580"/>
                  <wp:effectExtent l="0" t="0" r="0" b="0"/>
                  <wp:wrapNone/>
                  <wp:docPr id="14" name="Picture_7516_SpCnt_4"/>
                  <wp:cNvGraphicFramePr/>
                  <a:graphic xmlns:a="http://schemas.openxmlformats.org/drawingml/2006/main">
                    <a:graphicData uri="http://schemas.openxmlformats.org/drawingml/2006/picture">
                      <pic:pic xmlns:pic="http://schemas.openxmlformats.org/drawingml/2006/picture">
                        <pic:nvPicPr>
                          <pic:cNvPr id="14" name="Picture_7516_SpCnt_4"/>
                          <pic:cNvPicPr/>
                        </pic:nvPicPr>
                        <pic:blipFill>
                          <a:blip r:embed="rId15"/>
                          <a:stretch>
                            <a:fillRect/>
                          </a:stretch>
                        </pic:blipFill>
                        <pic:spPr>
                          <a:xfrm>
                            <a:off x="0" y="0"/>
                            <a:ext cx="17145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4825" cy="24765"/>
                  <wp:effectExtent l="0" t="0" r="0" b="0"/>
                  <wp:wrapNone/>
                  <wp:docPr id="9" name="Picture_597_SpCnt_6"/>
                  <wp:cNvGraphicFramePr/>
                  <a:graphic xmlns:a="http://schemas.openxmlformats.org/drawingml/2006/main">
                    <a:graphicData uri="http://schemas.openxmlformats.org/drawingml/2006/picture">
                      <pic:pic xmlns:pic="http://schemas.openxmlformats.org/drawingml/2006/picture">
                        <pic:nvPicPr>
                          <pic:cNvPr id="9" name="Picture_597_SpCnt_6"/>
                          <pic:cNvPicPr/>
                        </pic:nvPicPr>
                        <pic:blipFill>
                          <a:blip r:embed="rId15"/>
                          <a:stretch>
                            <a:fillRect/>
                          </a:stretch>
                        </pic:blipFill>
                        <pic:spPr>
                          <a:xfrm>
                            <a:off x="0" y="0"/>
                            <a:ext cx="50482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53695" cy="24765"/>
                  <wp:effectExtent l="0" t="0" r="0" b="0"/>
                  <wp:wrapNone/>
                  <wp:docPr id="10" name="Picture_595_SpCnt_5"/>
                  <wp:cNvGraphicFramePr/>
                  <a:graphic xmlns:a="http://schemas.openxmlformats.org/drawingml/2006/main">
                    <a:graphicData uri="http://schemas.openxmlformats.org/drawingml/2006/picture">
                      <pic:pic xmlns:pic="http://schemas.openxmlformats.org/drawingml/2006/picture">
                        <pic:nvPicPr>
                          <pic:cNvPr id="10" name="Picture_595_SpCnt_5"/>
                          <pic:cNvPicPr/>
                        </pic:nvPicPr>
                        <pic:blipFill>
                          <a:blip r:embed="rId15"/>
                          <a:stretch>
                            <a:fillRect/>
                          </a:stretch>
                        </pic:blipFill>
                        <pic:spPr>
                          <a:xfrm>
                            <a:off x="0" y="0"/>
                            <a:ext cx="35369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255" cy="24765"/>
                  <wp:effectExtent l="0" t="0" r="0" b="0"/>
                  <wp:wrapNone/>
                  <wp:docPr id="30" name="Picture_594_SpCnt_4"/>
                  <wp:cNvGraphicFramePr/>
                  <a:graphic xmlns:a="http://schemas.openxmlformats.org/drawingml/2006/main">
                    <a:graphicData uri="http://schemas.openxmlformats.org/drawingml/2006/picture">
                      <pic:pic xmlns:pic="http://schemas.openxmlformats.org/drawingml/2006/picture">
                        <pic:nvPicPr>
                          <pic:cNvPr id="30" name="Picture_594_SpCnt_4"/>
                          <pic:cNvPicPr/>
                        </pic:nvPicPr>
                        <pic:blipFill>
                          <a:blip r:embed="rId15"/>
                          <a:stretch>
                            <a:fillRect/>
                          </a:stretch>
                        </pic:blipFill>
                        <pic:spPr>
                          <a:xfrm>
                            <a:off x="0" y="0"/>
                            <a:ext cx="26225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 cy="24765"/>
                  <wp:effectExtent l="0" t="0" r="0" b="0"/>
                  <wp:wrapNone/>
                  <wp:docPr id="15" name="Picture_593_SpCnt_5"/>
                  <wp:cNvGraphicFramePr/>
                  <a:graphic xmlns:a="http://schemas.openxmlformats.org/drawingml/2006/main">
                    <a:graphicData uri="http://schemas.openxmlformats.org/drawingml/2006/picture">
                      <pic:pic xmlns:pic="http://schemas.openxmlformats.org/drawingml/2006/picture">
                        <pic:nvPicPr>
                          <pic:cNvPr id="15" name="Picture_593_SpCnt_5"/>
                          <pic:cNvPicPr/>
                        </pic:nvPicPr>
                        <pic:blipFill>
                          <a:blip r:embed="rId15"/>
                          <a:stretch>
                            <a:fillRect/>
                          </a:stretch>
                        </pic:blipFill>
                        <pic:spPr>
                          <a:xfrm>
                            <a:off x="0" y="0"/>
                            <a:ext cx="171450"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7305"/>
                  <wp:effectExtent l="0" t="0" r="0" b="0"/>
                  <wp:wrapNone/>
                  <wp:docPr id="16" name="Picture_597_SpCnt_7"/>
                  <wp:cNvGraphicFramePr/>
                  <a:graphic xmlns:a="http://schemas.openxmlformats.org/drawingml/2006/main">
                    <a:graphicData uri="http://schemas.openxmlformats.org/drawingml/2006/picture">
                      <pic:pic xmlns:pic="http://schemas.openxmlformats.org/drawingml/2006/picture">
                        <pic:nvPicPr>
                          <pic:cNvPr id="16" name="Picture_597_SpCnt_7"/>
                          <pic:cNvPicPr/>
                        </pic:nvPicPr>
                        <pic:blipFill>
                          <a:blip r:embed="rId15"/>
                          <a:stretch>
                            <a:fillRect/>
                          </a:stretch>
                        </pic:blipFill>
                        <pic:spPr>
                          <a:xfrm>
                            <a:off x="0" y="0"/>
                            <a:ext cx="514350" cy="27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5580"/>
                  <wp:effectExtent l="0" t="0" r="0" b="0"/>
                  <wp:wrapNone/>
                  <wp:docPr id="31" name="Picture_7516_SpCnt_5"/>
                  <wp:cNvGraphicFramePr/>
                  <a:graphic xmlns:a="http://schemas.openxmlformats.org/drawingml/2006/main">
                    <a:graphicData uri="http://schemas.openxmlformats.org/drawingml/2006/picture">
                      <pic:pic xmlns:pic="http://schemas.openxmlformats.org/drawingml/2006/picture">
                        <pic:nvPicPr>
                          <pic:cNvPr id="31" name="Picture_7516_SpCnt_5"/>
                          <pic:cNvPicPr/>
                        </pic:nvPicPr>
                        <pic:blipFill>
                          <a:blip r:embed="rId15"/>
                          <a:stretch>
                            <a:fillRect/>
                          </a:stretch>
                        </pic:blipFill>
                        <pic:spPr>
                          <a:xfrm>
                            <a:off x="0" y="0"/>
                            <a:ext cx="19050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318770"/>
                  <wp:effectExtent l="0" t="0" r="0" b="0"/>
                  <wp:wrapNone/>
                  <wp:docPr id="32" name="Picture_3_SpCnt_2"/>
                  <wp:cNvGraphicFramePr/>
                  <a:graphic xmlns:a="http://schemas.openxmlformats.org/drawingml/2006/main">
                    <a:graphicData uri="http://schemas.openxmlformats.org/drawingml/2006/picture">
                      <pic:pic xmlns:pic="http://schemas.openxmlformats.org/drawingml/2006/picture">
                        <pic:nvPicPr>
                          <pic:cNvPr id="32" name="Picture_3_SpCnt_2"/>
                          <pic:cNvPicPr/>
                        </pic:nvPicPr>
                        <pic:blipFill>
                          <a:blip r:embed="rId50"/>
                          <a:stretch>
                            <a:fillRect/>
                          </a:stretch>
                        </pic:blipFill>
                        <pic:spPr>
                          <a:xfrm>
                            <a:off x="0" y="0"/>
                            <a:ext cx="27622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3885" cy="279400"/>
                  <wp:effectExtent l="0" t="0" r="0" b="0"/>
                  <wp:wrapNone/>
                  <wp:docPr id="18" name="Picture_7_SpCnt_8"/>
                  <wp:cNvGraphicFramePr/>
                  <a:graphic xmlns:a="http://schemas.openxmlformats.org/drawingml/2006/main">
                    <a:graphicData uri="http://schemas.openxmlformats.org/drawingml/2006/picture">
                      <pic:pic xmlns:pic="http://schemas.openxmlformats.org/drawingml/2006/picture">
                        <pic:nvPicPr>
                          <pic:cNvPr id="18" name="Picture_7_SpCnt_8"/>
                          <pic:cNvPicPr/>
                        </pic:nvPicPr>
                        <pic:blipFill>
                          <a:blip r:embed="rId15"/>
                          <a:stretch>
                            <a:fillRect/>
                          </a:stretch>
                        </pic:blipFill>
                        <pic:spPr>
                          <a:xfrm>
                            <a:off x="0" y="0"/>
                            <a:ext cx="603885" cy="2794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474980"/>
                  <wp:effectExtent l="0" t="0" r="0" b="0"/>
                  <wp:wrapNone/>
                  <wp:docPr id="20" name="图片_65_SpCnt_5"/>
                  <wp:cNvGraphicFramePr/>
                  <a:graphic xmlns:a="http://schemas.openxmlformats.org/drawingml/2006/main">
                    <a:graphicData uri="http://schemas.openxmlformats.org/drawingml/2006/picture">
                      <pic:pic xmlns:pic="http://schemas.openxmlformats.org/drawingml/2006/picture">
                        <pic:nvPicPr>
                          <pic:cNvPr id="20" name="图片_65_SpCnt_5"/>
                          <pic:cNvPicPr/>
                        </pic:nvPicPr>
                        <pic:blipFill>
                          <a:blip r:embed="rId51"/>
                          <a:stretch>
                            <a:fillRect/>
                          </a:stretch>
                        </pic:blipFill>
                        <pic:spPr>
                          <a:xfrm>
                            <a:off x="0" y="0"/>
                            <a:ext cx="73660" cy="4749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985" cy="458470"/>
                  <wp:effectExtent l="0" t="0" r="0" b="0"/>
                  <wp:wrapNone/>
                  <wp:docPr id="36" name="图片_63_SpCnt_3"/>
                  <wp:cNvGraphicFramePr/>
                  <a:graphic xmlns:a="http://schemas.openxmlformats.org/drawingml/2006/main">
                    <a:graphicData uri="http://schemas.openxmlformats.org/drawingml/2006/picture">
                      <pic:pic xmlns:pic="http://schemas.openxmlformats.org/drawingml/2006/picture">
                        <pic:nvPicPr>
                          <pic:cNvPr id="36" name="图片_63_SpCnt_3"/>
                          <pic:cNvPicPr/>
                        </pic:nvPicPr>
                        <pic:blipFill>
                          <a:blip r:embed="rId35"/>
                          <a:stretch>
                            <a:fillRect/>
                          </a:stretch>
                        </pic:blipFill>
                        <pic:spPr>
                          <a:xfrm>
                            <a:off x="0" y="0"/>
                            <a:ext cx="260985"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89865"/>
                  <wp:effectExtent l="0" t="0" r="0" b="0"/>
                  <wp:wrapNone/>
                  <wp:docPr id="34" name="Picture_7517_SpCnt_5"/>
                  <wp:cNvGraphicFramePr/>
                  <a:graphic xmlns:a="http://schemas.openxmlformats.org/drawingml/2006/main">
                    <a:graphicData uri="http://schemas.openxmlformats.org/drawingml/2006/picture">
                      <pic:pic xmlns:pic="http://schemas.openxmlformats.org/drawingml/2006/picture">
                        <pic:nvPicPr>
                          <pic:cNvPr id="34" name="Picture_7517_SpCnt_5"/>
                          <pic:cNvPicPr/>
                        </pic:nvPicPr>
                        <pic:blipFill>
                          <a:blip r:embed="rId52"/>
                          <a:stretch>
                            <a:fillRect/>
                          </a:stretch>
                        </pic:blipFill>
                        <pic:spPr>
                          <a:xfrm>
                            <a:off x="0" y="0"/>
                            <a:ext cx="27622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458470"/>
                  <wp:effectExtent l="0" t="0" r="0" b="0"/>
                  <wp:wrapNone/>
                  <wp:docPr id="35" name="图片_65_SpCnt_6"/>
                  <wp:cNvGraphicFramePr/>
                  <a:graphic xmlns:a="http://schemas.openxmlformats.org/drawingml/2006/main">
                    <a:graphicData uri="http://schemas.openxmlformats.org/drawingml/2006/picture">
                      <pic:pic xmlns:pic="http://schemas.openxmlformats.org/drawingml/2006/picture">
                        <pic:nvPicPr>
                          <pic:cNvPr id="35" name="图片_65_SpCnt_6"/>
                          <pic:cNvPicPr/>
                        </pic:nvPicPr>
                        <pic:blipFill>
                          <a:blip r:embed="rId34"/>
                          <a:stretch>
                            <a:fillRect/>
                          </a:stretch>
                        </pic:blipFill>
                        <pic:spPr>
                          <a:xfrm>
                            <a:off x="0" y="0"/>
                            <a:ext cx="73660"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3885" cy="271145"/>
                  <wp:effectExtent l="0" t="0" r="0" b="0"/>
                  <wp:wrapNone/>
                  <wp:docPr id="329" name="Picture_7_SpCnt_9"/>
                  <wp:cNvGraphicFramePr/>
                  <a:graphic xmlns:a="http://schemas.openxmlformats.org/drawingml/2006/main">
                    <a:graphicData uri="http://schemas.openxmlformats.org/drawingml/2006/picture">
                      <pic:pic xmlns:pic="http://schemas.openxmlformats.org/drawingml/2006/picture">
                        <pic:nvPicPr>
                          <pic:cNvPr id="329" name="Picture_7_SpCnt_9"/>
                          <pic:cNvPicPr/>
                        </pic:nvPicPr>
                        <pic:blipFill>
                          <a:blip r:embed="rId53"/>
                          <a:stretch>
                            <a:fillRect/>
                          </a:stretch>
                        </pic:blipFill>
                        <pic:spPr>
                          <a:xfrm>
                            <a:off x="0" y="0"/>
                            <a:ext cx="60388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89865"/>
                  <wp:effectExtent l="0" t="0" r="0" b="0"/>
                  <wp:wrapNone/>
                  <wp:docPr id="325" name="Picture_7516_SpCnt_6"/>
                  <wp:cNvGraphicFramePr/>
                  <a:graphic xmlns:a="http://schemas.openxmlformats.org/drawingml/2006/main">
                    <a:graphicData uri="http://schemas.openxmlformats.org/drawingml/2006/picture">
                      <pic:pic xmlns:pic="http://schemas.openxmlformats.org/drawingml/2006/picture">
                        <pic:nvPicPr>
                          <pic:cNvPr id="325" name="Picture_7516_SpCnt_6"/>
                          <pic:cNvPicPr/>
                        </pic:nvPicPr>
                        <pic:blipFill>
                          <a:blip r:embed="rId54"/>
                          <a:stretch>
                            <a:fillRect/>
                          </a:stretch>
                        </pic:blipFill>
                        <pic:spPr>
                          <a:xfrm>
                            <a:off x="0" y="0"/>
                            <a:ext cx="17970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318770"/>
                  <wp:effectExtent l="0" t="0" r="0" b="0"/>
                  <wp:wrapNone/>
                  <wp:docPr id="319" name="Picture_2_SpCnt_4"/>
                  <wp:cNvGraphicFramePr/>
                  <a:graphic xmlns:a="http://schemas.openxmlformats.org/drawingml/2006/main">
                    <a:graphicData uri="http://schemas.openxmlformats.org/drawingml/2006/picture">
                      <pic:pic xmlns:pic="http://schemas.openxmlformats.org/drawingml/2006/picture">
                        <pic:nvPicPr>
                          <pic:cNvPr id="319" name="Picture_2_SpCnt_4"/>
                          <pic:cNvPicPr/>
                        </pic:nvPicPr>
                        <pic:blipFill>
                          <a:blip r:embed="rId55"/>
                          <a:stretch>
                            <a:fillRect/>
                          </a:stretch>
                        </pic:blipFill>
                        <pic:spPr>
                          <a:xfrm>
                            <a:off x="0" y="0"/>
                            <a:ext cx="17970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7165"/>
                  <wp:effectExtent l="0" t="0" r="0" b="0"/>
                  <wp:wrapNone/>
                  <wp:docPr id="327" name="Picture_7518_SpCnt_5"/>
                  <wp:cNvGraphicFramePr/>
                  <a:graphic xmlns:a="http://schemas.openxmlformats.org/drawingml/2006/main">
                    <a:graphicData uri="http://schemas.openxmlformats.org/drawingml/2006/picture">
                      <pic:pic xmlns:pic="http://schemas.openxmlformats.org/drawingml/2006/picture">
                        <pic:nvPicPr>
                          <pic:cNvPr id="327" name="Picture_7518_SpCnt_5"/>
                          <pic:cNvPicPr/>
                        </pic:nvPicPr>
                        <pic:blipFill>
                          <a:blip r:embed="rId56"/>
                          <a:stretch>
                            <a:fillRect/>
                          </a:stretch>
                        </pic:blipFill>
                        <pic:spPr>
                          <a:xfrm>
                            <a:off x="0" y="0"/>
                            <a:ext cx="392430"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005" cy="276860"/>
                  <wp:effectExtent l="0" t="0" r="0" b="0"/>
                  <wp:wrapNone/>
                  <wp:docPr id="306" name="Picture_8_SpCnt_8"/>
                  <wp:cNvGraphicFramePr/>
                  <a:graphic xmlns:a="http://schemas.openxmlformats.org/drawingml/2006/main">
                    <a:graphicData uri="http://schemas.openxmlformats.org/drawingml/2006/picture">
                      <pic:pic xmlns:pic="http://schemas.openxmlformats.org/drawingml/2006/picture">
                        <pic:nvPicPr>
                          <pic:cNvPr id="306" name="Picture_8_SpCnt_8"/>
                          <pic:cNvPicPr/>
                        </pic:nvPicPr>
                        <pic:blipFill>
                          <a:blip r:embed="rId15"/>
                          <a:stretch>
                            <a:fillRect/>
                          </a:stretch>
                        </pic:blipFill>
                        <pic:spPr>
                          <a:xfrm>
                            <a:off x="0" y="0"/>
                            <a:ext cx="548005" cy="2768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27305"/>
                  <wp:effectExtent l="0" t="0" r="0" b="0"/>
                  <wp:wrapNone/>
                  <wp:docPr id="302" name="Picture_595_SpCnt_6"/>
                  <wp:cNvGraphicFramePr/>
                  <a:graphic xmlns:a="http://schemas.openxmlformats.org/drawingml/2006/main">
                    <a:graphicData uri="http://schemas.openxmlformats.org/drawingml/2006/picture">
                      <pic:pic xmlns:pic="http://schemas.openxmlformats.org/drawingml/2006/picture">
                        <pic:nvPicPr>
                          <pic:cNvPr id="302" name="Picture_595_SpCnt_6"/>
                          <pic:cNvPicPr/>
                        </pic:nvPicPr>
                        <pic:blipFill>
                          <a:blip r:embed="rId15"/>
                          <a:stretch>
                            <a:fillRect/>
                          </a:stretch>
                        </pic:blipFill>
                        <pic:spPr>
                          <a:xfrm>
                            <a:off x="0" y="0"/>
                            <a:ext cx="392430" cy="27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27305"/>
                  <wp:effectExtent l="0" t="0" r="0" b="0"/>
                  <wp:wrapNone/>
                  <wp:docPr id="323" name="Picture_596_SpCnt_6"/>
                  <wp:cNvGraphicFramePr/>
                  <a:graphic xmlns:a="http://schemas.openxmlformats.org/drawingml/2006/main">
                    <a:graphicData uri="http://schemas.openxmlformats.org/drawingml/2006/picture">
                      <pic:pic xmlns:pic="http://schemas.openxmlformats.org/drawingml/2006/picture">
                        <pic:nvPicPr>
                          <pic:cNvPr id="323" name="Picture_596_SpCnt_6"/>
                          <pic:cNvPicPr/>
                        </pic:nvPicPr>
                        <pic:blipFill>
                          <a:blip r:embed="rId15"/>
                          <a:stretch>
                            <a:fillRect/>
                          </a:stretch>
                        </pic:blipFill>
                        <pic:spPr>
                          <a:xfrm>
                            <a:off x="0" y="0"/>
                            <a:ext cx="497205" cy="27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2280"/>
                  <wp:effectExtent l="0" t="0" r="0" b="0"/>
                  <wp:wrapNone/>
                  <wp:docPr id="316" name="图片_65_SpCnt_7"/>
                  <wp:cNvGraphicFramePr/>
                  <a:graphic xmlns:a="http://schemas.openxmlformats.org/drawingml/2006/main">
                    <a:graphicData uri="http://schemas.openxmlformats.org/drawingml/2006/picture">
                      <pic:pic xmlns:pic="http://schemas.openxmlformats.org/drawingml/2006/picture">
                        <pic:nvPicPr>
                          <pic:cNvPr id="316" name="图片_65_SpCnt_7"/>
                          <pic:cNvPicPr/>
                        </pic:nvPicPr>
                        <pic:blipFill>
                          <a:blip r:embed="rId34"/>
                          <a:stretch>
                            <a:fillRect/>
                          </a:stretch>
                        </pic:blipFill>
                        <pic:spPr>
                          <a:xfrm>
                            <a:off x="0" y="0"/>
                            <a:ext cx="77470"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0375"/>
                  <wp:effectExtent l="0" t="0" r="0" b="0"/>
                  <wp:wrapNone/>
                  <wp:docPr id="315" name="图片_65_SpCnt_8"/>
                  <wp:cNvGraphicFramePr/>
                  <a:graphic xmlns:a="http://schemas.openxmlformats.org/drawingml/2006/main">
                    <a:graphicData uri="http://schemas.openxmlformats.org/drawingml/2006/picture">
                      <pic:pic xmlns:pic="http://schemas.openxmlformats.org/drawingml/2006/picture">
                        <pic:nvPicPr>
                          <pic:cNvPr id="315" name="图片_65_SpCnt_8"/>
                          <pic:cNvPicPr/>
                        </pic:nvPicPr>
                        <pic:blipFill>
                          <a:blip r:embed="rId34"/>
                          <a:stretch>
                            <a:fillRect/>
                          </a:stretch>
                        </pic:blipFill>
                        <pic:spPr>
                          <a:xfrm>
                            <a:off x="0" y="0"/>
                            <a:ext cx="7747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189865"/>
                  <wp:effectExtent l="0" t="0" r="0" b="0"/>
                  <wp:wrapNone/>
                  <wp:docPr id="320" name="Picture_7519_SpCnt_7"/>
                  <wp:cNvGraphicFramePr/>
                  <a:graphic xmlns:a="http://schemas.openxmlformats.org/drawingml/2006/main">
                    <a:graphicData uri="http://schemas.openxmlformats.org/drawingml/2006/picture">
                      <pic:pic xmlns:pic="http://schemas.openxmlformats.org/drawingml/2006/picture">
                        <pic:nvPicPr>
                          <pic:cNvPr id="320" name="Picture_7519_SpCnt_7"/>
                          <pic:cNvPicPr/>
                        </pic:nvPicPr>
                        <pic:blipFill>
                          <a:blip r:embed="rId15"/>
                          <a:stretch>
                            <a:fillRect/>
                          </a:stretch>
                        </pic:blipFill>
                        <pic:spPr>
                          <a:xfrm>
                            <a:off x="0" y="0"/>
                            <a:ext cx="468630"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0375"/>
                  <wp:effectExtent l="0" t="0" r="0" b="0"/>
                  <wp:wrapNone/>
                  <wp:docPr id="321" name="图片_63_SpCnt_4"/>
                  <wp:cNvGraphicFramePr/>
                  <a:graphic xmlns:a="http://schemas.openxmlformats.org/drawingml/2006/main">
                    <a:graphicData uri="http://schemas.openxmlformats.org/drawingml/2006/picture">
                      <pic:pic xmlns:pic="http://schemas.openxmlformats.org/drawingml/2006/picture">
                        <pic:nvPicPr>
                          <pic:cNvPr id="321" name="图片_63_SpCnt_4"/>
                          <pic:cNvPicPr/>
                        </pic:nvPicPr>
                        <pic:blipFill>
                          <a:blip r:embed="rId41"/>
                          <a:stretch>
                            <a:fillRect/>
                          </a:stretch>
                        </pic:blipFill>
                        <pic:spPr>
                          <a:xfrm>
                            <a:off x="0" y="0"/>
                            <a:ext cx="27305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7305"/>
                  <wp:effectExtent l="0" t="0" r="0" b="0"/>
                  <wp:wrapNone/>
                  <wp:docPr id="330" name="Picture_593_SpCnt_6"/>
                  <wp:cNvGraphicFramePr/>
                  <a:graphic xmlns:a="http://schemas.openxmlformats.org/drawingml/2006/main">
                    <a:graphicData uri="http://schemas.openxmlformats.org/drawingml/2006/picture">
                      <pic:pic xmlns:pic="http://schemas.openxmlformats.org/drawingml/2006/picture">
                        <pic:nvPicPr>
                          <pic:cNvPr id="330" name="Picture_593_SpCnt_6"/>
                          <pic:cNvPicPr/>
                        </pic:nvPicPr>
                        <pic:blipFill>
                          <a:blip r:embed="rId15"/>
                          <a:stretch>
                            <a:fillRect/>
                          </a:stretch>
                        </pic:blipFill>
                        <pic:spPr>
                          <a:xfrm>
                            <a:off x="0" y="0"/>
                            <a:ext cx="190500" cy="27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27305"/>
                  <wp:effectExtent l="0" t="0" r="0" b="0"/>
                  <wp:wrapNone/>
                  <wp:docPr id="322" name="Picture_594_SpCnt_5"/>
                  <wp:cNvGraphicFramePr/>
                  <a:graphic xmlns:a="http://schemas.openxmlformats.org/drawingml/2006/main">
                    <a:graphicData uri="http://schemas.openxmlformats.org/drawingml/2006/picture">
                      <pic:pic xmlns:pic="http://schemas.openxmlformats.org/drawingml/2006/picture">
                        <pic:nvPicPr>
                          <pic:cNvPr id="322" name="Picture_594_SpCnt_5"/>
                          <pic:cNvPicPr/>
                        </pic:nvPicPr>
                        <pic:blipFill>
                          <a:blip r:embed="rId15"/>
                          <a:stretch>
                            <a:fillRect/>
                          </a:stretch>
                        </pic:blipFill>
                        <pic:spPr>
                          <a:xfrm>
                            <a:off x="0" y="0"/>
                            <a:ext cx="292100" cy="27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89865"/>
                  <wp:effectExtent l="0" t="0" r="0" b="0"/>
                  <wp:wrapNone/>
                  <wp:docPr id="311" name="Picture_7518_SpCnt_6"/>
                  <wp:cNvGraphicFramePr/>
                  <a:graphic xmlns:a="http://schemas.openxmlformats.org/drawingml/2006/main">
                    <a:graphicData uri="http://schemas.openxmlformats.org/drawingml/2006/picture">
                      <pic:pic xmlns:pic="http://schemas.openxmlformats.org/drawingml/2006/picture">
                        <pic:nvPicPr>
                          <pic:cNvPr id="311" name="Picture_7518_SpCnt_6"/>
                          <pic:cNvPicPr/>
                        </pic:nvPicPr>
                        <pic:blipFill>
                          <a:blip r:embed="rId15"/>
                          <a:stretch>
                            <a:fillRect/>
                          </a:stretch>
                        </pic:blipFill>
                        <pic:spPr>
                          <a:xfrm>
                            <a:off x="0" y="0"/>
                            <a:ext cx="370840"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89865"/>
                  <wp:effectExtent l="0" t="0" r="0" b="0"/>
                  <wp:wrapNone/>
                  <wp:docPr id="331" name="Picture_7517_SpCnt_6"/>
                  <wp:cNvGraphicFramePr/>
                  <a:graphic xmlns:a="http://schemas.openxmlformats.org/drawingml/2006/main">
                    <a:graphicData uri="http://schemas.openxmlformats.org/drawingml/2006/picture">
                      <pic:pic xmlns:pic="http://schemas.openxmlformats.org/drawingml/2006/picture">
                        <pic:nvPicPr>
                          <pic:cNvPr id="331" name="Picture_7517_SpCnt_6"/>
                          <pic:cNvPicPr/>
                        </pic:nvPicPr>
                        <pic:blipFill>
                          <a:blip r:embed="rId15"/>
                          <a:stretch>
                            <a:fillRect/>
                          </a:stretch>
                        </pic:blipFill>
                        <pic:spPr>
                          <a:xfrm>
                            <a:off x="0" y="0"/>
                            <a:ext cx="27622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3560" cy="10160"/>
                  <wp:effectExtent l="0" t="0" r="0" b="0"/>
                  <wp:wrapNone/>
                  <wp:docPr id="303" name="Picture_597_SpCnt_8"/>
                  <wp:cNvGraphicFramePr/>
                  <a:graphic xmlns:a="http://schemas.openxmlformats.org/drawingml/2006/main">
                    <a:graphicData uri="http://schemas.openxmlformats.org/drawingml/2006/picture">
                      <pic:pic xmlns:pic="http://schemas.openxmlformats.org/drawingml/2006/picture">
                        <pic:nvPicPr>
                          <pic:cNvPr id="303" name="Picture_597_SpCnt_8"/>
                          <pic:cNvPicPr/>
                        </pic:nvPicPr>
                        <pic:blipFill>
                          <a:blip r:embed="rId15"/>
                          <a:stretch>
                            <a:fillRect/>
                          </a:stretch>
                        </pic:blipFill>
                        <pic:spPr>
                          <a:xfrm>
                            <a:off x="0" y="0"/>
                            <a:ext cx="54356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89865"/>
                  <wp:effectExtent l="0" t="0" r="0" b="0"/>
                  <wp:wrapNone/>
                  <wp:docPr id="309" name="Picture_7516_SpCnt_7"/>
                  <wp:cNvGraphicFramePr/>
                  <a:graphic xmlns:a="http://schemas.openxmlformats.org/drawingml/2006/main">
                    <a:graphicData uri="http://schemas.openxmlformats.org/drawingml/2006/picture">
                      <pic:pic xmlns:pic="http://schemas.openxmlformats.org/drawingml/2006/picture">
                        <pic:nvPicPr>
                          <pic:cNvPr id="309" name="Picture_7516_SpCnt_7"/>
                          <pic:cNvPicPr/>
                        </pic:nvPicPr>
                        <pic:blipFill>
                          <a:blip r:embed="rId15"/>
                          <a:stretch>
                            <a:fillRect/>
                          </a:stretch>
                        </pic:blipFill>
                        <pic:spPr>
                          <a:xfrm>
                            <a:off x="0" y="0"/>
                            <a:ext cx="17970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73075"/>
                  <wp:effectExtent l="0" t="0" r="0" b="0"/>
                  <wp:wrapNone/>
                  <wp:docPr id="326" name="图片_65_SpCnt_9"/>
                  <wp:cNvGraphicFramePr/>
                  <a:graphic xmlns:a="http://schemas.openxmlformats.org/drawingml/2006/main">
                    <a:graphicData uri="http://schemas.openxmlformats.org/drawingml/2006/picture">
                      <pic:pic xmlns:pic="http://schemas.openxmlformats.org/drawingml/2006/picture">
                        <pic:nvPicPr>
                          <pic:cNvPr id="326" name="图片_65_SpCnt_9"/>
                          <pic:cNvPicPr/>
                        </pic:nvPicPr>
                        <pic:blipFill>
                          <a:blip r:embed="rId57"/>
                          <a:stretch>
                            <a:fillRect/>
                          </a:stretch>
                        </pic:blipFill>
                        <pic:spPr>
                          <a:xfrm>
                            <a:off x="0" y="0"/>
                            <a:ext cx="83185" cy="4730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79400"/>
                  <wp:effectExtent l="0" t="0" r="0" b="0"/>
                  <wp:wrapNone/>
                  <wp:docPr id="328" name="Picture_7_SpCnt_10"/>
                  <wp:cNvGraphicFramePr/>
                  <a:graphic xmlns:a="http://schemas.openxmlformats.org/drawingml/2006/main">
                    <a:graphicData uri="http://schemas.openxmlformats.org/drawingml/2006/picture">
                      <pic:pic xmlns:pic="http://schemas.openxmlformats.org/drawingml/2006/picture">
                        <pic:nvPicPr>
                          <pic:cNvPr id="328" name="Picture_7_SpCnt_10"/>
                          <pic:cNvPicPr/>
                        </pic:nvPicPr>
                        <pic:blipFill>
                          <a:blip r:embed="rId15"/>
                          <a:stretch>
                            <a:fillRect/>
                          </a:stretch>
                        </pic:blipFill>
                        <pic:spPr>
                          <a:xfrm>
                            <a:off x="0" y="0"/>
                            <a:ext cx="514350" cy="2794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6735" cy="279400"/>
                  <wp:effectExtent l="0" t="0" r="0" b="0"/>
                  <wp:wrapNone/>
                  <wp:docPr id="307" name="Picture_8_SpCnt_9"/>
                  <wp:cNvGraphicFramePr/>
                  <a:graphic xmlns:a="http://schemas.openxmlformats.org/drawingml/2006/main">
                    <a:graphicData uri="http://schemas.openxmlformats.org/drawingml/2006/picture">
                      <pic:pic xmlns:pic="http://schemas.openxmlformats.org/drawingml/2006/picture">
                        <pic:nvPicPr>
                          <pic:cNvPr id="307" name="Picture_8_SpCnt_9"/>
                          <pic:cNvPicPr/>
                        </pic:nvPicPr>
                        <pic:blipFill>
                          <a:blip r:embed="rId15"/>
                          <a:stretch>
                            <a:fillRect/>
                          </a:stretch>
                        </pic:blipFill>
                        <pic:spPr>
                          <a:xfrm>
                            <a:off x="0" y="0"/>
                            <a:ext cx="546735" cy="2794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10160"/>
                  <wp:effectExtent l="0" t="0" r="0" b="0"/>
                  <wp:wrapNone/>
                  <wp:docPr id="312" name="Picture_596_SpCnt_7"/>
                  <wp:cNvGraphicFramePr/>
                  <a:graphic xmlns:a="http://schemas.openxmlformats.org/drawingml/2006/main">
                    <a:graphicData uri="http://schemas.openxmlformats.org/drawingml/2006/picture">
                      <pic:pic xmlns:pic="http://schemas.openxmlformats.org/drawingml/2006/picture">
                        <pic:nvPicPr>
                          <pic:cNvPr id="312" name="Picture_596_SpCnt_7"/>
                          <pic:cNvPicPr/>
                        </pic:nvPicPr>
                        <pic:blipFill>
                          <a:blip r:embed="rId15"/>
                          <a:stretch>
                            <a:fillRect/>
                          </a:stretch>
                        </pic:blipFill>
                        <pic:spPr>
                          <a:xfrm>
                            <a:off x="0" y="0"/>
                            <a:ext cx="46863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0870" cy="271145"/>
                  <wp:effectExtent l="0" t="0" r="0" b="0"/>
                  <wp:wrapNone/>
                  <wp:docPr id="324" name="Picture_7_SpCnt_11"/>
                  <wp:cNvGraphicFramePr/>
                  <a:graphic xmlns:a="http://schemas.openxmlformats.org/drawingml/2006/main">
                    <a:graphicData uri="http://schemas.openxmlformats.org/drawingml/2006/picture">
                      <pic:pic xmlns:pic="http://schemas.openxmlformats.org/drawingml/2006/picture">
                        <pic:nvPicPr>
                          <pic:cNvPr id="324" name="Picture_7_SpCnt_11"/>
                          <pic:cNvPicPr/>
                        </pic:nvPicPr>
                        <pic:blipFill>
                          <a:blip r:embed="rId15"/>
                          <a:stretch>
                            <a:fillRect/>
                          </a:stretch>
                        </pic:blipFill>
                        <pic:spPr>
                          <a:xfrm>
                            <a:off x="0" y="0"/>
                            <a:ext cx="61087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8630" cy="318770"/>
                  <wp:effectExtent l="0" t="0" r="0" b="0"/>
                  <wp:wrapNone/>
                  <wp:docPr id="313" name="Picture_5_SpCnt_3"/>
                  <wp:cNvGraphicFramePr/>
                  <a:graphic xmlns:a="http://schemas.openxmlformats.org/drawingml/2006/main">
                    <a:graphicData uri="http://schemas.openxmlformats.org/drawingml/2006/picture">
                      <pic:pic xmlns:pic="http://schemas.openxmlformats.org/drawingml/2006/picture">
                        <pic:nvPicPr>
                          <pic:cNvPr id="313" name="Picture_5_SpCnt_3"/>
                          <pic:cNvPicPr/>
                        </pic:nvPicPr>
                        <pic:blipFill>
                          <a:blip r:embed="rId15"/>
                          <a:stretch>
                            <a:fillRect/>
                          </a:stretch>
                        </pic:blipFill>
                        <pic:spPr>
                          <a:xfrm>
                            <a:off x="0" y="0"/>
                            <a:ext cx="46863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3560" cy="318770"/>
                  <wp:effectExtent l="0" t="0" r="0" b="0"/>
                  <wp:wrapNone/>
                  <wp:docPr id="317" name="Picture_6_SpCnt_3"/>
                  <wp:cNvGraphicFramePr/>
                  <a:graphic xmlns:a="http://schemas.openxmlformats.org/drawingml/2006/main">
                    <a:graphicData uri="http://schemas.openxmlformats.org/drawingml/2006/picture">
                      <pic:pic xmlns:pic="http://schemas.openxmlformats.org/drawingml/2006/picture">
                        <pic:nvPicPr>
                          <pic:cNvPr id="317" name="Picture_6_SpCnt_3"/>
                          <pic:cNvPicPr/>
                        </pic:nvPicPr>
                        <pic:blipFill>
                          <a:blip r:embed="rId15"/>
                          <a:stretch>
                            <a:fillRect/>
                          </a:stretch>
                        </pic:blipFill>
                        <pic:spPr>
                          <a:xfrm>
                            <a:off x="0" y="0"/>
                            <a:ext cx="54356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4025"/>
                  <wp:effectExtent l="0" t="0" r="0" b="0"/>
                  <wp:wrapNone/>
                  <wp:docPr id="304" name="图片_63_SpCnt_5"/>
                  <wp:cNvGraphicFramePr/>
                  <a:graphic xmlns:a="http://schemas.openxmlformats.org/drawingml/2006/main">
                    <a:graphicData uri="http://schemas.openxmlformats.org/drawingml/2006/picture">
                      <pic:pic xmlns:pic="http://schemas.openxmlformats.org/drawingml/2006/picture">
                        <pic:nvPicPr>
                          <pic:cNvPr id="304" name="图片_63_SpCnt_5"/>
                          <pic:cNvPicPr/>
                        </pic:nvPicPr>
                        <pic:blipFill>
                          <a:blip r:embed="rId58"/>
                          <a:stretch>
                            <a:fillRect/>
                          </a:stretch>
                        </pic:blipFill>
                        <pic:spPr>
                          <a:xfrm>
                            <a:off x="0" y="0"/>
                            <a:ext cx="290830"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4025"/>
                  <wp:effectExtent l="0" t="0" r="0" b="0"/>
                  <wp:wrapNone/>
                  <wp:docPr id="305" name="图片_63_SpCnt_6"/>
                  <wp:cNvGraphicFramePr/>
                  <a:graphic xmlns:a="http://schemas.openxmlformats.org/drawingml/2006/main">
                    <a:graphicData uri="http://schemas.openxmlformats.org/drawingml/2006/picture">
                      <pic:pic xmlns:pic="http://schemas.openxmlformats.org/drawingml/2006/picture">
                        <pic:nvPicPr>
                          <pic:cNvPr id="305" name="图片_63_SpCnt_6"/>
                          <pic:cNvPicPr/>
                        </pic:nvPicPr>
                        <pic:blipFill>
                          <a:blip r:embed="rId58"/>
                          <a:stretch>
                            <a:fillRect/>
                          </a:stretch>
                        </pic:blipFill>
                        <pic:spPr>
                          <a:xfrm>
                            <a:off x="0" y="0"/>
                            <a:ext cx="290830"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318770"/>
                  <wp:effectExtent l="0" t="0" r="0" b="0"/>
                  <wp:wrapNone/>
                  <wp:docPr id="314" name="Picture_4_SpCnt_5"/>
                  <wp:cNvGraphicFramePr/>
                  <a:graphic xmlns:a="http://schemas.openxmlformats.org/drawingml/2006/main">
                    <a:graphicData uri="http://schemas.openxmlformats.org/drawingml/2006/picture">
                      <pic:pic xmlns:pic="http://schemas.openxmlformats.org/drawingml/2006/picture">
                        <pic:nvPicPr>
                          <pic:cNvPr id="314" name="Picture_4_SpCnt_5"/>
                          <pic:cNvPicPr/>
                        </pic:nvPicPr>
                        <pic:blipFill>
                          <a:blip r:embed="rId15"/>
                          <a:stretch>
                            <a:fillRect/>
                          </a:stretch>
                        </pic:blipFill>
                        <pic:spPr>
                          <a:xfrm>
                            <a:off x="0" y="0"/>
                            <a:ext cx="37084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318770"/>
                  <wp:effectExtent l="0" t="0" r="0" b="0"/>
                  <wp:wrapNone/>
                  <wp:docPr id="318" name="Picture_3_SpCnt_3"/>
                  <wp:cNvGraphicFramePr/>
                  <a:graphic xmlns:a="http://schemas.openxmlformats.org/drawingml/2006/main">
                    <a:graphicData uri="http://schemas.openxmlformats.org/drawingml/2006/picture">
                      <pic:pic xmlns:pic="http://schemas.openxmlformats.org/drawingml/2006/picture">
                        <pic:nvPicPr>
                          <pic:cNvPr id="318" name="Picture_3_SpCnt_3"/>
                          <pic:cNvPicPr/>
                        </pic:nvPicPr>
                        <pic:blipFill>
                          <a:blip r:embed="rId15"/>
                          <a:stretch>
                            <a:fillRect/>
                          </a:stretch>
                        </pic:blipFill>
                        <pic:spPr>
                          <a:xfrm>
                            <a:off x="0" y="0"/>
                            <a:ext cx="27622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2280"/>
                  <wp:effectExtent l="0" t="0" r="0" b="0"/>
                  <wp:wrapNone/>
                  <wp:docPr id="300" name="图片_65_SpCnt_10"/>
                  <wp:cNvGraphicFramePr/>
                  <a:graphic xmlns:a="http://schemas.openxmlformats.org/drawingml/2006/main">
                    <a:graphicData uri="http://schemas.openxmlformats.org/drawingml/2006/picture">
                      <pic:pic xmlns:pic="http://schemas.openxmlformats.org/drawingml/2006/picture">
                        <pic:nvPicPr>
                          <pic:cNvPr id="300" name="图片_65_SpCnt_10"/>
                          <pic:cNvPicPr/>
                        </pic:nvPicPr>
                        <pic:blipFill>
                          <a:blip r:embed="rId34"/>
                          <a:stretch>
                            <a:fillRect/>
                          </a:stretch>
                        </pic:blipFill>
                        <pic:spPr>
                          <a:xfrm>
                            <a:off x="0" y="0"/>
                            <a:ext cx="77470"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318770"/>
                  <wp:effectExtent l="0" t="0" r="0" b="0"/>
                  <wp:wrapNone/>
                  <wp:docPr id="301" name="Picture_2_SpCnt_5"/>
                  <wp:cNvGraphicFramePr/>
                  <a:graphic xmlns:a="http://schemas.openxmlformats.org/drawingml/2006/main">
                    <a:graphicData uri="http://schemas.openxmlformats.org/drawingml/2006/picture">
                      <pic:pic xmlns:pic="http://schemas.openxmlformats.org/drawingml/2006/picture">
                        <pic:nvPicPr>
                          <pic:cNvPr id="301" name="Picture_2_SpCnt_5"/>
                          <pic:cNvPicPr/>
                        </pic:nvPicPr>
                        <pic:blipFill>
                          <a:blip r:embed="rId15"/>
                          <a:stretch>
                            <a:fillRect/>
                          </a:stretch>
                        </pic:blipFill>
                        <pic:spPr>
                          <a:xfrm>
                            <a:off x="0" y="0"/>
                            <a:ext cx="17970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320675"/>
                  <wp:effectExtent l="0" t="0" r="0" b="0"/>
                  <wp:wrapNone/>
                  <wp:docPr id="308" name="Picture_5_SpCnt_4"/>
                  <wp:cNvGraphicFramePr/>
                  <a:graphic xmlns:a="http://schemas.openxmlformats.org/drawingml/2006/main">
                    <a:graphicData uri="http://schemas.openxmlformats.org/drawingml/2006/picture">
                      <pic:pic xmlns:pic="http://schemas.openxmlformats.org/drawingml/2006/picture">
                        <pic:nvPicPr>
                          <pic:cNvPr id="308" name="Picture_5_SpCnt_4"/>
                          <pic:cNvPicPr/>
                        </pic:nvPicPr>
                        <pic:blipFill>
                          <a:blip r:embed="rId15"/>
                          <a:stretch>
                            <a:fillRect/>
                          </a:stretch>
                        </pic:blipFill>
                        <pic:spPr>
                          <a:xfrm>
                            <a:off x="0" y="0"/>
                            <a:ext cx="497205"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0160"/>
                  <wp:effectExtent l="0" t="0" r="0" b="0"/>
                  <wp:wrapNone/>
                  <wp:docPr id="310" name="Picture_596_SpCnt_8"/>
                  <wp:cNvGraphicFramePr/>
                  <a:graphic xmlns:a="http://schemas.openxmlformats.org/drawingml/2006/main">
                    <a:graphicData uri="http://schemas.openxmlformats.org/drawingml/2006/picture">
                      <pic:pic xmlns:pic="http://schemas.openxmlformats.org/drawingml/2006/picture">
                        <pic:nvPicPr>
                          <pic:cNvPr id="310" name="Picture_596_SpCnt_8"/>
                          <pic:cNvPicPr/>
                        </pic:nvPicPr>
                        <pic:blipFill>
                          <a:blip r:embed="rId15"/>
                          <a:stretch>
                            <a:fillRect/>
                          </a:stretch>
                        </pic:blipFill>
                        <pic:spPr>
                          <a:xfrm>
                            <a:off x="0" y="0"/>
                            <a:ext cx="49720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0160"/>
                  <wp:effectExtent l="0" t="0" r="0" b="0"/>
                  <wp:wrapNone/>
                  <wp:docPr id="333" name="Picture_595_SpCnt_7"/>
                  <wp:cNvGraphicFramePr/>
                  <a:graphic xmlns:a="http://schemas.openxmlformats.org/drawingml/2006/main">
                    <a:graphicData uri="http://schemas.openxmlformats.org/drawingml/2006/picture">
                      <pic:pic xmlns:pic="http://schemas.openxmlformats.org/drawingml/2006/picture">
                        <pic:nvPicPr>
                          <pic:cNvPr id="333" name="Picture_595_SpCnt_7"/>
                          <pic:cNvPicPr/>
                        </pic:nvPicPr>
                        <pic:blipFill>
                          <a:blip r:embed="rId37"/>
                          <a:stretch>
                            <a:fillRect/>
                          </a:stretch>
                        </pic:blipFill>
                        <pic:spPr>
                          <a:xfrm>
                            <a:off x="0" y="0"/>
                            <a:ext cx="39243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005" cy="271145"/>
                  <wp:effectExtent l="0" t="0" r="0" b="0"/>
                  <wp:wrapNone/>
                  <wp:docPr id="334" name="Picture_8_SpCnt_10"/>
                  <wp:cNvGraphicFramePr/>
                  <a:graphic xmlns:a="http://schemas.openxmlformats.org/drawingml/2006/main">
                    <a:graphicData uri="http://schemas.openxmlformats.org/drawingml/2006/picture">
                      <pic:pic xmlns:pic="http://schemas.openxmlformats.org/drawingml/2006/picture">
                        <pic:nvPicPr>
                          <pic:cNvPr id="334" name="Picture_8_SpCnt_10"/>
                          <pic:cNvPicPr/>
                        </pic:nvPicPr>
                        <pic:blipFill>
                          <a:blip r:embed="rId59"/>
                          <a:stretch>
                            <a:fillRect/>
                          </a:stretch>
                        </pic:blipFill>
                        <pic:spPr>
                          <a:xfrm>
                            <a:off x="0" y="0"/>
                            <a:ext cx="54800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6735" cy="271145"/>
                  <wp:effectExtent l="0" t="0" r="0" b="0"/>
                  <wp:wrapNone/>
                  <wp:docPr id="332" name="Picture_8_SpCnt_11"/>
                  <wp:cNvGraphicFramePr/>
                  <a:graphic xmlns:a="http://schemas.openxmlformats.org/drawingml/2006/main">
                    <a:graphicData uri="http://schemas.openxmlformats.org/drawingml/2006/picture">
                      <pic:pic xmlns:pic="http://schemas.openxmlformats.org/drawingml/2006/picture">
                        <pic:nvPicPr>
                          <pic:cNvPr id="332" name="Picture_8_SpCnt_11"/>
                          <pic:cNvPicPr/>
                        </pic:nvPicPr>
                        <pic:blipFill>
                          <a:blip r:embed="rId59"/>
                          <a:stretch>
                            <a:fillRect/>
                          </a:stretch>
                        </pic:blipFill>
                        <pic:spPr>
                          <a:xfrm>
                            <a:off x="0" y="0"/>
                            <a:ext cx="54673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4025"/>
                  <wp:effectExtent l="0" t="0" r="0" b="0"/>
                  <wp:wrapNone/>
                  <wp:docPr id="379" name="图片_65_SpCnt_11"/>
                  <wp:cNvGraphicFramePr/>
                  <a:graphic xmlns:a="http://schemas.openxmlformats.org/drawingml/2006/main">
                    <a:graphicData uri="http://schemas.openxmlformats.org/drawingml/2006/picture">
                      <pic:pic xmlns:pic="http://schemas.openxmlformats.org/drawingml/2006/picture">
                        <pic:nvPicPr>
                          <pic:cNvPr id="379" name="图片_65_SpCnt_11"/>
                          <pic:cNvPicPr/>
                        </pic:nvPicPr>
                        <pic:blipFill>
                          <a:blip r:embed="rId14"/>
                          <a:stretch>
                            <a:fillRect/>
                          </a:stretch>
                        </pic:blipFill>
                        <pic:spPr>
                          <a:xfrm>
                            <a:off x="0" y="0"/>
                            <a:ext cx="83185"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0375"/>
                  <wp:effectExtent l="0" t="0" r="0" b="0"/>
                  <wp:wrapNone/>
                  <wp:docPr id="362" name="图片_65_SpCnt_12"/>
                  <wp:cNvGraphicFramePr/>
                  <a:graphic xmlns:a="http://schemas.openxmlformats.org/drawingml/2006/main">
                    <a:graphicData uri="http://schemas.openxmlformats.org/drawingml/2006/picture">
                      <pic:pic xmlns:pic="http://schemas.openxmlformats.org/drawingml/2006/picture">
                        <pic:nvPicPr>
                          <pic:cNvPr id="362" name="图片_65_SpCnt_12"/>
                          <pic:cNvPicPr/>
                        </pic:nvPicPr>
                        <pic:blipFill>
                          <a:blip r:embed="rId34"/>
                          <a:stretch>
                            <a:fillRect/>
                          </a:stretch>
                        </pic:blipFill>
                        <pic:spPr>
                          <a:xfrm>
                            <a:off x="0" y="0"/>
                            <a:ext cx="77470" cy="4603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89865"/>
                  <wp:effectExtent l="0" t="0" r="0" b="0"/>
                  <wp:wrapNone/>
                  <wp:docPr id="356" name="Picture_7518_SpCnt_7"/>
                  <wp:cNvGraphicFramePr/>
                  <a:graphic xmlns:a="http://schemas.openxmlformats.org/drawingml/2006/main">
                    <a:graphicData uri="http://schemas.openxmlformats.org/drawingml/2006/picture">
                      <pic:pic xmlns:pic="http://schemas.openxmlformats.org/drawingml/2006/picture">
                        <pic:nvPicPr>
                          <pic:cNvPr id="356" name="Picture_7518_SpCnt_7"/>
                          <pic:cNvPicPr/>
                        </pic:nvPicPr>
                        <pic:blipFill>
                          <a:blip r:embed="rId15"/>
                          <a:stretch>
                            <a:fillRect/>
                          </a:stretch>
                        </pic:blipFill>
                        <pic:spPr>
                          <a:xfrm>
                            <a:off x="0" y="0"/>
                            <a:ext cx="8699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189865"/>
                  <wp:effectExtent l="0" t="0" r="0" b="0"/>
                  <wp:wrapNone/>
                  <wp:docPr id="357" name="Picture_7516_SpCnt_8"/>
                  <wp:cNvGraphicFramePr/>
                  <a:graphic xmlns:a="http://schemas.openxmlformats.org/drawingml/2006/main">
                    <a:graphicData uri="http://schemas.openxmlformats.org/drawingml/2006/picture">
                      <pic:pic xmlns:pic="http://schemas.openxmlformats.org/drawingml/2006/picture">
                        <pic:nvPicPr>
                          <pic:cNvPr id="357" name="Picture_7516_SpCnt_8"/>
                          <pic:cNvPicPr/>
                        </pic:nvPicPr>
                        <pic:blipFill>
                          <a:blip r:embed="rId15"/>
                          <a:stretch>
                            <a:fillRect/>
                          </a:stretch>
                        </pic:blipFill>
                        <pic:spPr>
                          <a:xfrm>
                            <a:off x="0" y="0"/>
                            <a:ext cx="8445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89865"/>
                  <wp:effectExtent l="0" t="0" r="0" b="0"/>
                  <wp:wrapNone/>
                  <wp:docPr id="369" name="Picture_7517_SpCnt_7"/>
                  <wp:cNvGraphicFramePr/>
                  <a:graphic xmlns:a="http://schemas.openxmlformats.org/drawingml/2006/main">
                    <a:graphicData uri="http://schemas.openxmlformats.org/drawingml/2006/picture">
                      <pic:pic xmlns:pic="http://schemas.openxmlformats.org/drawingml/2006/picture">
                        <pic:nvPicPr>
                          <pic:cNvPr id="369" name="Picture_7517_SpCnt_7"/>
                          <pic:cNvPicPr/>
                        </pic:nvPicPr>
                        <pic:blipFill>
                          <a:blip r:embed="rId15"/>
                          <a:stretch>
                            <a:fillRect/>
                          </a:stretch>
                        </pic:blipFill>
                        <pic:spPr>
                          <a:xfrm>
                            <a:off x="0" y="0"/>
                            <a:ext cx="85725" cy="189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5260"/>
                  <wp:effectExtent l="0" t="0" r="0" b="0"/>
                  <wp:wrapNone/>
                  <wp:docPr id="371" name="Picture_7518_SpCnt_8"/>
                  <wp:cNvGraphicFramePr/>
                  <a:graphic xmlns:a="http://schemas.openxmlformats.org/drawingml/2006/main">
                    <a:graphicData uri="http://schemas.openxmlformats.org/drawingml/2006/picture">
                      <pic:pic xmlns:pic="http://schemas.openxmlformats.org/drawingml/2006/picture">
                        <pic:nvPicPr>
                          <pic:cNvPr id="371" name="Picture_7518_SpCnt_8"/>
                          <pic:cNvPicPr/>
                        </pic:nvPicPr>
                        <pic:blipFill>
                          <a:blip r:embed="rId56"/>
                          <a:stretch>
                            <a:fillRect/>
                          </a:stretch>
                        </pic:blipFill>
                        <pic:spPr>
                          <a:xfrm>
                            <a:off x="0" y="0"/>
                            <a:ext cx="39243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5260"/>
                  <wp:effectExtent l="0" t="0" r="0" b="0"/>
                  <wp:wrapNone/>
                  <wp:docPr id="348" name="Picture_7519_SpCnt_8"/>
                  <wp:cNvGraphicFramePr/>
                  <a:graphic xmlns:a="http://schemas.openxmlformats.org/drawingml/2006/main">
                    <a:graphicData uri="http://schemas.openxmlformats.org/drawingml/2006/picture">
                      <pic:pic xmlns:pic="http://schemas.openxmlformats.org/drawingml/2006/picture">
                        <pic:nvPicPr>
                          <pic:cNvPr id="348" name="Picture_7519_SpCnt_8"/>
                          <pic:cNvPicPr/>
                        </pic:nvPicPr>
                        <pic:blipFill>
                          <a:blip r:embed="rId16"/>
                          <a:stretch>
                            <a:fillRect/>
                          </a:stretch>
                        </pic:blipFill>
                        <pic:spPr>
                          <a:xfrm>
                            <a:off x="0" y="0"/>
                            <a:ext cx="497205"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76860"/>
                  <wp:effectExtent l="0" t="0" r="0" b="0"/>
                  <wp:wrapNone/>
                  <wp:docPr id="359" name="Picture_7_SpCnt_12"/>
                  <wp:cNvGraphicFramePr/>
                  <a:graphic xmlns:a="http://schemas.openxmlformats.org/drawingml/2006/main">
                    <a:graphicData uri="http://schemas.openxmlformats.org/drawingml/2006/picture">
                      <pic:pic xmlns:pic="http://schemas.openxmlformats.org/drawingml/2006/picture">
                        <pic:nvPicPr>
                          <pic:cNvPr id="359" name="Picture_7_SpCnt_12"/>
                          <pic:cNvPicPr/>
                        </pic:nvPicPr>
                        <pic:blipFill>
                          <a:blip r:embed="rId15"/>
                          <a:stretch>
                            <a:fillRect/>
                          </a:stretch>
                        </pic:blipFill>
                        <pic:spPr>
                          <a:xfrm>
                            <a:off x="0" y="0"/>
                            <a:ext cx="85725" cy="2768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323215"/>
                  <wp:effectExtent l="0" t="0" r="0" b="0"/>
                  <wp:wrapNone/>
                  <wp:docPr id="373" name="Picture_4_SpCnt_6"/>
                  <wp:cNvGraphicFramePr/>
                  <a:graphic xmlns:a="http://schemas.openxmlformats.org/drawingml/2006/main">
                    <a:graphicData uri="http://schemas.openxmlformats.org/drawingml/2006/picture">
                      <pic:pic xmlns:pic="http://schemas.openxmlformats.org/drawingml/2006/picture">
                        <pic:nvPicPr>
                          <pic:cNvPr id="373" name="Picture_4_SpCnt_6"/>
                          <pic:cNvPicPr/>
                        </pic:nvPicPr>
                        <pic:blipFill>
                          <a:blip r:embed="rId15"/>
                          <a:stretch>
                            <a:fillRect/>
                          </a:stretch>
                        </pic:blipFill>
                        <pic:spPr>
                          <a:xfrm>
                            <a:off x="0" y="0"/>
                            <a:ext cx="8699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23215"/>
                  <wp:effectExtent l="0" t="0" r="0" b="0"/>
                  <wp:wrapNone/>
                  <wp:docPr id="361" name="Picture_2_SpCnt_6"/>
                  <wp:cNvGraphicFramePr/>
                  <a:graphic xmlns:a="http://schemas.openxmlformats.org/drawingml/2006/main">
                    <a:graphicData uri="http://schemas.openxmlformats.org/drawingml/2006/picture">
                      <pic:pic xmlns:pic="http://schemas.openxmlformats.org/drawingml/2006/picture">
                        <pic:nvPicPr>
                          <pic:cNvPr id="361" name="Picture_2_SpCnt_6"/>
                          <pic:cNvPicPr/>
                        </pic:nvPicPr>
                        <pic:blipFill>
                          <a:blip r:embed="rId15"/>
                          <a:stretch>
                            <a:fillRect/>
                          </a:stretch>
                        </pic:blipFill>
                        <pic:spPr>
                          <a:xfrm>
                            <a:off x="0" y="0"/>
                            <a:ext cx="8445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323215"/>
                  <wp:effectExtent l="0" t="0" r="0" b="0"/>
                  <wp:wrapNone/>
                  <wp:docPr id="367" name="Picture_3_SpCnt_4"/>
                  <wp:cNvGraphicFramePr/>
                  <a:graphic xmlns:a="http://schemas.openxmlformats.org/drawingml/2006/main">
                    <a:graphicData uri="http://schemas.openxmlformats.org/drawingml/2006/picture">
                      <pic:pic xmlns:pic="http://schemas.openxmlformats.org/drawingml/2006/picture">
                        <pic:nvPicPr>
                          <pic:cNvPr id="367" name="Picture_3_SpCnt_4"/>
                          <pic:cNvPicPr/>
                        </pic:nvPicPr>
                        <pic:blipFill>
                          <a:blip r:embed="rId15"/>
                          <a:stretch>
                            <a:fillRect/>
                          </a:stretch>
                        </pic:blipFill>
                        <pic:spPr>
                          <a:xfrm>
                            <a:off x="0" y="0"/>
                            <a:ext cx="85725" cy="3232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005" cy="271145"/>
                  <wp:effectExtent l="0" t="0" r="0" b="0"/>
                  <wp:wrapNone/>
                  <wp:docPr id="370" name="Picture_8_SpCnt_12"/>
                  <wp:cNvGraphicFramePr/>
                  <a:graphic xmlns:a="http://schemas.openxmlformats.org/drawingml/2006/main">
                    <a:graphicData uri="http://schemas.openxmlformats.org/drawingml/2006/picture">
                      <pic:pic xmlns:pic="http://schemas.openxmlformats.org/drawingml/2006/picture">
                        <pic:nvPicPr>
                          <pic:cNvPr id="370" name="Picture_8_SpCnt_12"/>
                          <pic:cNvPicPr/>
                        </pic:nvPicPr>
                        <pic:blipFill>
                          <a:blip r:embed="rId15"/>
                          <a:stretch>
                            <a:fillRect/>
                          </a:stretch>
                        </pic:blipFill>
                        <pic:spPr>
                          <a:xfrm>
                            <a:off x="0" y="0"/>
                            <a:ext cx="54800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5260"/>
                  <wp:effectExtent l="0" t="0" r="0" b="0"/>
                  <wp:wrapNone/>
                  <wp:docPr id="358" name="Picture_7516_SpCnt_9"/>
                  <wp:cNvGraphicFramePr/>
                  <a:graphic xmlns:a="http://schemas.openxmlformats.org/drawingml/2006/main">
                    <a:graphicData uri="http://schemas.openxmlformats.org/drawingml/2006/picture">
                      <pic:pic xmlns:pic="http://schemas.openxmlformats.org/drawingml/2006/picture">
                        <pic:nvPicPr>
                          <pic:cNvPr id="358" name="Picture_7516_SpCnt_9"/>
                          <pic:cNvPicPr/>
                        </pic:nvPicPr>
                        <pic:blipFill>
                          <a:blip r:embed="rId60"/>
                          <a:stretch>
                            <a:fillRect/>
                          </a:stretch>
                        </pic:blipFill>
                        <pic:spPr>
                          <a:xfrm>
                            <a:off x="0" y="0"/>
                            <a:ext cx="19050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5260"/>
                  <wp:effectExtent l="0" t="0" r="0" b="0"/>
                  <wp:wrapNone/>
                  <wp:docPr id="354" name="Picture_7517_SpCnt_8"/>
                  <wp:cNvGraphicFramePr/>
                  <a:graphic xmlns:a="http://schemas.openxmlformats.org/drawingml/2006/main">
                    <a:graphicData uri="http://schemas.openxmlformats.org/drawingml/2006/picture">
                      <pic:pic xmlns:pic="http://schemas.openxmlformats.org/drawingml/2006/picture">
                        <pic:nvPicPr>
                          <pic:cNvPr id="354" name="Picture_7517_SpCnt_8"/>
                          <pic:cNvPicPr/>
                        </pic:nvPicPr>
                        <pic:blipFill>
                          <a:blip r:embed="rId61"/>
                          <a:stretch>
                            <a:fillRect/>
                          </a:stretch>
                        </pic:blipFill>
                        <pic:spPr>
                          <a:xfrm>
                            <a:off x="0" y="0"/>
                            <a:ext cx="29210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262255"/>
                  <wp:effectExtent l="0" t="0" r="0" b="0"/>
                  <wp:wrapNone/>
                  <wp:docPr id="363" name="Picture_8_SpCnt_13"/>
                  <wp:cNvGraphicFramePr/>
                  <a:graphic xmlns:a="http://schemas.openxmlformats.org/drawingml/2006/main">
                    <a:graphicData uri="http://schemas.openxmlformats.org/drawingml/2006/picture">
                      <pic:pic xmlns:pic="http://schemas.openxmlformats.org/drawingml/2006/picture">
                        <pic:nvPicPr>
                          <pic:cNvPr id="363" name="Picture_8_SpCnt_13"/>
                          <pic:cNvPicPr/>
                        </pic:nvPicPr>
                        <pic:blipFill>
                          <a:blip r:embed="rId62"/>
                          <a:stretch>
                            <a:fillRect/>
                          </a:stretch>
                        </pic:blipFill>
                        <pic:spPr>
                          <a:xfrm>
                            <a:off x="0" y="0"/>
                            <a:ext cx="9525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8115" cy="262255"/>
                  <wp:effectExtent l="0" t="0" r="0" b="0"/>
                  <wp:wrapNone/>
                  <wp:docPr id="377" name="Picture_8_SpCnt_14"/>
                  <wp:cNvGraphicFramePr/>
                  <a:graphic xmlns:a="http://schemas.openxmlformats.org/drawingml/2006/main">
                    <a:graphicData uri="http://schemas.openxmlformats.org/drawingml/2006/picture">
                      <pic:pic xmlns:pic="http://schemas.openxmlformats.org/drawingml/2006/picture">
                        <pic:nvPicPr>
                          <pic:cNvPr id="377" name="Picture_8_SpCnt_14"/>
                          <pic:cNvPicPr/>
                        </pic:nvPicPr>
                        <pic:blipFill>
                          <a:blip r:embed="rId63"/>
                          <a:stretch>
                            <a:fillRect/>
                          </a:stretch>
                        </pic:blipFill>
                        <pic:spPr>
                          <a:xfrm>
                            <a:off x="0" y="0"/>
                            <a:ext cx="15811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710" cy="262255"/>
                  <wp:effectExtent l="0" t="0" r="0" b="0"/>
                  <wp:wrapNone/>
                  <wp:docPr id="360" name="Picture_7_SpCnt_13"/>
                  <wp:cNvGraphicFramePr/>
                  <a:graphic xmlns:a="http://schemas.openxmlformats.org/drawingml/2006/main">
                    <a:graphicData uri="http://schemas.openxmlformats.org/drawingml/2006/picture">
                      <pic:pic xmlns:pic="http://schemas.openxmlformats.org/drawingml/2006/picture">
                        <pic:nvPicPr>
                          <pic:cNvPr id="360" name="Picture_7_SpCnt_13"/>
                          <pic:cNvPicPr/>
                        </pic:nvPicPr>
                        <pic:blipFill>
                          <a:blip r:embed="rId62"/>
                          <a:stretch>
                            <a:fillRect/>
                          </a:stretch>
                        </pic:blipFill>
                        <pic:spPr>
                          <a:xfrm>
                            <a:off x="0" y="0"/>
                            <a:ext cx="9271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262255"/>
                  <wp:effectExtent l="0" t="0" r="0" b="0"/>
                  <wp:wrapNone/>
                  <wp:docPr id="355" name="Picture_7_SpCnt_14"/>
                  <wp:cNvGraphicFramePr/>
                  <a:graphic xmlns:a="http://schemas.openxmlformats.org/drawingml/2006/main">
                    <a:graphicData uri="http://schemas.openxmlformats.org/drawingml/2006/picture">
                      <pic:pic xmlns:pic="http://schemas.openxmlformats.org/drawingml/2006/picture">
                        <pic:nvPicPr>
                          <pic:cNvPr id="355" name="Picture_7_SpCnt_14"/>
                          <pic:cNvPicPr/>
                        </pic:nvPicPr>
                        <pic:blipFill>
                          <a:blip r:embed="rId63"/>
                          <a:stretch>
                            <a:fillRect/>
                          </a:stretch>
                        </pic:blipFill>
                        <pic:spPr>
                          <a:xfrm>
                            <a:off x="0" y="0"/>
                            <a:ext cx="15240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4025"/>
                  <wp:effectExtent l="0" t="0" r="0" b="0"/>
                  <wp:wrapNone/>
                  <wp:docPr id="368" name="图片_63_SpCnt_7"/>
                  <wp:cNvGraphicFramePr/>
                  <a:graphic xmlns:a="http://schemas.openxmlformats.org/drawingml/2006/main">
                    <a:graphicData uri="http://schemas.openxmlformats.org/drawingml/2006/picture">
                      <pic:pic xmlns:pic="http://schemas.openxmlformats.org/drawingml/2006/picture">
                        <pic:nvPicPr>
                          <pic:cNvPr id="368" name="图片_63_SpCnt_7"/>
                          <pic:cNvPicPr/>
                        </pic:nvPicPr>
                        <pic:blipFill>
                          <a:blip r:embed="rId58"/>
                          <a:stretch>
                            <a:fillRect/>
                          </a:stretch>
                        </pic:blipFill>
                        <pic:spPr>
                          <a:xfrm>
                            <a:off x="0" y="0"/>
                            <a:ext cx="290830"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4025"/>
                  <wp:effectExtent l="0" t="0" r="0" b="0"/>
                  <wp:wrapNone/>
                  <wp:docPr id="350" name="图片_65_SpCnt_13"/>
                  <wp:cNvGraphicFramePr/>
                  <a:graphic xmlns:a="http://schemas.openxmlformats.org/drawingml/2006/main">
                    <a:graphicData uri="http://schemas.openxmlformats.org/drawingml/2006/picture">
                      <pic:pic xmlns:pic="http://schemas.openxmlformats.org/drawingml/2006/picture">
                        <pic:nvPicPr>
                          <pic:cNvPr id="350" name="图片_65_SpCnt_13"/>
                          <pic:cNvPicPr/>
                        </pic:nvPicPr>
                        <pic:blipFill>
                          <a:blip r:embed="rId14"/>
                          <a:stretch>
                            <a:fillRect/>
                          </a:stretch>
                        </pic:blipFill>
                        <pic:spPr>
                          <a:xfrm>
                            <a:off x="0" y="0"/>
                            <a:ext cx="83185"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281305"/>
                  <wp:effectExtent l="0" t="0" r="0" b="0"/>
                  <wp:wrapNone/>
                  <wp:docPr id="364" name="Picture_8_SpCnt_15"/>
                  <wp:cNvGraphicFramePr/>
                  <a:graphic xmlns:a="http://schemas.openxmlformats.org/drawingml/2006/main">
                    <a:graphicData uri="http://schemas.openxmlformats.org/drawingml/2006/picture">
                      <pic:pic xmlns:pic="http://schemas.openxmlformats.org/drawingml/2006/picture">
                        <pic:nvPicPr>
                          <pic:cNvPr id="364" name="Picture_8_SpCnt_15"/>
                          <pic:cNvPicPr/>
                        </pic:nvPicPr>
                        <pic:blipFill>
                          <a:blip r:embed="rId64"/>
                          <a:stretch>
                            <a:fillRect/>
                          </a:stretch>
                        </pic:blipFill>
                        <pic:spPr>
                          <a:xfrm>
                            <a:off x="0" y="0"/>
                            <a:ext cx="9525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710" cy="281305"/>
                  <wp:effectExtent l="0" t="0" r="0" b="0"/>
                  <wp:wrapNone/>
                  <wp:docPr id="365" name="Picture_7_SpCnt_15"/>
                  <wp:cNvGraphicFramePr/>
                  <a:graphic xmlns:a="http://schemas.openxmlformats.org/drawingml/2006/main">
                    <a:graphicData uri="http://schemas.openxmlformats.org/drawingml/2006/picture">
                      <pic:pic xmlns:pic="http://schemas.openxmlformats.org/drawingml/2006/picture">
                        <pic:nvPicPr>
                          <pic:cNvPr id="365" name="Picture_7_SpCnt_15"/>
                          <pic:cNvPicPr/>
                        </pic:nvPicPr>
                        <pic:blipFill>
                          <a:blip r:embed="rId64"/>
                          <a:stretch>
                            <a:fillRect/>
                          </a:stretch>
                        </pic:blipFill>
                        <pic:spPr>
                          <a:xfrm>
                            <a:off x="0" y="0"/>
                            <a:ext cx="9271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80975"/>
                  <wp:effectExtent l="0" t="0" r="0" b="0"/>
                  <wp:wrapNone/>
                  <wp:docPr id="372" name="Picture_7519_SpCnt_9"/>
                  <wp:cNvGraphicFramePr/>
                  <a:graphic xmlns:a="http://schemas.openxmlformats.org/drawingml/2006/main">
                    <a:graphicData uri="http://schemas.openxmlformats.org/drawingml/2006/picture">
                      <pic:pic xmlns:pic="http://schemas.openxmlformats.org/drawingml/2006/picture">
                        <pic:nvPicPr>
                          <pic:cNvPr id="372" name="Picture_7519_SpCnt_9"/>
                          <pic:cNvPicPr/>
                        </pic:nvPicPr>
                        <pic:blipFill>
                          <a:blip r:embed="rId65"/>
                          <a:stretch>
                            <a:fillRect/>
                          </a:stretch>
                        </pic:blipFill>
                        <pic:spPr>
                          <a:xfrm>
                            <a:off x="0" y="0"/>
                            <a:ext cx="9779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314325"/>
                  <wp:effectExtent l="0" t="0" r="0" b="0"/>
                  <wp:wrapNone/>
                  <wp:docPr id="374" name="Picture_5_SpCnt_5"/>
                  <wp:cNvGraphicFramePr/>
                  <a:graphic xmlns:a="http://schemas.openxmlformats.org/drawingml/2006/main">
                    <a:graphicData uri="http://schemas.openxmlformats.org/drawingml/2006/picture">
                      <pic:pic xmlns:pic="http://schemas.openxmlformats.org/drawingml/2006/picture">
                        <pic:nvPicPr>
                          <pic:cNvPr id="374" name="Picture_5_SpCnt_5"/>
                          <pic:cNvPicPr/>
                        </pic:nvPicPr>
                        <pic:blipFill>
                          <a:blip r:embed="rId66"/>
                          <a:stretch>
                            <a:fillRect/>
                          </a:stretch>
                        </pic:blipFill>
                        <pic:spPr>
                          <a:xfrm>
                            <a:off x="0" y="0"/>
                            <a:ext cx="9779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320675"/>
                  <wp:effectExtent l="0" t="0" r="0" b="0"/>
                  <wp:wrapNone/>
                  <wp:docPr id="375" name="Picture_3_SpCnt_5"/>
                  <wp:cNvGraphicFramePr/>
                  <a:graphic xmlns:a="http://schemas.openxmlformats.org/drawingml/2006/main">
                    <a:graphicData uri="http://schemas.openxmlformats.org/drawingml/2006/picture">
                      <pic:pic xmlns:pic="http://schemas.openxmlformats.org/drawingml/2006/picture">
                        <pic:nvPicPr>
                          <pic:cNvPr id="375" name="Picture_3_SpCnt_5"/>
                          <pic:cNvPicPr/>
                        </pic:nvPicPr>
                        <pic:blipFill>
                          <a:blip r:embed="rId67"/>
                          <a:stretch>
                            <a:fillRect/>
                          </a:stretch>
                        </pic:blipFill>
                        <pic:spPr>
                          <a:xfrm>
                            <a:off x="0" y="0"/>
                            <a:ext cx="29210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2940" cy="271145"/>
                  <wp:effectExtent l="0" t="0" r="0" b="0"/>
                  <wp:wrapNone/>
                  <wp:docPr id="376" name="Picture_8_SpCnt_16"/>
                  <wp:cNvGraphicFramePr/>
                  <a:graphic xmlns:a="http://schemas.openxmlformats.org/drawingml/2006/main">
                    <a:graphicData uri="http://schemas.openxmlformats.org/drawingml/2006/picture">
                      <pic:pic xmlns:pic="http://schemas.openxmlformats.org/drawingml/2006/picture">
                        <pic:nvPicPr>
                          <pic:cNvPr id="376" name="Picture_8_SpCnt_16"/>
                          <pic:cNvPicPr/>
                        </pic:nvPicPr>
                        <pic:blipFill>
                          <a:blip r:embed="rId15"/>
                          <a:stretch>
                            <a:fillRect/>
                          </a:stretch>
                        </pic:blipFill>
                        <pic:spPr>
                          <a:xfrm>
                            <a:off x="0" y="0"/>
                            <a:ext cx="66294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5260"/>
                  <wp:effectExtent l="0" t="0" r="0" b="0"/>
                  <wp:wrapNone/>
                  <wp:docPr id="366" name="Picture_7518_SpCnt_9"/>
                  <wp:cNvGraphicFramePr/>
                  <a:graphic xmlns:a="http://schemas.openxmlformats.org/drawingml/2006/main">
                    <a:graphicData uri="http://schemas.openxmlformats.org/drawingml/2006/picture">
                      <pic:pic xmlns:pic="http://schemas.openxmlformats.org/drawingml/2006/picture">
                        <pic:nvPicPr>
                          <pic:cNvPr id="366" name="Picture_7518_SpCnt_9"/>
                          <pic:cNvPicPr/>
                        </pic:nvPicPr>
                        <pic:blipFill>
                          <a:blip r:embed="rId15"/>
                          <a:stretch>
                            <a:fillRect/>
                          </a:stretch>
                        </pic:blipFill>
                        <pic:spPr>
                          <a:xfrm>
                            <a:off x="0" y="0"/>
                            <a:ext cx="39243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5260"/>
                  <wp:effectExtent l="0" t="0" r="0" b="0"/>
                  <wp:wrapNone/>
                  <wp:docPr id="378" name="Picture_7519_SpCnt_10"/>
                  <wp:cNvGraphicFramePr/>
                  <a:graphic xmlns:a="http://schemas.openxmlformats.org/drawingml/2006/main">
                    <a:graphicData uri="http://schemas.openxmlformats.org/drawingml/2006/picture">
                      <pic:pic xmlns:pic="http://schemas.openxmlformats.org/drawingml/2006/picture">
                        <pic:nvPicPr>
                          <pic:cNvPr id="378" name="Picture_7519_SpCnt_10"/>
                          <pic:cNvPicPr/>
                        </pic:nvPicPr>
                        <pic:blipFill>
                          <a:blip r:embed="rId15"/>
                          <a:stretch>
                            <a:fillRect/>
                          </a:stretch>
                        </pic:blipFill>
                        <pic:spPr>
                          <a:xfrm>
                            <a:off x="0" y="0"/>
                            <a:ext cx="497205"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4605"/>
                  <wp:effectExtent l="0" t="0" r="0" b="0"/>
                  <wp:wrapNone/>
                  <wp:docPr id="349" name="Picture_596_SpCnt_9"/>
                  <wp:cNvGraphicFramePr/>
                  <a:graphic xmlns:a="http://schemas.openxmlformats.org/drawingml/2006/main">
                    <a:graphicData uri="http://schemas.openxmlformats.org/drawingml/2006/picture">
                      <pic:pic xmlns:pic="http://schemas.openxmlformats.org/drawingml/2006/picture">
                        <pic:nvPicPr>
                          <pic:cNvPr id="349" name="Picture_596_SpCnt_9"/>
                          <pic:cNvPicPr/>
                        </pic:nvPicPr>
                        <pic:blipFill>
                          <a:blip r:embed="rId68"/>
                          <a:stretch>
                            <a:fillRect/>
                          </a:stretch>
                        </pic:blipFill>
                        <pic:spPr>
                          <a:xfrm>
                            <a:off x="0" y="0"/>
                            <a:ext cx="9779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80975"/>
                  <wp:effectExtent l="0" t="0" r="0" b="0"/>
                  <wp:wrapNone/>
                  <wp:docPr id="351" name="Picture_7518_SpCnt_10"/>
                  <wp:cNvGraphicFramePr/>
                  <a:graphic xmlns:a="http://schemas.openxmlformats.org/drawingml/2006/main">
                    <a:graphicData uri="http://schemas.openxmlformats.org/drawingml/2006/picture">
                      <pic:pic xmlns:pic="http://schemas.openxmlformats.org/drawingml/2006/picture">
                        <pic:nvPicPr>
                          <pic:cNvPr id="351" name="Picture_7518_SpCnt_10"/>
                          <pic:cNvPicPr/>
                        </pic:nvPicPr>
                        <pic:blipFill>
                          <a:blip r:embed="rId65"/>
                          <a:stretch>
                            <a:fillRect/>
                          </a:stretch>
                        </pic:blipFill>
                        <pic:spPr>
                          <a:xfrm>
                            <a:off x="0" y="0"/>
                            <a:ext cx="9652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314325"/>
                  <wp:effectExtent l="0" t="0" r="0" b="0"/>
                  <wp:wrapNone/>
                  <wp:docPr id="352" name="Picture_4_SpCnt_7"/>
                  <wp:cNvGraphicFramePr/>
                  <a:graphic xmlns:a="http://schemas.openxmlformats.org/drawingml/2006/main">
                    <a:graphicData uri="http://schemas.openxmlformats.org/drawingml/2006/picture">
                      <pic:pic xmlns:pic="http://schemas.openxmlformats.org/drawingml/2006/picture">
                        <pic:nvPicPr>
                          <pic:cNvPr id="352" name="Picture_4_SpCnt_7"/>
                          <pic:cNvPicPr/>
                        </pic:nvPicPr>
                        <pic:blipFill>
                          <a:blip r:embed="rId66"/>
                          <a:stretch>
                            <a:fillRect/>
                          </a:stretch>
                        </pic:blipFill>
                        <pic:spPr>
                          <a:xfrm>
                            <a:off x="0" y="0"/>
                            <a:ext cx="9652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4605"/>
                  <wp:effectExtent l="0" t="0" r="0" b="0"/>
                  <wp:wrapNone/>
                  <wp:docPr id="353" name="Picture_595_SpCnt_8"/>
                  <wp:cNvGraphicFramePr/>
                  <a:graphic xmlns:a="http://schemas.openxmlformats.org/drawingml/2006/main">
                    <a:graphicData uri="http://schemas.openxmlformats.org/drawingml/2006/picture">
                      <pic:pic xmlns:pic="http://schemas.openxmlformats.org/drawingml/2006/picture">
                        <pic:nvPicPr>
                          <pic:cNvPr id="353" name="Picture_595_SpCnt_8"/>
                          <pic:cNvPicPr/>
                        </pic:nvPicPr>
                        <pic:blipFill>
                          <a:blip r:embed="rId68"/>
                          <a:stretch>
                            <a:fillRect/>
                          </a:stretch>
                        </pic:blipFill>
                        <pic:spPr>
                          <a:xfrm>
                            <a:off x="0" y="0"/>
                            <a:ext cx="9652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5260"/>
                  <wp:effectExtent l="0" t="0" r="0" b="0"/>
                  <wp:wrapNone/>
                  <wp:docPr id="381" name="Picture_7516_SpCnt_10"/>
                  <wp:cNvGraphicFramePr/>
                  <a:graphic xmlns:a="http://schemas.openxmlformats.org/drawingml/2006/main">
                    <a:graphicData uri="http://schemas.openxmlformats.org/drawingml/2006/picture">
                      <pic:pic xmlns:pic="http://schemas.openxmlformats.org/drawingml/2006/picture">
                        <pic:nvPicPr>
                          <pic:cNvPr id="381" name="Picture_7516_SpCnt_10"/>
                          <pic:cNvPicPr/>
                        </pic:nvPicPr>
                        <pic:blipFill>
                          <a:blip r:embed="rId15"/>
                          <a:stretch>
                            <a:fillRect/>
                          </a:stretch>
                        </pic:blipFill>
                        <pic:spPr>
                          <a:xfrm>
                            <a:off x="0" y="0"/>
                            <a:ext cx="19050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5260"/>
                  <wp:effectExtent l="0" t="0" r="0" b="0"/>
                  <wp:wrapNone/>
                  <wp:docPr id="380" name="Picture_7517_SpCnt_9"/>
                  <wp:cNvGraphicFramePr/>
                  <a:graphic xmlns:a="http://schemas.openxmlformats.org/drawingml/2006/main">
                    <a:graphicData uri="http://schemas.openxmlformats.org/drawingml/2006/picture">
                      <pic:pic xmlns:pic="http://schemas.openxmlformats.org/drawingml/2006/picture">
                        <pic:nvPicPr>
                          <pic:cNvPr id="380" name="Picture_7517_SpCnt_9"/>
                          <pic:cNvPicPr/>
                        </pic:nvPicPr>
                        <pic:blipFill>
                          <a:blip r:embed="rId15"/>
                          <a:stretch>
                            <a:fillRect/>
                          </a:stretch>
                        </pic:blipFill>
                        <pic:spPr>
                          <a:xfrm>
                            <a:off x="0" y="0"/>
                            <a:ext cx="292100" cy="175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314325"/>
                  <wp:effectExtent l="0" t="0" r="0" b="0"/>
                  <wp:wrapNone/>
                  <wp:docPr id="382" name="Picture_3_SpCnt_6"/>
                  <wp:cNvGraphicFramePr/>
                  <a:graphic xmlns:a="http://schemas.openxmlformats.org/drawingml/2006/main">
                    <a:graphicData uri="http://schemas.openxmlformats.org/drawingml/2006/picture">
                      <pic:pic xmlns:pic="http://schemas.openxmlformats.org/drawingml/2006/picture">
                        <pic:nvPicPr>
                          <pic:cNvPr id="382" name="Picture_3_SpCnt_6"/>
                          <pic:cNvPicPr/>
                        </pic:nvPicPr>
                        <pic:blipFill>
                          <a:blip r:embed="rId66"/>
                          <a:stretch>
                            <a:fillRect/>
                          </a:stretch>
                        </pic:blipFill>
                        <pic:spPr>
                          <a:xfrm>
                            <a:off x="0" y="0"/>
                            <a:ext cx="9779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80975"/>
                  <wp:effectExtent l="0" t="0" r="0" b="0"/>
                  <wp:wrapNone/>
                  <wp:docPr id="94" name="Picture_7517_SpCnt_10"/>
                  <wp:cNvGraphicFramePr/>
                  <a:graphic xmlns:a="http://schemas.openxmlformats.org/drawingml/2006/main">
                    <a:graphicData uri="http://schemas.openxmlformats.org/drawingml/2006/picture">
                      <pic:pic xmlns:pic="http://schemas.openxmlformats.org/drawingml/2006/picture">
                        <pic:nvPicPr>
                          <pic:cNvPr id="94" name="Picture_7517_SpCnt_10"/>
                          <pic:cNvPicPr/>
                        </pic:nvPicPr>
                        <pic:blipFill>
                          <a:blip r:embed="rId65"/>
                          <a:stretch>
                            <a:fillRect/>
                          </a:stretch>
                        </pic:blipFill>
                        <pic:spPr>
                          <a:xfrm>
                            <a:off x="0" y="0"/>
                            <a:ext cx="9779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80975"/>
                  <wp:effectExtent l="0" t="0" r="0" b="0"/>
                  <wp:wrapNone/>
                  <wp:docPr id="89" name="Picture_7517_SpCnt_11"/>
                  <wp:cNvGraphicFramePr/>
                  <a:graphic xmlns:a="http://schemas.openxmlformats.org/drawingml/2006/main">
                    <a:graphicData uri="http://schemas.openxmlformats.org/drawingml/2006/picture">
                      <pic:pic xmlns:pic="http://schemas.openxmlformats.org/drawingml/2006/picture">
                        <pic:nvPicPr>
                          <pic:cNvPr id="89" name="Picture_7517_SpCnt_11"/>
                          <pic:cNvPicPr/>
                        </pic:nvPicPr>
                        <pic:blipFill>
                          <a:blip r:embed="rId65"/>
                          <a:stretch>
                            <a:fillRect/>
                          </a:stretch>
                        </pic:blipFill>
                        <pic:spPr>
                          <a:xfrm>
                            <a:off x="0" y="0"/>
                            <a:ext cx="9779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4605"/>
                  <wp:effectExtent l="0" t="0" r="0" b="0"/>
                  <wp:wrapNone/>
                  <wp:docPr id="87" name="Picture_594_SpCnt_6"/>
                  <wp:cNvGraphicFramePr/>
                  <a:graphic xmlns:a="http://schemas.openxmlformats.org/drawingml/2006/main">
                    <a:graphicData uri="http://schemas.openxmlformats.org/drawingml/2006/picture">
                      <pic:pic xmlns:pic="http://schemas.openxmlformats.org/drawingml/2006/picture">
                        <pic:nvPicPr>
                          <pic:cNvPr id="87" name="Picture_594_SpCnt_6"/>
                          <pic:cNvPicPr/>
                        </pic:nvPicPr>
                        <pic:blipFill>
                          <a:blip r:embed="rId68"/>
                          <a:stretch>
                            <a:fillRect/>
                          </a:stretch>
                        </pic:blipFill>
                        <pic:spPr>
                          <a:xfrm>
                            <a:off x="0" y="0"/>
                            <a:ext cx="9779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3405" cy="271145"/>
                  <wp:effectExtent l="0" t="0" r="0" b="0"/>
                  <wp:wrapNone/>
                  <wp:docPr id="99" name="Picture_7_SpCnt_16"/>
                  <wp:cNvGraphicFramePr/>
                  <a:graphic xmlns:a="http://schemas.openxmlformats.org/drawingml/2006/main">
                    <a:graphicData uri="http://schemas.openxmlformats.org/drawingml/2006/picture">
                      <pic:pic xmlns:pic="http://schemas.openxmlformats.org/drawingml/2006/picture">
                        <pic:nvPicPr>
                          <pic:cNvPr id="99" name="Picture_7_SpCnt_16"/>
                          <pic:cNvPicPr/>
                        </pic:nvPicPr>
                        <pic:blipFill>
                          <a:blip r:embed="rId15"/>
                          <a:stretch>
                            <a:fillRect/>
                          </a:stretch>
                        </pic:blipFill>
                        <pic:spPr>
                          <a:xfrm>
                            <a:off x="0" y="0"/>
                            <a:ext cx="57340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4025"/>
                  <wp:effectExtent l="0" t="0" r="0" b="0"/>
                  <wp:wrapNone/>
                  <wp:docPr id="90" name="图片_65_SpCnt_14"/>
                  <wp:cNvGraphicFramePr/>
                  <a:graphic xmlns:a="http://schemas.openxmlformats.org/drawingml/2006/main">
                    <a:graphicData uri="http://schemas.openxmlformats.org/drawingml/2006/picture">
                      <pic:pic xmlns:pic="http://schemas.openxmlformats.org/drawingml/2006/picture">
                        <pic:nvPicPr>
                          <pic:cNvPr id="90" name="图片_65_SpCnt_14"/>
                          <pic:cNvPicPr/>
                        </pic:nvPicPr>
                        <pic:blipFill>
                          <a:blip r:embed="rId14"/>
                          <a:stretch>
                            <a:fillRect/>
                          </a:stretch>
                        </pic:blipFill>
                        <pic:spPr>
                          <a:xfrm>
                            <a:off x="0" y="0"/>
                            <a:ext cx="83185" cy="454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6735" cy="271145"/>
                  <wp:effectExtent l="0" t="0" r="0" b="0"/>
                  <wp:wrapNone/>
                  <wp:docPr id="86" name="Picture_8_SpCnt_17"/>
                  <wp:cNvGraphicFramePr/>
                  <a:graphic xmlns:a="http://schemas.openxmlformats.org/drawingml/2006/main">
                    <a:graphicData uri="http://schemas.openxmlformats.org/drawingml/2006/picture">
                      <pic:pic xmlns:pic="http://schemas.openxmlformats.org/drawingml/2006/picture">
                        <pic:nvPicPr>
                          <pic:cNvPr id="86" name="Picture_8_SpCnt_17"/>
                          <pic:cNvPicPr/>
                        </pic:nvPicPr>
                        <pic:blipFill>
                          <a:blip r:embed="rId15"/>
                          <a:stretch>
                            <a:fillRect/>
                          </a:stretch>
                        </pic:blipFill>
                        <pic:spPr>
                          <a:xfrm>
                            <a:off x="0" y="0"/>
                            <a:ext cx="54673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4605"/>
                  <wp:effectExtent l="0" t="0" r="0" b="0"/>
                  <wp:wrapNone/>
                  <wp:docPr id="85" name="Picture_593_SpCnt_7"/>
                  <wp:cNvGraphicFramePr/>
                  <a:graphic xmlns:a="http://schemas.openxmlformats.org/drawingml/2006/main">
                    <a:graphicData uri="http://schemas.openxmlformats.org/drawingml/2006/picture">
                      <pic:pic xmlns:pic="http://schemas.openxmlformats.org/drawingml/2006/picture">
                        <pic:nvPicPr>
                          <pic:cNvPr id="85" name="Picture_593_SpCnt_7"/>
                          <pic:cNvPicPr/>
                        </pic:nvPicPr>
                        <pic:blipFill>
                          <a:blip r:embed="rId68"/>
                          <a:stretch>
                            <a:fillRect/>
                          </a:stretch>
                        </pic:blipFill>
                        <pic:spPr>
                          <a:xfrm>
                            <a:off x="0" y="0"/>
                            <a:ext cx="9652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314325"/>
                  <wp:effectExtent l="0" t="0" r="0" b="0"/>
                  <wp:wrapNone/>
                  <wp:docPr id="82" name="Picture_2_SpCnt_7"/>
                  <wp:cNvGraphicFramePr/>
                  <a:graphic xmlns:a="http://schemas.openxmlformats.org/drawingml/2006/main">
                    <a:graphicData uri="http://schemas.openxmlformats.org/drawingml/2006/picture">
                      <pic:pic xmlns:pic="http://schemas.openxmlformats.org/drawingml/2006/picture">
                        <pic:nvPicPr>
                          <pic:cNvPr id="82" name="Picture_2_SpCnt_7"/>
                          <pic:cNvPicPr/>
                        </pic:nvPicPr>
                        <pic:blipFill>
                          <a:blip r:embed="rId66"/>
                          <a:stretch>
                            <a:fillRect/>
                          </a:stretch>
                        </pic:blipFill>
                        <pic:spPr>
                          <a:xfrm>
                            <a:off x="0" y="0"/>
                            <a:ext cx="9652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80975"/>
                  <wp:effectExtent l="0" t="0" r="0" b="0"/>
                  <wp:wrapNone/>
                  <wp:docPr id="91" name="Picture_7516_SpCnt_11"/>
                  <wp:cNvGraphicFramePr/>
                  <a:graphic xmlns:a="http://schemas.openxmlformats.org/drawingml/2006/main">
                    <a:graphicData uri="http://schemas.openxmlformats.org/drawingml/2006/picture">
                      <pic:pic xmlns:pic="http://schemas.openxmlformats.org/drawingml/2006/picture">
                        <pic:nvPicPr>
                          <pic:cNvPr id="91" name="Picture_7516_SpCnt_11"/>
                          <pic:cNvPicPr/>
                        </pic:nvPicPr>
                        <pic:blipFill>
                          <a:blip r:embed="rId65"/>
                          <a:stretch>
                            <a:fillRect/>
                          </a:stretch>
                        </pic:blipFill>
                        <pic:spPr>
                          <a:xfrm>
                            <a:off x="0" y="0"/>
                            <a:ext cx="9652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80975"/>
                  <wp:effectExtent l="0" t="0" r="0" b="0"/>
                  <wp:wrapNone/>
                  <wp:docPr id="88" name="Picture_7516_SpCnt_12"/>
                  <wp:cNvGraphicFramePr/>
                  <a:graphic xmlns:a="http://schemas.openxmlformats.org/drawingml/2006/main">
                    <a:graphicData uri="http://schemas.openxmlformats.org/drawingml/2006/picture">
                      <pic:pic xmlns:pic="http://schemas.openxmlformats.org/drawingml/2006/picture">
                        <pic:nvPicPr>
                          <pic:cNvPr id="88" name="Picture_7516_SpCnt_12"/>
                          <pic:cNvPicPr/>
                        </pic:nvPicPr>
                        <pic:blipFill>
                          <a:blip r:embed="rId65"/>
                          <a:stretch>
                            <a:fillRect/>
                          </a:stretch>
                        </pic:blipFill>
                        <pic:spPr>
                          <a:xfrm>
                            <a:off x="0" y="0"/>
                            <a:ext cx="96520"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710" cy="266700"/>
                  <wp:effectExtent l="0" t="0" r="0" b="0"/>
                  <wp:wrapNone/>
                  <wp:docPr id="92" name="Picture_7_SpCnt_17"/>
                  <wp:cNvGraphicFramePr/>
                  <a:graphic xmlns:a="http://schemas.openxmlformats.org/drawingml/2006/main">
                    <a:graphicData uri="http://schemas.openxmlformats.org/drawingml/2006/picture">
                      <pic:pic xmlns:pic="http://schemas.openxmlformats.org/drawingml/2006/picture">
                        <pic:nvPicPr>
                          <pic:cNvPr id="92" name="Picture_7_SpCnt_17"/>
                          <pic:cNvPicPr/>
                        </pic:nvPicPr>
                        <pic:blipFill>
                          <a:blip r:embed="rId62"/>
                          <a:stretch>
                            <a:fillRect/>
                          </a:stretch>
                        </pic:blipFill>
                        <pic:spPr>
                          <a:xfrm>
                            <a:off x="0" y="0"/>
                            <a:ext cx="92710" cy="266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2710" cy="281305"/>
                  <wp:effectExtent l="0" t="0" r="0" b="0"/>
                  <wp:wrapNone/>
                  <wp:docPr id="93" name="Picture_7_SpCnt_18"/>
                  <wp:cNvGraphicFramePr/>
                  <a:graphic xmlns:a="http://schemas.openxmlformats.org/drawingml/2006/main">
                    <a:graphicData uri="http://schemas.openxmlformats.org/drawingml/2006/picture">
                      <pic:pic xmlns:pic="http://schemas.openxmlformats.org/drawingml/2006/picture">
                        <pic:nvPicPr>
                          <pic:cNvPr id="93" name="Picture_7_SpCnt_18"/>
                          <pic:cNvPicPr/>
                        </pic:nvPicPr>
                        <pic:blipFill>
                          <a:blip r:embed="rId64"/>
                          <a:stretch>
                            <a:fillRect/>
                          </a:stretch>
                        </pic:blipFill>
                        <pic:spPr>
                          <a:xfrm>
                            <a:off x="0" y="0"/>
                            <a:ext cx="9271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281305"/>
                  <wp:effectExtent l="0" t="0" r="0" b="0"/>
                  <wp:wrapNone/>
                  <wp:docPr id="95" name="Picture_8_SpCnt_18"/>
                  <wp:cNvGraphicFramePr/>
                  <a:graphic xmlns:a="http://schemas.openxmlformats.org/drawingml/2006/main">
                    <a:graphicData uri="http://schemas.openxmlformats.org/drawingml/2006/picture">
                      <pic:pic xmlns:pic="http://schemas.openxmlformats.org/drawingml/2006/picture">
                        <pic:nvPicPr>
                          <pic:cNvPr id="95" name="Picture_8_SpCnt_18"/>
                          <pic:cNvPicPr/>
                        </pic:nvPicPr>
                        <pic:blipFill>
                          <a:blip r:embed="rId64"/>
                          <a:stretch>
                            <a:fillRect/>
                          </a:stretch>
                        </pic:blipFill>
                        <pic:spPr>
                          <a:xfrm>
                            <a:off x="0" y="0"/>
                            <a:ext cx="9525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266700"/>
                  <wp:effectExtent l="0" t="0" r="0" b="0"/>
                  <wp:wrapNone/>
                  <wp:docPr id="96" name="Picture_8_SpCnt_19"/>
                  <wp:cNvGraphicFramePr/>
                  <a:graphic xmlns:a="http://schemas.openxmlformats.org/drawingml/2006/main">
                    <a:graphicData uri="http://schemas.openxmlformats.org/drawingml/2006/picture">
                      <pic:pic xmlns:pic="http://schemas.openxmlformats.org/drawingml/2006/picture">
                        <pic:nvPicPr>
                          <pic:cNvPr id="96" name="Picture_8_SpCnt_19"/>
                          <pic:cNvPicPr/>
                        </pic:nvPicPr>
                        <pic:blipFill>
                          <a:blip r:embed="rId62"/>
                          <a:stretch>
                            <a:fillRect/>
                          </a:stretch>
                        </pic:blipFill>
                        <pic:spPr>
                          <a:xfrm>
                            <a:off x="0" y="0"/>
                            <a:ext cx="95250" cy="266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0160"/>
                  <wp:effectExtent l="0" t="0" r="0" b="0"/>
                  <wp:wrapNone/>
                  <wp:docPr id="103" name="Picture_595_SpCnt_9"/>
                  <wp:cNvGraphicFramePr/>
                  <a:graphic xmlns:a="http://schemas.openxmlformats.org/drawingml/2006/main">
                    <a:graphicData uri="http://schemas.openxmlformats.org/drawingml/2006/picture">
                      <pic:pic xmlns:pic="http://schemas.openxmlformats.org/drawingml/2006/picture">
                        <pic:nvPicPr>
                          <pic:cNvPr id="103" name="Picture_595_SpCnt_9"/>
                          <pic:cNvPicPr/>
                        </pic:nvPicPr>
                        <pic:blipFill>
                          <a:blip r:embed="rId15"/>
                          <a:stretch>
                            <a:fillRect/>
                          </a:stretch>
                        </pic:blipFill>
                        <pic:spPr>
                          <a:xfrm>
                            <a:off x="0" y="0"/>
                            <a:ext cx="39243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7165"/>
                  <wp:effectExtent l="0" t="0" r="0" b="0"/>
                  <wp:wrapNone/>
                  <wp:docPr id="97" name="Picture_7517_SpCnt_12"/>
                  <wp:cNvGraphicFramePr/>
                  <a:graphic xmlns:a="http://schemas.openxmlformats.org/drawingml/2006/main">
                    <a:graphicData uri="http://schemas.openxmlformats.org/drawingml/2006/picture">
                      <pic:pic xmlns:pic="http://schemas.openxmlformats.org/drawingml/2006/picture">
                        <pic:nvPicPr>
                          <pic:cNvPr id="97" name="Picture_7517_SpCnt_12"/>
                          <pic:cNvPicPr/>
                        </pic:nvPicPr>
                        <pic:blipFill>
                          <a:blip r:embed="rId61"/>
                          <a:stretch>
                            <a:fillRect/>
                          </a:stretch>
                        </pic:blipFill>
                        <pic:spPr>
                          <a:xfrm>
                            <a:off x="0" y="0"/>
                            <a:ext cx="292100"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73075"/>
                  <wp:effectExtent l="0" t="0" r="0" b="0"/>
                  <wp:wrapNone/>
                  <wp:docPr id="83" name="图片_63_SpCnt_8"/>
                  <wp:cNvGraphicFramePr/>
                  <a:graphic xmlns:a="http://schemas.openxmlformats.org/drawingml/2006/main">
                    <a:graphicData uri="http://schemas.openxmlformats.org/drawingml/2006/picture">
                      <pic:pic xmlns:pic="http://schemas.openxmlformats.org/drawingml/2006/picture">
                        <pic:nvPicPr>
                          <pic:cNvPr id="83" name="图片_63_SpCnt_8"/>
                          <pic:cNvPicPr/>
                        </pic:nvPicPr>
                        <pic:blipFill>
                          <a:blip r:embed="rId69"/>
                          <a:stretch>
                            <a:fillRect/>
                          </a:stretch>
                        </pic:blipFill>
                        <pic:spPr>
                          <a:xfrm>
                            <a:off x="0" y="0"/>
                            <a:ext cx="290830" cy="4730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314325"/>
                  <wp:effectExtent l="0" t="0" r="0" b="0"/>
                  <wp:wrapNone/>
                  <wp:docPr id="98" name="Picture_3_SpCnt_7"/>
                  <wp:cNvGraphicFramePr/>
                  <a:graphic xmlns:a="http://schemas.openxmlformats.org/drawingml/2006/main">
                    <a:graphicData uri="http://schemas.openxmlformats.org/drawingml/2006/picture">
                      <pic:pic xmlns:pic="http://schemas.openxmlformats.org/drawingml/2006/picture">
                        <pic:nvPicPr>
                          <pic:cNvPr id="98" name="Picture_3_SpCnt_7"/>
                          <pic:cNvPicPr/>
                        </pic:nvPicPr>
                        <pic:blipFill>
                          <a:blip r:embed="rId66"/>
                          <a:stretch>
                            <a:fillRect/>
                          </a:stretch>
                        </pic:blipFill>
                        <pic:spPr>
                          <a:xfrm>
                            <a:off x="0" y="0"/>
                            <a:ext cx="9779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95580"/>
                  <wp:effectExtent l="0" t="0" r="0" b="0"/>
                  <wp:wrapNone/>
                  <wp:docPr id="100" name="Picture_7517_SpCnt_13"/>
                  <wp:cNvGraphicFramePr/>
                  <a:graphic xmlns:a="http://schemas.openxmlformats.org/drawingml/2006/main">
                    <a:graphicData uri="http://schemas.openxmlformats.org/drawingml/2006/picture">
                      <pic:pic xmlns:pic="http://schemas.openxmlformats.org/drawingml/2006/picture">
                        <pic:nvPicPr>
                          <pic:cNvPr id="100" name="Picture_7517_SpCnt_13"/>
                          <pic:cNvPicPr/>
                        </pic:nvPicPr>
                        <pic:blipFill>
                          <a:blip r:embed="rId70"/>
                          <a:stretch>
                            <a:fillRect/>
                          </a:stretch>
                        </pic:blipFill>
                        <pic:spPr>
                          <a:xfrm>
                            <a:off x="0" y="0"/>
                            <a:ext cx="9779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462280"/>
                  <wp:effectExtent l="0" t="0" r="0" b="0"/>
                  <wp:wrapNone/>
                  <wp:docPr id="78" name="图片_63_SpCnt_9"/>
                  <wp:cNvGraphicFramePr/>
                  <a:graphic xmlns:a="http://schemas.openxmlformats.org/drawingml/2006/main">
                    <a:graphicData uri="http://schemas.openxmlformats.org/drawingml/2006/picture">
                      <pic:pic xmlns:pic="http://schemas.openxmlformats.org/drawingml/2006/picture">
                        <pic:nvPicPr>
                          <pic:cNvPr id="78" name="图片_63_SpCnt_9"/>
                          <pic:cNvPicPr/>
                        </pic:nvPicPr>
                        <pic:blipFill>
                          <a:blip r:embed="rId71"/>
                          <a:stretch>
                            <a:fillRect/>
                          </a:stretch>
                        </pic:blipFill>
                        <pic:spPr>
                          <a:xfrm>
                            <a:off x="0" y="0"/>
                            <a:ext cx="85725"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4605"/>
                  <wp:effectExtent l="0" t="0" r="0" b="0"/>
                  <wp:wrapNone/>
                  <wp:docPr id="84" name="Picture_594_SpCnt_7"/>
                  <wp:cNvGraphicFramePr/>
                  <a:graphic xmlns:a="http://schemas.openxmlformats.org/drawingml/2006/main">
                    <a:graphicData uri="http://schemas.openxmlformats.org/drawingml/2006/picture">
                      <pic:pic xmlns:pic="http://schemas.openxmlformats.org/drawingml/2006/picture">
                        <pic:nvPicPr>
                          <pic:cNvPr id="84" name="Picture_594_SpCnt_7"/>
                          <pic:cNvPicPr/>
                        </pic:nvPicPr>
                        <pic:blipFill>
                          <a:blip r:embed="rId68"/>
                          <a:stretch>
                            <a:fillRect/>
                          </a:stretch>
                        </pic:blipFill>
                        <pic:spPr>
                          <a:xfrm>
                            <a:off x="0" y="0"/>
                            <a:ext cx="9779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4605"/>
                  <wp:effectExtent l="0" t="0" r="0" b="0"/>
                  <wp:wrapNone/>
                  <wp:docPr id="101" name="Picture_593_SpCnt_8"/>
                  <wp:cNvGraphicFramePr/>
                  <a:graphic xmlns:a="http://schemas.openxmlformats.org/drawingml/2006/main">
                    <a:graphicData uri="http://schemas.openxmlformats.org/drawingml/2006/picture">
                      <pic:pic xmlns:pic="http://schemas.openxmlformats.org/drawingml/2006/picture">
                        <pic:nvPicPr>
                          <pic:cNvPr id="101" name="Picture_593_SpCnt_8"/>
                          <pic:cNvPicPr/>
                        </pic:nvPicPr>
                        <pic:blipFill>
                          <a:blip r:embed="rId68"/>
                          <a:stretch>
                            <a:fillRect/>
                          </a:stretch>
                        </pic:blipFill>
                        <pic:spPr>
                          <a:xfrm>
                            <a:off x="0" y="0"/>
                            <a:ext cx="96520"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310515"/>
                  <wp:effectExtent l="0" t="0" r="0" b="0"/>
                  <wp:wrapNone/>
                  <wp:docPr id="102" name="Picture_4_SpCnt_8"/>
                  <wp:cNvGraphicFramePr/>
                  <a:graphic xmlns:a="http://schemas.openxmlformats.org/drawingml/2006/main">
                    <a:graphicData uri="http://schemas.openxmlformats.org/drawingml/2006/picture">
                      <pic:pic xmlns:pic="http://schemas.openxmlformats.org/drawingml/2006/picture">
                        <pic:nvPicPr>
                          <pic:cNvPr id="102" name="Picture_4_SpCnt_8"/>
                          <pic:cNvPicPr/>
                        </pic:nvPicPr>
                        <pic:blipFill>
                          <a:blip r:embed="rId66"/>
                          <a:stretch>
                            <a:fillRect/>
                          </a:stretch>
                        </pic:blipFill>
                        <pic:spPr>
                          <a:xfrm>
                            <a:off x="0" y="0"/>
                            <a:ext cx="97790" cy="3105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790" cy="170815"/>
                  <wp:effectExtent l="0" t="0" r="0" b="0"/>
                  <wp:wrapNone/>
                  <wp:docPr id="104" name="Picture_7518_SpCnt_11"/>
                  <wp:cNvGraphicFramePr/>
                  <a:graphic xmlns:a="http://schemas.openxmlformats.org/drawingml/2006/main">
                    <a:graphicData uri="http://schemas.openxmlformats.org/drawingml/2006/picture">
                      <pic:pic xmlns:pic="http://schemas.openxmlformats.org/drawingml/2006/picture">
                        <pic:nvPicPr>
                          <pic:cNvPr id="104" name="Picture_7518_SpCnt_11"/>
                          <pic:cNvPicPr/>
                        </pic:nvPicPr>
                        <pic:blipFill>
                          <a:blip r:embed="rId72"/>
                          <a:stretch>
                            <a:fillRect/>
                          </a:stretch>
                        </pic:blipFill>
                        <pic:spPr>
                          <a:xfrm>
                            <a:off x="0" y="0"/>
                            <a:ext cx="97790" cy="170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95580"/>
                  <wp:effectExtent l="0" t="0" r="0" b="0"/>
                  <wp:wrapNone/>
                  <wp:docPr id="73" name="Picture_7516_SpCnt_13"/>
                  <wp:cNvGraphicFramePr/>
                  <a:graphic xmlns:a="http://schemas.openxmlformats.org/drawingml/2006/main">
                    <a:graphicData uri="http://schemas.openxmlformats.org/drawingml/2006/picture">
                      <pic:pic xmlns:pic="http://schemas.openxmlformats.org/drawingml/2006/picture">
                        <pic:nvPicPr>
                          <pic:cNvPr id="73" name="Picture_7516_SpCnt_13"/>
                          <pic:cNvPicPr/>
                        </pic:nvPicPr>
                        <pic:blipFill>
                          <a:blip r:embed="rId70"/>
                          <a:stretch>
                            <a:fillRect/>
                          </a:stretch>
                        </pic:blipFill>
                        <pic:spPr>
                          <a:xfrm>
                            <a:off x="0" y="0"/>
                            <a:ext cx="96520"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93675"/>
                  <wp:effectExtent l="0" t="0" r="0" b="0"/>
                  <wp:wrapNone/>
                  <wp:docPr id="74" name="Picture_7519_SpCnt_11"/>
                  <wp:cNvGraphicFramePr/>
                  <a:graphic xmlns:a="http://schemas.openxmlformats.org/drawingml/2006/main">
                    <a:graphicData uri="http://schemas.openxmlformats.org/drawingml/2006/picture">
                      <pic:pic xmlns:pic="http://schemas.openxmlformats.org/drawingml/2006/picture">
                        <pic:nvPicPr>
                          <pic:cNvPr id="74" name="Picture_7519_SpCnt_11"/>
                          <pic:cNvPicPr/>
                        </pic:nvPicPr>
                        <pic:blipFill>
                          <a:blip r:embed="rId15"/>
                          <a:stretch>
                            <a:fillRect/>
                          </a:stretch>
                        </pic:blipFill>
                        <pic:spPr>
                          <a:xfrm>
                            <a:off x="0" y="0"/>
                            <a:ext cx="49720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170815"/>
                  <wp:effectExtent l="0" t="0" r="0" b="0"/>
                  <wp:wrapNone/>
                  <wp:docPr id="75" name="Picture_7516_SpCnt_14"/>
                  <wp:cNvGraphicFramePr/>
                  <a:graphic xmlns:a="http://schemas.openxmlformats.org/drawingml/2006/main">
                    <a:graphicData uri="http://schemas.openxmlformats.org/drawingml/2006/picture">
                      <pic:pic xmlns:pic="http://schemas.openxmlformats.org/drawingml/2006/picture">
                        <pic:nvPicPr>
                          <pic:cNvPr id="75" name="Picture_7516_SpCnt_14"/>
                          <pic:cNvPicPr/>
                        </pic:nvPicPr>
                        <pic:blipFill>
                          <a:blip r:embed="rId72"/>
                          <a:stretch>
                            <a:fillRect/>
                          </a:stretch>
                        </pic:blipFill>
                        <pic:spPr>
                          <a:xfrm>
                            <a:off x="0" y="0"/>
                            <a:ext cx="96520" cy="170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170815"/>
                  <wp:effectExtent l="0" t="0" r="0" b="0"/>
                  <wp:wrapNone/>
                  <wp:docPr id="76" name="Picture_7517_SpCnt_14"/>
                  <wp:cNvGraphicFramePr/>
                  <a:graphic xmlns:a="http://schemas.openxmlformats.org/drawingml/2006/main">
                    <a:graphicData uri="http://schemas.openxmlformats.org/drawingml/2006/picture">
                      <pic:pic xmlns:pic="http://schemas.openxmlformats.org/drawingml/2006/picture">
                        <pic:nvPicPr>
                          <pic:cNvPr id="76" name="Picture_7517_SpCnt_14"/>
                          <pic:cNvPicPr/>
                        </pic:nvPicPr>
                        <pic:blipFill>
                          <a:blip r:embed="rId72"/>
                          <a:stretch>
                            <a:fillRect/>
                          </a:stretch>
                        </pic:blipFill>
                        <pic:spPr>
                          <a:xfrm>
                            <a:off x="0" y="0"/>
                            <a:ext cx="95250" cy="170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314325"/>
                  <wp:effectExtent l="0" t="0" r="0" b="0"/>
                  <wp:wrapNone/>
                  <wp:docPr id="77" name="Picture_2_SpCnt_8"/>
                  <wp:cNvGraphicFramePr/>
                  <a:graphic xmlns:a="http://schemas.openxmlformats.org/drawingml/2006/main">
                    <a:graphicData uri="http://schemas.openxmlformats.org/drawingml/2006/picture">
                      <pic:pic xmlns:pic="http://schemas.openxmlformats.org/drawingml/2006/picture">
                        <pic:nvPicPr>
                          <pic:cNvPr id="77" name="Picture_2_SpCnt_8"/>
                          <pic:cNvPicPr/>
                        </pic:nvPicPr>
                        <pic:blipFill>
                          <a:blip r:embed="rId66"/>
                          <a:stretch>
                            <a:fillRect/>
                          </a:stretch>
                        </pic:blipFill>
                        <pic:spPr>
                          <a:xfrm>
                            <a:off x="0" y="0"/>
                            <a:ext cx="9652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0" cy="310515"/>
                  <wp:effectExtent l="0" t="0" r="0" b="0"/>
                  <wp:wrapNone/>
                  <wp:docPr id="79" name="Picture_3_SpCnt_8"/>
                  <wp:cNvGraphicFramePr/>
                  <a:graphic xmlns:a="http://schemas.openxmlformats.org/drawingml/2006/main">
                    <a:graphicData uri="http://schemas.openxmlformats.org/drawingml/2006/picture">
                      <pic:pic xmlns:pic="http://schemas.openxmlformats.org/drawingml/2006/picture">
                        <pic:nvPicPr>
                          <pic:cNvPr id="79" name="Picture_3_SpCnt_8"/>
                          <pic:cNvPicPr/>
                        </pic:nvPicPr>
                        <pic:blipFill>
                          <a:blip r:embed="rId66"/>
                          <a:stretch>
                            <a:fillRect/>
                          </a:stretch>
                        </pic:blipFill>
                        <pic:spPr>
                          <a:xfrm>
                            <a:off x="0" y="0"/>
                            <a:ext cx="95250" cy="3105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00025"/>
                  <wp:effectExtent l="0" t="0" r="0" b="0"/>
                  <wp:wrapNone/>
                  <wp:docPr id="80" name="Picture_7517_SpCnt_15"/>
                  <wp:cNvGraphicFramePr/>
                  <a:graphic xmlns:a="http://schemas.openxmlformats.org/drawingml/2006/main">
                    <a:graphicData uri="http://schemas.openxmlformats.org/drawingml/2006/picture">
                      <pic:pic xmlns:pic="http://schemas.openxmlformats.org/drawingml/2006/picture">
                        <pic:nvPicPr>
                          <pic:cNvPr id="80" name="Picture_7517_SpCnt_15"/>
                          <pic:cNvPicPr/>
                        </pic:nvPicPr>
                        <pic:blipFill>
                          <a:blip r:embed="rId15"/>
                          <a:stretch>
                            <a:fillRect/>
                          </a:stretch>
                        </pic:blipFill>
                        <pic:spPr>
                          <a:xfrm>
                            <a:off x="0" y="0"/>
                            <a:ext cx="85725" cy="200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462280"/>
                  <wp:effectExtent l="0" t="0" r="0" b="0"/>
                  <wp:wrapNone/>
                  <wp:docPr id="81" name="图片_65_SpCnt_15"/>
                  <wp:cNvGraphicFramePr/>
                  <a:graphic xmlns:a="http://schemas.openxmlformats.org/drawingml/2006/main">
                    <a:graphicData uri="http://schemas.openxmlformats.org/drawingml/2006/picture">
                      <pic:pic xmlns:pic="http://schemas.openxmlformats.org/drawingml/2006/picture">
                        <pic:nvPicPr>
                          <pic:cNvPr id="81" name="图片_65_SpCnt_15"/>
                          <pic:cNvPicPr/>
                        </pic:nvPicPr>
                        <pic:blipFill>
                          <a:blip r:embed="rId71"/>
                          <a:stretch>
                            <a:fillRect/>
                          </a:stretch>
                        </pic:blipFill>
                        <pic:spPr>
                          <a:xfrm>
                            <a:off x="0" y="0"/>
                            <a:ext cx="86995"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6520" cy="310515"/>
                  <wp:effectExtent l="0" t="0" r="0" b="0"/>
                  <wp:wrapNone/>
                  <wp:docPr id="106" name="Picture_2_SpCnt_9"/>
                  <wp:cNvGraphicFramePr/>
                  <a:graphic xmlns:a="http://schemas.openxmlformats.org/drawingml/2006/main">
                    <a:graphicData uri="http://schemas.openxmlformats.org/drawingml/2006/picture">
                      <pic:pic xmlns:pic="http://schemas.openxmlformats.org/drawingml/2006/picture">
                        <pic:nvPicPr>
                          <pic:cNvPr id="106" name="Picture_2_SpCnt_9"/>
                          <pic:cNvPicPr/>
                        </pic:nvPicPr>
                        <pic:blipFill>
                          <a:blip r:embed="rId66"/>
                          <a:stretch>
                            <a:fillRect/>
                          </a:stretch>
                        </pic:blipFill>
                        <pic:spPr>
                          <a:xfrm>
                            <a:off x="0" y="0"/>
                            <a:ext cx="96520" cy="3105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456565"/>
                  <wp:effectExtent l="0" t="0" r="0" b="0"/>
                  <wp:wrapNone/>
                  <wp:docPr id="107" name="图片_65_SpCnt_16"/>
                  <wp:cNvGraphicFramePr/>
                  <a:graphic xmlns:a="http://schemas.openxmlformats.org/drawingml/2006/main">
                    <a:graphicData uri="http://schemas.openxmlformats.org/drawingml/2006/picture">
                      <pic:pic xmlns:pic="http://schemas.openxmlformats.org/drawingml/2006/picture">
                        <pic:nvPicPr>
                          <pic:cNvPr id="107" name="图片_65_SpCnt_16"/>
                          <pic:cNvPicPr/>
                        </pic:nvPicPr>
                        <pic:blipFill>
                          <a:blip r:embed="rId14"/>
                          <a:stretch>
                            <a:fillRect/>
                          </a:stretch>
                        </pic:blipFill>
                        <pic:spPr>
                          <a:xfrm>
                            <a:off x="0" y="0"/>
                            <a:ext cx="86995"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0160"/>
                  <wp:effectExtent l="0" t="0" r="0" b="0"/>
                  <wp:wrapNone/>
                  <wp:docPr id="105" name="Picture_594_SpCnt_8"/>
                  <wp:cNvGraphicFramePr/>
                  <a:graphic xmlns:a="http://schemas.openxmlformats.org/drawingml/2006/main">
                    <a:graphicData uri="http://schemas.openxmlformats.org/drawingml/2006/picture">
                      <pic:pic xmlns:pic="http://schemas.openxmlformats.org/drawingml/2006/picture">
                        <pic:nvPicPr>
                          <pic:cNvPr id="105" name="Picture_594_SpCnt_8"/>
                          <pic:cNvPicPr/>
                        </pic:nvPicPr>
                        <pic:blipFill>
                          <a:blip r:embed="rId39"/>
                          <a:stretch>
                            <a:fillRect/>
                          </a:stretch>
                        </pic:blipFill>
                        <pic:spPr>
                          <a:xfrm>
                            <a:off x="0" y="0"/>
                            <a:ext cx="29210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93675"/>
                  <wp:effectExtent l="0" t="0" r="0" b="0"/>
                  <wp:wrapNone/>
                  <wp:docPr id="391" name="Picture_7518_SpCnt_12"/>
                  <wp:cNvGraphicFramePr/>
                  <a:graphic xmlns:a="http://schemas.openxmlformats.org/drawingml/2006/main">
                    <a:graphicData uri="http://schemas.openxmlformats.org/drawingml/2006/picture">
                      <pic:pic xmlns:pic="http://schemas.openxmlformats.org/drawingml/2006/picture">
                        <pic:nvPicPr>
                          <pic:cNvPr id="391" name="Picture_7518_SpCnt_12"/>
                          <pic:cNvPicPr/>
                        </pic:nvPicPr>
                        <pic:blipFill>
                          <a:blip r:embed="rId15"/>
                          <a:stretch>
                            <a:fillRect/>
                          </a:stretch>
                        </pic:blipFill>
                        <pic:spPr>
                          <a:xfrm>
                            <a:off x="0" y="0"/>
                            <a:ext cx="39243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310515"/>
                  <wp:effectExtent l="0" t="0" r="0" b="0"/>
                  <wp:wrapNone/>
                  <wp:docPr id="392" name="Picture_3_SpCnt_9"/>
                  <wp:cNvGraphicFramePr/>
                  <a:graphic xmlns:a="http://schemas.openxmlformats.org/drawingml/2006/main">
                    <a:graphicData uri="http://schemas.openxmlformats.org/drawingml/2006/picture">
                      <pic:pic xmlns:pic="http://schemas.openxmlformats.org/drawingml/2006/picture">
                        <pic:nvPicPr>
                          <pic:cNvPr id="392" name="Picture_3_SpCnt_9"/>
                          <pic:cNvPicPr/>
                        </pic:nvPicPr>
                        <pic:blipFill>
                          <a:blip r:embed="rId15"/>
                          <a:stretch>
                            <a:fillRect/>
                          </a:stretch>
                        </pic:blipFill>
                        <pic:spPr>
                          <a:xfrm>
                            <a:off x="0" y="0"/>
                            <a:ext cx="85725" cy="3105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4605"/>
                  <wp:effectExtent l="0" t="0" r="0" b="0"/>
                  <wp:wrapNone/>
                  <wp:docPr id="385" name="Picture_594_SpCnt_9"/>
                  <wp:cNvGraphicFramePr/>
                  <a:graphic xmlns:a="http://schemas.openxmlformats.org/drawingml/2006/main">
                    <a:graphicData uri="http://schemas.openxmlformats.org/drawingml/2006/picture">
                      <pic:pic xmlns:pic="http://schemas.openxmlformats.org/drawingml/2006/picture">
                        <pic:nvPicPr>
                          <pic:cNvPr id="385" name="Picture_594_SpCnt_9"/>
                          <pic:cNvPicPr/>
                        </pic:nvPicPr>
                        <pic:blipFill>
                          <a:blip r:embed="rId15"/>
                          <a:stretch>
                            <a:fillRect/>
                          </a:stretch>
                        </pic:blipFill>
                        <pic:spPr>
                          <a:xfrm>
                            <a:off x="0" y="0"/>
                            <a:ext cx="85725"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200025"/>
                  <wp:effectExtent l="0" t="0" r="0" b="0"/>
                  <wp:wrapNone/>
                  <wp:docPr id="394" name="Picture_7516_SpCnt_15"/>
                  <wp:cNvGraphicFramePr/>
                  <a:graphic xmlns:a="http://schemas.openxmlformats.org/drawingml/2006/main">
                    <a:graphicData uri="http://schemas.openxmlformats.org/drawingml/2006/picture">
                      <pic:pic xmlns:pic="http://schemas.openxmlformats.org/drawingml/2006/picture">
                        <pic:nvPicPr>
                          <pic:cNvPr id="394" name="Picture_7516_SpCnt_15"/>
                          <pic:cNvPicPr/>
                        </pic:nvPicPr>
                        <pic:blipFill>
                          <a:blip r:embed="rId15"/>
                          <a:stretch>
                            <a:fillRect/>
                          </a:stretch>
                        </pic:blipFill>
                        <pic:spPr>
                          <a:xfrm>
                            <a:off x="0" y="0"/>
                            <a:ext cx="86995" cy="2000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4605"/>
                  <wp:effectExtent l="0" t="0" r="0" b="0"/>
                  <wp:wrapNone/>
                  <wp:docPr id="397" name="Picture_593_SpCnt_9"/>
                  <wp:cNvGraphicFramePr/>
                  <a:graphic xmlns:a="http://schemas.openxmlformats.org/drawingml/2006/main">
                    <a:graphicData uri="http://schemas.openxmlformats.org/drawingml/2006/picture">
                      <pic:pic xmlns:pic="http://schemas.openxmlformats.org/drawingml/2006/picture">
                        <pic:nvPicPr>
                          <pic:cNvPr id="397" name="Picture_593_SpCnt_9"/>
                          <pic:cNvPicPr/>
                        </pic:nvPicPr>
                        <pic:blipFill>
                          <a:blip r:embed="rId15"/>
                          <a:stretch>
                            <a:fillRect/>
                          </a:stretch>
                        </pic:blipFill>
                        <pic:spPr>
                          <a:xfrm>
                            <a:off x="0" y="0"/>
                            <a:ext cx="86995" cy="14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24765"/>
                  <wp:effectExtent l="0" t="0" r="0" b="0"/>
                  <wp:wrapNone/>
                  <wp:docPr id="398" name="Picture_593_SpCnt_10"/>
                  <wp:cNvGraphicFramePr/>
                  <a:graphic xmlns:a="http://schemas.openxmlformats.org/drawingml/2006/main">
                    <a:graphicData uri="http://schemas.openxmlformats.org/drawingml/2006/picture">
                      <pic:pic xmlns:pic="http://schemas.openxmlformats.org/drawingml/2006/picture">
                        <pic:nvPicPr>
                          <pic:cNvPr id="398" name="Picture_593_SpCnt_10"/>
                          <pic:cNvPicPr/>
                        </pic:nvPicPr>
                        <pic:blipFill>
                          <a:blip r:embed="rId15"/>
                          <a:stretch>
                            <a:fillRect/>
                          </a:stretch>
                        </pic:blipFill>
                        <pic:spPr>
                          <a:xfrm>
                            <a:off x="0" y="0"/>
                            <a:ext cx="8699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95580"/>
                  <wp:effectExtent l="0" t="0" r="0" b="0"/>
                  <wp:wrapNone/>
                  <wp:docPr id="410" name="Picture_7516_SpCnt_16"/>
                  <wp:cNvGraphicFramePr/>
                  <a:graphic xmlns:a="http://schemas.openxmlformats.org/drawingml/2006/main">
                    <a:graphicData uri="http://schemas.openxmlformats.org/drawingml/2006/picture">
                      <pic:pic xmlns:pic="http://schemas.openxmlformats.org/drawingml/2006/picture">
                        <pic:nvPicPr>
                          <pic:cNvPr id="410" name="Picture_7516_SpCnt_16"/>
                          <pic:cNvPicPr/>
                        </pic:nvPicPr>
                        <pic:blipFill>
                          <a:blip r:embed="rId15"/>
                          <a:stretch>
                            <a:fillRect/>
                          </a:stretch>
                        </pic:blipFill>
                        <pic:spPr>
                          <a:xfrm>
                            <a:off x="0" y="0"/>
                            <a:ext cx="86995"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310515"/>
                  <wp:effectExtent l="0" t="0" r="0" b="0"/>
                  <wp:wrapNone/>
                  <wp:docPr id="414" name="Picture_2_SpCnt_10"/>
                  <wp:cNvGraphicFramePr/>
                  <a:graphic xmlns:a="http://schemas.openxmlformats.org/drawingml/2006/main">
                    <a:graphicData uri="http://schemas.openxmlformats.org/drawingml/2006/picture">
                      <pic:pic xmlns:pic="http://schemas.openxmlformats.org/drawingml/2006/picture">
                        <pic:nvPicPr>
                          <pic:cNvPr id="414" name="Picture_2_SpCnt_10"/>
                          <pic:cNvPicPr/>
                        </pic:nvPicPr>
                        <pic:blipFill>
                          <a:blip r:embed="rId15"/>
                          <a:stretch>
                            <a:fillRect/>
                          </a:stretch>
                        </pic:blipFill>
                        <pic:spPr>
                          <a:xfrm>
                            <a:off x="0" y="0"/>
                            <a:ext cx="86995" cy="3105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4765"/>
                  <wp:effectExtent l="0" t="0" r="0" b="0"/>
                  <wp:wrapNone/>
                  <wp:docPr id="403" name="Picture_594_SpCnt_10"/>
                  <wp:cNvGraphicFramePr/>
                  <a:graphic xmlns:a="http://schemas.openxmlformats.org/drawingml/2006/main">
                    <a:graphicData uri="http://schemas.openxmlformats.org/drawingml/2006/picture">
                      <pic:pic xmlns:pic="http://schemas.openxmlformats.org/drawingml/2006/picture">
                        <pic:nvPicPr>
                          <pic:cNvPr id="403" name="Picture_594_SpCnt_10"/>
                          <pic:cNvPicPr/>
                        </pic:nvPicPr>
                        <pic:blipFill>
                          <a:blip r:embed="rId15"/>
                          <a:stretch>
                            <a:fillRect/>
                          </a:stretch>
                        </pic:blipFill>
                        <pic:spPr>
                          <a:xfrm>
                            <a:off x="0" y="0"/>
                            <a:ext cx="8572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93675"/>
                  <wp:effectExtent l="0" t="0" r="0" b="0"/>
                  <wp:wrapNone/>
                  <wp:docPr id="395" name="Picture_7517_SpCnt_16"/>
                  <wp:cNvGraphicFramePr/>
                  <a:graphic xmlns:a="http://schemas.openxmlformats.org/drawingml/2006/main">
                    <a:graphicData uri="http://schemas.openxmlformats.org/drawingml/2006/picture">
                      <pic:pic xmlns:pic="http://schemas.openxmlformats.org/drawingml/2006/picture">
                        <pic:nvPicPr>
                          <pic:cNvPr id="395" name="Picture_7517_SpCnt_16"/>
                          <pic:cNvPicPr/>
                        </pic:nvPicPr>
                        <pic:blipFill>
                          <a:blip r:embed="rId15"/>
                          <a:stretch>
                            <a:fillRect/>
                          </a:stretch>
                        </pic:blipFill>
                        <pic:spPr>
                          <a:xfrm>
                            <a:off x="0" y="0"/>
                            <a:ext cx="29210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930" cy="466725"/>
                  <wp:effectExtent l="0" t="0" r="0" b="0"/>
                  <wp:wrapNone/>
                  <wp:docPr id="411" name="图片_63_SpCnt_10"/>
                  <wp:cNvGraphicFramePr/>
                  <a:graphic xmlns:a="http://schemas.openxmlformats.org/drawingml/2006/main">
                    <a:graphicData uri="http://schemas.openxmlformats.org/drawingml/2006/picture">
                      <pic:pic xmlns:pic="http://schemas.openxmlformats.org/drawingml/2006/picture">
                        <pic:nvPicPr>
                          <pic:cNvPr id="411" name="图片_63_SpCnt_10"/>
                          <pic:cNvPicPr/>
                        </pic:nvPicPr>
                        <pic:blipFill>
                          <a:blip r:embed="rId34"/>
                          <a:stretch>
                            <a:fillRect/>
                          </a:stretch>
                        </pic:blipFill>
                        <pic:spPr>
                          <a:xfrm>
                            <a:off x="0" y="0"/>
                            <a:ext cx="74930" cy="4667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318770"/>
                  <wp:effectExtent l="0" t="0" r="0" b="0"/>
                  <wp:wrapNone/>
                  <wp:docPr id="384" name="Picture_3_SpCnt_10"/>
                  <wp:cNvGraphicFramePr/>
                  <a:graphic xmlns:a="http://schemas.openxmlformats.org/drawingml/2006/main">
                    <a:graphicData uri="http://schemas.openxmlformats.org/drawingml/2006/picture">
                      <pic:pic xmlns:pic="http://schemas.openxmlformats.org/drawingml/2006/picture">
                        <pic:nvPicPr>
                          <pic:cNvPr id="384" name="Picture_3_SpCnt_10"/>
                          <pic:cNvPicPr/>
                        </pic:nvPicPr>
                        <pic:blipFill>
                          <a:blip r:embed="rId15"/>
                          <a:stretch>
                            <a:fillRect/>
                          </a:stretch>
                        </pic:blipFill>
                        <pic:spPr>
                          <a:xfrm>
                            <a:off x="0" y="0"/>
                            <a:ext cx="8572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281305"/>
                  <wp:effectExtent l="0" t="0" r="0" b="0"/>
                  <wp:wrapNone/>
                  <wp:docPr id="413" name="Picture_8_SpCnt_20"/>
                  <wp:cNvGraphicFramePr/>
                  <a:graphic xmlns:a="http://schemas.openxmlformats.org/drawingml/2006/main">
                    <a:graphicData uri="http://schemas.openxmlformats.org/drawingml/2006/picture">
                      <pic:pic xmlns:pic="http://schemas.openxmlformats.org/drawingml/2006/picture">
                        <pic:nvPicPr>
                          <pic:cNvPr id="413" name="Picture_8_SpCnt_20"/>
                          <pic:cNvPicPr/>
                        </pic:nvPicPr>
                        <pic:blipFill>
                          <a:blip r:embed="rId15"/>
                          <a:stretch>
                            <a:fillRect/>
                          </a:stretch>
                        </pic:blipFill>
                        <pic:spPr>
                          <a:xfrm>
                            <a:off x="0" y="0"/>
                            <a:ext cx="8699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318770"/>
                  <wp:effectExtent l="0" t="0" r="0" b="0"/>
                  <wp:wrapNone/>
                  <wp:docPr id="399" name="Picture_2_SpCnt_11"/>
                  <wp:cNvGraphicFramePr/>
                  <a:graphic xmlns:a="http://schemas.openxmlformats.org/drawingml/2006/main">
                    <a:graphicData uri="http://schemas.openxmlformats.org/drawingml/2006/picture">
                      <pic:pic xmlns:pic="http://schemas.openxmlformats.org/drawingml/2006/picture">
                        <pic:nvPicPr>
                          <pic:cNvPr id="399" name="Picture_2_SpCnt_11"/>
                          <pic:cNvPicPr/>
                        </pic:nvPicPr>
                        <pic:blipFill>
                          <a:blip r:embed="rId15"/>
                          <a:stretch>
                            <a:fillRect/>
                          </a:stretch>
                        </pic:blipFill>
                        <pic:spPr>
                          <a:xfrm>
                            <a:off x="0" y="0"/>
                            <a:ext cx="8699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93675"/>
                  <wp:effectExtent l="0" t="0" r="0" b="0"/>
                  <wp:wrapNone/>
                  <wp:docPr id="400" name="Picture_7518_SpCnt_13"/>
                  <wp:cNvGraphicFramePr/>
                  <a:graphic xmlns:a="http://schemas.openxmlformats.org/drawingml/2006/main">
                    <a:graphicData uri="http://schemas.openxmlformats.org/drawingml/2006/picture">
                      <pic:pic xmlns:pic="http://schemas.openxmlformats.org/drawingml/2006/picture">
                        <pic:nvPicPr>
                          <pic:cNvPr id="400" name="Picture_7518_SpCnt_13"/>
                          <pic:cNvPicPr/>
                        </pic:nvPicPr>
                        <pic:blipFill>
                          <a:blip r:embed="rId15"/>
                          <a:stretch>
                            <a:fillRect/>
                          </a:stretch>
                        </pic:blipFill>
                        <pic:spPr>
                          <a:xfrm>
                            <a:off x="0" y="0"/>
                            <a:ext cx="8699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80975"/>
                  <wp:effectExtent l="0" t="0" r="0" b="0"/>
                  <wp:wrapNone/>
                  <wp:docPr id="401" name="Picture_7517_SpCnt_17"/>
                  <wp:cNvGraphicFramePr/>
                  <a:graphic xmlns:a="http://schemas.openxmlformats.org/drawingml/2006/main">
                    <a:graphicData uri="http://schemas.openxmlformats.org/drawingml/2006/picture">
                      <pic:pic xmlns:pic="http://schemas.openxmlformats.org/drawingml/2006/picture">
                        <pic:nvPicPr>
                          <pic:cNvPr id="401" name="Picture_7517_SpCnt_17"/>
                          <pic:cNvPicPr/>
                        </pic:nvPicPr>
                        <pic:blipFill>
                          <a:blip r:embed="rId15"/>
                          <a:stretch>
                            <a:fillRect/>
                          </a:stretch>
                        </pic:blipFill>
                        <pic:spPr>
                          <a:xfrm>
                            <a:off x="0" y="0"/>
                            <a:ext cx="85725"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80975"/>
                  <wp:effectExtent l="0" t="0" r="0" b="0"/>
                  <wp:wrapNone/>
                  <wp:docPr id="396" name="Picture_7518_SpCnt_14"/>
                  <wp:cNvGraphicFramePr/>
                  <a:graphic xmlns:a="http://schemas.openxmlformats.org/drawingml/2006/main">
                    <a:graphicData uri="http://schemas.openxmlformats.org/drawingml/2006/picture">
                      <pic:pic xmlns:pic="http://schemas.openxmlformats.org/drawingml/2006/picture">
                        <pic:nvPicPr>
                          <pic:cNvPr id="396" name="Picture_7518_SpCnt_14"/>
                          <pic:cNvPicPr/>
                        </pic:nvPicPr>
                        <pic:blipFill>
                          <a:blip r:embed="rId15"/>
                          <a:stretch>
                            <a:fillRect/>
                          </a:stretch>
                        </pic:blipFill>
                        <pic:spPr>
                          <a:xfrm>
                            <a:off x="0" y="0"/>
                            <a:ext cx="86995"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19050"/>
                  <wp:effectExtent l="0" t="0" r="0" b="0"/>
                  <wp:wrapNone/>
                  <wp:docPr id="404" name="Picture_593_SpCnt_11"/>
                  <wp:cNvGraphicFramePr/>
                  <a:graphic xmlns:a="http://schemas.openxmlformats.org/drawingml/2006/main">
                    <a:graphicData uri="http://schemas.openxmlformats.org/drawingml/2006/picture">
                      <pic:pic xmlns:pic="http://schemas.openxmlformats.org/drawingml/2006/picture">
                        <pic:nvPicPr>
                          <pic:cNvPr id="404" name="Picture_593_SpCnt_11"/>
                          <pic:cNvPicPr/>
                        </pic:nvPicPr>
                        <pic:blipFill>
                          <a:blip r:embed="rId15"/>
                          <a:stretch>
                            <a:fillRect/>
                          </a:stretch>
                        </pic:blipFill>
                        <pic:spPr>
                          <a:xfrm>
                            <a:off x="0" y="0"/>
                            <a:ext cx="84455" cy="19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180975"/>
                  <wp:effectExtent l="0" t="0" r="0" b="0"/>
                  <wp:wrapNone/>
                  <wp:docPr id="409" name="Picture_7516_SpCnt_17"/>
                  <wp:cNvGraphicFramePr/>
                  <a:graphic xmlns:a="http://schemas.openxmlformats.org/drawingml/2006/main">
                    <a:graphicData uri="http://schemas.openxmlformats.org/drawingml/2006/picture">
                      <pic:pic xmlns:pic="http://schemas.openxmlformats.org/drawingml/2006/picture">
                        <pic:nvPicPr>
                          <pic:cNvPr id="409" name="Picture_7516_SpCnt_17"/>
                          <pic:cNvPicPr/>
                        </pic:nvPicPr>
                        <pic:blipFill>
                          <a:blip r:embed="rId15"/>
                          <a:stretch>
                            <a:fillRect/>
                          </a:stretch>
                        </pic:blipFill>
                        <pic:spPr>
                          <a:xfrm>
                            <a:off x="0" y="0"/>
                            <a:ext cx="84455" cy="1809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455" cy="328930"/>
                  <wp:effectExtent l="0" t="0" r="0" b="0"/>
                  <wp:wrapNone/>
                  <wp:docPr id="412" name="Picture_2_SpCnt_12"/>
                  <wp:cNvGraphicFramePr/>
                  <a:graphic xmlns:a="http://schemas.openxmlformats.org/drawingml/2006/main">
                    <a:graphicData uri="http://schemas.openxmlformats.org/drawingml/2006/picture">
                      <pic:pic xmlns:pic="http://schemas.openxmlformats.org/drawingml/2006/picture">
                        <pic:nvPicPr>
                          <pic:cNvPr id="412" name="Picture_2_SpCnt_12"/>
                          <pic:cNvPicPr/>
                        </pic:nvPicPr>
                        <pic:blipFill>
                          <a:blip r:embed="rId15"/>
                          <a:stretch>
                            <a:fillRect/>
                          </a:stretch>
                        </pic:blipFill>
                        <pic:spPr>
                          <a:xfrm>
                            <a:off x="0" y="0"/>
                            <a:ext cx="84455" cy="32893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320675"/>
                  <wp:effectExtent l="0" t="0" r="0" b="0"/>
                  <wp:wrapNone/>
                  <wp:docPr id="386" name="Picture_3_SpCnt_11"/>
                  <wp:cNvGraphicFramePr/>
                  <a:graphic xmlns:a="http://schemas.openxmlformats.org/drawingml/2006/main">
                    <a:graphicData uri="http://schemas.openxmlformats.org/drawingml/2006/picture">
                      <pic:pic xmlns:pic="http://schemas.openxmlformats.org/drawingml/2006/picture">
                        <pic:nvPicPr>
                          <pic:cNvPr id="386" name="Picture_3_SpCnt_11"/>
                          <pic:cNvPicPr/>
                        </pic:nvPicPr>
                        <pic:blipFill>
                          <a:blip r:embed="rId15"/>
                          <a:stretch>
                            <a:fillRect/>
                          </a:stretch>
                        </pic:blipFill>
                        <pic:spPr>
                          <a:xfrm>
                            <a:off x="0" y="0"/>
                            <a:ext cx="29210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320675"/>
                  <wp:effectExtent l="0" t="0" r="0" b="0"/>
                  <wp:wrapNone/>
                  <wp:docPr id="402" name="Picture_4_SpCnt_9"/>
                  <wp:cNvGraphicFramePr/>
                  <a:graphic xmlns:a="http://schemas.openxmlformats.org/drawingml/2006/main">
                    <a:graphicData uri="http://schemas.openxmlformats.org/drawingml/2006/picture">
                      <pic:pic xmlns:pic="http://schemas.openxmlformats.org/drawingml/2006/picture">
                        <pic:nvPicPr>
                          <pic:cNvPr id="402" name="Picture_4_SpCnt_9"/>
                          <pic:cNvPicPr/>
                        </pic:nvPicPr>
                        <pic:blipFill>
                          <a:blip r:embed="rId15"/>
                          <a:stretch>
                            <a:fillRect/>
                          </a:stretch>
                        </pic:blipFill>
                        <pic:spPr>
                          <a:xfrm>
                            <a:off x="0" y="0"/>
                            <a:ext cx="39243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0160"/>
                  <wp:effectExtent l="0" t="0" r="0" b="0"/>
                  <wp:wrapNone/>
                  <wp:docPr id="383" name="Picture_594_SpCnt_11"/>
                  <wp:cNvGraphicFramePr/>
                  <a:graphic xmlns:a="http://schemas.openxmlformats.org/drawingml/2006/main">
                    <a:graphicData uri="http://schemas.openxmlformats.org/drawingml/2006/picture">
                      <pic:pic xmlns:pic="http://schemas.openxmlformats.org/drawingml/2006/picture">
                        <pic:nvPicPr>
                          <pic:cNvPr id="383" name="Picture_594_SpCnt_11"/>
                          <pic:cNvPicPr/>
                        </pic:nvPicPr>
                        <pic:blipFill>
                          <a:blip r:embed="rId15"/>
                          <a:stretch>
                            <a:fillRect/>
                          </a:stretch>
                        </pic:blipFill>
                        <pic:spPr>
                          <a:xfrm>
                            <a:off x="0" y="0"/>
                            <a:ext cx="29210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0160"/>
                  <wp:effectExtent l="0" t="0" r="0" b="0"/>
                  <wp:wrapNone/>
                  <wp:docPr id="405" name="Picture_593_SpCnt_12"/>
                  <wp:cNvGraphicFramePr/>
                  <a:graphic xmlns:a="http://schemas.openxmlformats.org/drawingml/2006/main">
                    <a:graphicData uri="http://schemas.openxmlformats.org/drawingml/2006/picture">
                      <pic:pic xmlns:pic="http://schemas.openxmlformats.org/drawingml/2006/picture">
                        <pic:nvPicPr>
                          <pic:cNvPr id="405" name="Picture_593_SpCnt_12"/>
                          <pic:cNvPicPr/>
                        </pic:nvPicPr>
                        <pic:blipFill>
                          <a:blip r:embed="rId38"/>
                          <a:stretch>
                            <a:fillRect/>
                          </a:stretch>
                        </pic:blipFill>
                        <pic:spPr>
                          <a:xfrm>
                            <a:off x="0" y="0"/>
                            <a:ext cx="19050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3675"/>
                  <wp:effectExtent l="0" t="0" r="0" b="0"/>
                  <wp:wrapNone/>
                  <wp:docPr id="406" name="Picture_7516_SpCnt_18"/>
                  <wp:cNvGraphicFramePr/>
                  <a:graphic xmlns:a="http://schemas.openxmlformats.org/drawingml/2006/main">
                    <a:graphicData uri="http://schemas.openxmlformats.org/drawingml/2006/picture">
                      <pic:pic xmlns:pic="http://schemas.openxmlformats.org/drawingml/2006/picture">
                        <pic:nvPicPr>
                          <pic:cNvPr id="406" name="Picture_7516_SpCnt_18"/>
                          <pic:cNvPicPr/>
                        </pic:nvPicPr>
                        <pic:blipFill>
                          <a:blip r:embed="rId15"/>
                          <a:stretch>
                            <a:fillRect/>
                          </a:stretch>
                        </pic:blipFill>
                        <pic:spPr>
                          <a:xfrm>
                            <a:off x="0" y="0"/>
                            <a:ext cx="19050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93675"/>
                  <wp:effectExtent l="0" t="0" r="0" b="0"/>
                  <wp:wrapNone/>
                  <wp:docPr id="407" name="Picture_7516_SpCnt_19"/>
                  <wp:cNvGraphicFramePr/>
                  <a:graphic xmlns:a="http://schemas.openxmlformats.org/drawingml/2006/main">
                    <a:graphicData uri="http://schemas.openxmlformats.org/drawingml/2006/picture">
                      <pic:pic xmlns:pic="http://schemas.openxmlformats.org/drawingml/2006/picture">
                        <pic:nvPicPr>
                          <pic:cNvPr id="407" name="Picture_7516_SpCnt_19"/>
                          <pic:cNvPicPr/>
                        </pic:nvPicPr>
                        <pic:blipFill>
                          <a:blip r:embed="rId15"/>
                          <a:stretch>
                            <a:fillRect/>
                          </a:stretch>
                        </pic:blipFill>
                        <pic:spPr>
                          <a:xfrm>
                            <a:off x="0" y="0"/>
                            <a:ext cx="8572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470" cy="466725"/>
                  <wp:effectExtent l="0" t="0" r="0" b="0"/>
                  <wp:wrapNone/>
                  <wp:docPr id="393" name="图片_65_SpCnt_17"/>
                  <wp:cNvGraphicFramePr/>
                  <a:graphic xmlns:a="http://schemas.openxmlformats.org/drawingml/2006/main">
                    <a:graphicData uri="http://schemas.openxmlformats.org/drawingml/2006/picture">
                      <pic:pic xmlns:pic="http://schemas.openxmlformats.org/drawingml/2006/picture">
                        <pic:nvPicPr>
                          <pic:cNvPr id="393" name="图片_65_SpCnt_17"/>
                          <pic:cNvPicPr/>
                        </pic:nvPicPr>
                        <pic:blipFill>
                          <a:blip r:embed="rId34"/>
                          <a:stretch>
                            <a:fillRect/>
                          </a:stretch>
                        </pic:blipFill>
                        <pic:spPr>
                          <a:xfrm>
                            <a:off x="0" y="0"/>
                            <a:ext cx="77470" cy="4667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04470"/>
                  <wp:effectExtent l="0" t="0" r="0" b="0"/>
                  <wp:wrapNone/>
                  <wp:docPr id="408" name="Picture_7517_SpCnt_18"/>
                  <wp:cNvGraphicFramePr/>
                  <a:graphic xmlns:a="http://schemas.openxmlformats.org/drawingml/2006/main">
                    <a:graphicData uri="http://schemas.openxmlformats.org/drawingml/2006/picture">
                      <pic:pic xmlns:pic="http://schemas.openxmlformats.org/drawingml/2006/picture">
                        <pic:nvPicPr>
                          <pic:cNvPr id="408" name="Picture_7517_SpCnt_18"/>
                          <pic:cNvPicPr/>
                        </pic:nvPicPr>
                        <pic:blipFill>
                          <a:blip r:embed="rId15"/>
                          <a:stretch>
                            <a:fillRect/>
                          </a:stretch>
                        </pic:blipFill>
                        <pic:spPr>
                          <a:xfrm>
                            <a:off x="0" y="0"/>
                            <a:ext cx="85725" cy="204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204470"/>
                  <wp:effectExtent l="0" t="0" r="0" b="0"/>
                  <wp:wrapNone/>
                  <wp:docPr id="387" name="Picture_7516_SpCnt_20"/>
                  <wp:cNvGraphicFramePr/>
                  <a:graphic xmlns:a="http://schemas.openxmlformats.org/drawingml/2006/main">
                    <a:graphicData uri="http://schemas.openxmlformats.org/drawingml/2006/picture">
                      <pic:pic xmlns:pic="http://schemas.openxmlformats.org/drawingml/2006/picture">
                        <pic:nvPicPr>
                          <pic:cNvPr id="387" name="Picture_7516_SpCnt_20"/>
                          <pic:cNvPicPr/>
                        </pic:nvPicPr>
                        <pic:blipFill>
                          <a:blip r:embed="rId15"/>
                          <a:stretch>
                            <a:fillRect/>
                          </a:stretch>
                        </pic:blipFill>
                        <pic:spPr>
                          <a:xfrm>
                            <a:off x="0" y="0"/>
                            <a:ext cx="86995" cy="204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9050"/>
                  <wp:effectExtent l="0" t="0" r="0" b="0"/>
                  <wp:wrapNone/>
                  <wp:docPr id="388" name="Picture_594_SpCnt_12"/>
                  <wp:cNvGraphicFramePr/>
                  <a:graphic xmlns:a="http://schemas.openxmlformats.org/drawingml/2006/main">
                    <a:graphicData uri="http://schemas.openxmlformats.org/drawingml/2006/picture">
                      <pic:pic xmlns:pic="http://schemas.openxmlformats.org/drawingml/2006/picture">
                        <pic:nvPicPr>
                          <pic:cNvPr id="388" name="Picture_594_SpCnt_12"/>
                          <pic:cNvPicPr/>
                        </pic:nvPicPr>
                        <pic:blipFill>
                          <a:blip r:embed="rId15"/>
                          <a:stretch>
                            <a:fillRect/>
                          </a:stretch>
                        </pic:blipFill>
                        <pic:spPr>
                          <a:xfrm>
                            <a:off x="0" y="0"/>
                            <a:ext cx="85725" cy="19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262255"/>
                  <wp:effectExtent l="0" t="0" r="0" b="0"/>
                  <wp:wrapNone/>
                  <wp:docPr id="390" name="Picture_8_SpCnt_21"/>
                  <wp:cNvGraphicFramePr/>
                  <a:graphic xmlns:a="http://schemas.openxmlformats.org/drawingml/2006/main">
                    <a:graphicData uri="http://schemas.openxmlformats.org/drawingml/2006/picture">
                      <pic:pic xmlns:pic="http://schemas.openxmlformats.org/drawingml/2006/picture">
                        <pic:nvPicPr>
                          <pic:cNvPr id="390" name="Picture_8_SpCnt_21"/>
                          <pic:cNvPicPr/>
                        </pic:nvPicPr>
                        <pic:blipFill>
                          <a:blip r:embed="rId15"/>
                          <a:stretch>
                            <a:fillRect/>
                          </a:stretch>
                        </pic:blipFill>
                        <pic:spPr>
                          <a:xfrm>
                            <a:off x="0" y="0"/>
                            <a:ext cx="8699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6510"/>
                  <wp:effectExtent l="0" t="0" r="0" b="0"/>
                  <wp:wrapNone/>
                  <wp:docPr id="389" name="Picture_595_SpCnt_10"/>
                  <wp:cNvGraphicFramePr/>
                  <a:graphic xmlns:a="http://schemas.openxmlformats.org/drawingml/2006/main">
                    <a:graphicData uri="http://schemas.openxmlformats.org/drawingml/2006/picture">
                      <pic:pic xmlns:pic="http://schemas.openxmlformats.org/drawingml/2006/picture">
                        <pic:nvPicPr>
                          <pic:cNvPr id="389" name="Picture_595_SpCnt_10"/>
                          <pic:cNvPicPr/>
                        </pic:nvPicPr>
                        <pic:blipFill>
                          <a:blip r:embed="rId15"/>
                          <a:stretch>
                            <a:fillRect/>
                          </a:stretch>
                        </pic:blipFill>
                        <pic:spPr>
                          <a:xfrm>
                            <a:off x="0" y="0"/>
                            <a:ext cx="86995" cy="165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19050"/>
                  <wp:effectExtent l="0" t="0" r="0" b="0"/>
                  <wp:wrapNone/>
                  <wp:docPr id="417" name="Picture_593_SpCnt_13"/>
                  <wp:cNvGraphicFramePr/>
                  <a:graphic xmlns:a="http://schemas.openxmlformats.org/drawingml/2006/main">
                    <a:graphicData uri="http://schemas.openxmlformats.org/drawingml/2006/picture">
                      <pic:pic xmlns:pic="http://schemas.openxmlformats.org/drawingml/2006/picture">
                        <pic:nvPicPr>
                          <pic:cNvPr id="417" name="Picture_593_SpCnt_13"/>
                          <pic:cNvPicPr/>
                        </pic:nvPicPr>
                        <pic:blipFill>
                          <a:blip r:embed="rId15"/>
                          <a:stretch>
                            <a:fillRect/>
                          </a:stretch>
                        </pic:blipFill>
                        <pic:spPr>
                          <a:xfrm>
                            <a:off x="0" y="0"/>
                            <a:ext cx="86995" cy="19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328930"/>
                  <wp:effectExtent l="0" t="0" r="0" b="0"/>
                  <wp:wrapNone/>
                  <wp:docPr id="415" name="Picture_3_SpCnt_12"/>
                  <wp:cNvGraphicFramePr/>
                  <a:graphic xmlns:a="http://schemas.openxmlformats.org/drawingml/2006/main">
                    <a:graphicData uri="http://schemas.openxmlformats.org/drawingml/2006/picture">
                      <pic:pic xmlns:pic="http://schemas.openxmlformats.org/drawingml/2006/picture">
                        <pic:nvPicPr>
                          <pic:cNvPr id="415" name="Picture_3_SpCnt_12"/>
                          <pic:cNvPicPr/>
                        </pic:nvPicPr>
                        <pic:blipFill>
                          <a:blip r:embed="rId15"/>
                          <a:stretch>
                            <a:fillRect/>
                          </a:stretch>
                        </pic:blipFill>
                        <pic:spPr>
                          <a:xfrm>
                            <a:off x="0" y="0"/>
                            <a:ext cx="85725" cy="32893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62255"/>
                  <wp:effectExtent l="0" t="0" r="0" b="0"/>
                  <wp:wrapNone/>
                  <wp:docPr id="416" name="Picture_7_SpCnt_19"/>
                  <wp:cNvGraphicFramePr/>
                  <a:graphic xmlns:a="http://schemas.openxmlformats.org/drawingml/2006/main">
                    <a:graphicData uri="http://schemas.openxmlformats.org/drawingml/2006/picture">
                      <pic:pic xmlns:pic="http://schemas.openxmlformats.org/drawingml/2006/picture">
                        <pic:nvPicPr>
                          <pic:cNvPr id="416" name="Picture_7_SpCnt_19"/>
                          <pic:cNvPicPr/>
                        </pic:nvPicPr>
                        <pic:blipFill>
                          <a:blip r:embed="rId15"/>
                          <a:stretch>
                            <a:fillRect/>
                          </a:stretch>
                        </pic:blipFill>
                        <pic:spPr>
                          <a:xfrm>
                            <a:off x="0" y="0"/>
                            <a:ext cx="8572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4765"/>
                  <wp:effectExtent l="0" t="0" r="0" b="0"/>
                  <wp:wrapNone/>
                  <wp:docPr id="134" name="Picture_597_SpCnt_9"/>
                  <wp:cNvGraphicFramePr/>
                  <a:graphic xmlns:a="http://schemas.openxmlformats.org/drawingml/2006/main">
                    <a:graphicData uri="http://schemas.openxmlformats.org/drawingml/2006/picture">
                      <pic:pic xmlns:pic="http://schemas.openxmlformats.org/drawingml/2006/picture">
                        <pic:nvPicPr>
                          <pic:cNvPr id="134" name="Picture_597_SpCnt_9"/>
                          <pic:cNvPicPr/>
                        </pic:nvPicPr>
                        <pic:blipFill>
                          <a:blip r:embed="rId15"/>
                          <a:stretch>
                            <a:fillRect/>
                          </a:stretch>
                        </pic:blipFill>
                        <pic:spPr>
                          <a:xfrm>
                            <a:off x="0" y="0"/>
                            <a:ext cx="514350"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273050"/>
                  <wp:effectExtent l="0" t="0" r="0" b="0"/>
                  <wp:wrapNone/>
                  <wp:docPr id="116" name="Picture_7_SpCnt_20"/>
                  <wp:cNvGraphicFramePr/>
                  <a:graphic xmlns:a="http://schemas.openxmlformats.org/drawingml/2006/main">
                    <a:graphicData uri="http://schemas.openxmlformats.org/drawingml/2006/picture">
                      <pic:pic xmlns:pic="http://schemas.openxmlformats.org/drawingml/2006/picture">
                        <pic:nvPicPr>
                          <pic:cNvPr id="116" name="Picture_7_SpCnt_20"/>
                          <pic:cNvPicPr/>
                        </pic:nvPicPr>
                        <pic:blipFill>
                          <a:blip r:embed="rId15"/>
                          <a:stretch>
                            <a:fillRect/>
                          </a:stretch>
                        </pic:blipFill>
                        <pic:spPr>
                          <a:xfrm>
                            <a:off x="0" y="0"/>
                            <a:ext cx="8572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328930"/>
                  <wp:effectExtent l="0" t="0" r="0" b="0"/>
                  <wp:wrapNone/>
                  <wp:docPr id="122" name="Picture_2_SpCnt_13"/>
                  <wp:cNvGraphicFramePr/>
                  <a:graphic xmlns:a="http://schemas.openxmlformats.org/drawingml/2006/main">
                    <a:graphicData uri="http://schemas.openxmlformats.org/drawingml/2006/picture">
                      <pic:pic xmlns:pic="http://schemas.openxmlformats.org/drawingml/2006/picture">
                        <pic:nvPicPr>
                          <pic:cNvPr id="122" name="Picture_2_SpCnt_13"/>
                          <pic:cNvPicPr/>
                        </pic:nvPicPr>
                        <pic:blipFill>
                          <a:blip r:embed="rId15"/>
                          <a:stretch>
                            <a:fillRect/>
                          </a:stretch>
                        </pic:blipFill>
                        <pic:spPr>
                          <a:xfrm>
                            <a:off x="0" y="0"/>
                            <a:ext cx="86995" cy="32893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6265" cy="273050"/>
                  <wp:effectExtent l="0" t="0" r="0" b="0"/>
                  <wp:wrapNone/>
                  <wp:docPr id="123" name="Picture_7_SpCnt_21"/>
                  <wp:cNvGraphicFramePr/>
                  <a:graphic xmlns:a="http://schemas.openxmlformats.org/drawingml/2006/main">
                    <a:graphicData uri="http://schemas.openxmlformats.org/drawingml/2006/picture">
                      <pic:pic xmlns:pic="http://schemas.openxmlformats.org/drawingml/2006/picture">
                        <pic:nvPicPr>
                          <pic:cNvPr id="123" name="Picture_7_SpCnt_21"/>
                          <pic:cNvPicPr/>
                        </pic:nvPicPr>
                        <pic:blipFill>
                          <a:blip r:embed="rId15"/>
                          <a:stretch>
                            <a:fillRect/>
                          </a:stretch>
                        </pic:blipFill>
                        <pic:spPr>
                          <a:xfrm>
                            <a:off x="0" y="0"/>
                            <a:ext cx="59626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995" cy="316865"/>
                  <wp:effectExtent l="0" t="0" r="0" b="0"/>
                  <wp:wrapNone/>
                  <wp:docPr id="132" name="Picture_4_SpCnt_10"/>
                  <wp:cNvGraphicFramePr/>
                  <a:graphic xmlns:a="http://schemas.openxmlformats.org/drawingml/2006/main">
                    <a:graphicData uri="http://schemas.openxmlformats.org/drawingml/2006/picture">
                      <pic:pic xmlns:pic="http://schemas.openxmlformats.org/drawingml/2006/picture">
                        <pic:nvPicPr>
                          <pic:cNvPr id="132" name="Picture_4_SpCnt_10"/>
                          <pic:cNvPicPr/>
                        </pic:nvPicPr>
                        <pic:blipFill>
                          <a:blip r:embed="rId15"/>
                          <a:stretch>
                            <a:fillRect/>
                          </a:stretch>
                        </pic:blipFill>
                        <pic:spPr>
                          <a:xfrm>
                            <a:off x="0" y="0"/>
                            <a:ext cx="8699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8800" cy="273050"/>
                  <wp:effectExtent l="0" t="0" r="0" b="0"/>
                  <wp:wrapNone/>
                  <wp:docPr id="133" name="Picture_8_SpCnt_22"/>
                  <wp:cNvGraphicFramePr/>
                  <a:graphic xmlns:a="http://schemas.openxmlformats.org/drawingml/2006/main">
                    <a:graphicData uri="http://schemas.openxmlformats.org/drawingml/2006/picture">
                      <pic:pic xmlns:pic="http://schemas.openxmlformats.org/drawingml/2006/picture">
                        <pic:nvPicPr>
                          <pic:cNvPr id="133" name="Picture_8_SpCnt_22"/>
                          <pic:cNvPicPr/>
                        </pic:nvPicPr>
                        <pic:blipFill>
                          <a:blip r:embed="rId15"/>
                          <a:stretch>
                            <a:fillRect/>
                          </a:stretch>
                        </pic:blipFill>
                        <pic:spPr>
                          <a:xfrm>
                            <a:off x="0" y="0"/>
                            <a:ext cx="55880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64820"/>
                  <wp:effectExtent l="0" t="0" r="0" b="0"/>
                  <wp:wrapNone/>
                  <wp:docPr id="138" name="图片_65_SpCnt_18"/>
                  <wp:cNvGraphicFramePr/>
                  <a:graphic xmlns:a="http://schemas.openxmlformats.org/drawingml/2006/main">
                    <a:graphicData uri="http://schemas.openxmlformats.org/drawingml/2006/picture">
                      <pic:pic xmlns:pic="http://schemas.openxmlformats.org/drawingml/2006/picture">
                        <pic:nvPicPr>
                          <pic:cNvPr id="138" name="图片_65_SpCnt_18"/>
                          <pic:cNvPicPr/>
                        </pic:nvPicPr>
                        <pic:blipFill>
                          <a:blip r:embed="rId34"/>
                          <a:stretch>
                            <a:fillRect/>
                          </a:stretch>
                        </pic:blipFill>
                        <pic:spPr>
                          <a:xfrm>
                            <a:off x="0" y="0"/>
                            <a:ext cx="7620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4820"/>
                  <wp:effectExtent l="0" t="0" r="0" b="0"/>
                  <wp:wrapNone/>
                  <wp:docPr id="137" name="图片_63_SpCnt_11"/>
                  <wp:cNvGraphicFramePr/>
                  <a:graphic xmlns:a="http://schemas.openxmlformats.org/drawingml/2006/main">
                    <a:graphicData uri="http://schemas.openxmlformats.org/drawingml/2006/picture">
                      <pic:pic xmlns:pic="http://schemas.openxmlformats.org/drawingml/2006/picture">
                        <pic:nvPicPr>
                          <pic:cNvPr id="137" name="图片_63_SpCnt_11"/>
                          <pic:cNvPicPr/>
                        </pic:nvPicPr>
                        <pic:blipFill>
                          <a:blip r:embed="rId41"/>
                          <a:stretch>
                            <a:fillRect/>
                          </a:stretch>
                        </pic:blipFill>
                        <pic:spPr>
                          <a:xfrm>
                            <a:off x="0" y="0"/>
                            <a:ext cx="27305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290" cy="316865"/>
                  <wp:effectExtent l="0" t="0" r="0" b="0"/>
                  <wp:wrapNone/>
                  <wp:docPr id="124" name="Picture_6_SpCnt_4"/>
                  <wp:cNvGraphicFramePr/>
                  <a:graphic xmlns:a="http://schemas.openxmlformats.org/drawingml/2006/main">
                    <a:graphicData uri="http://schemas.openxmlformats.org/drawingml/2006/picture">
                      <pic:pic xmlns:pic="http://schemas.openxmlformats.org/drawingml/2006/picture">
                        <pic:nvPicPr>
                          <pic:cNvPr id="124" name="Picture_6_SpCnt_4"/>
                          <pic:cNvPicPr/>
                        </pic:nvPicPr>
                        <pic:blipFill>
                          <a:blip r:embed="rId43"/>
                          <a:stretch>
                            <a:fillRect/>
                          </a:stretch>
                        </pic:blipFill>
                        <pic:spPr>
                          <a:xfrm>
                            <a:off x="0" y="0"/>
                            <a:ext cx="54229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320675"/>
                  <wp:effectExtent l="0" t="0" r="0" b="0"/>
                  <wp:wrapNone/>
                  <wp:docPr id="125" name="Picture_2_SpCnt_14"/>
                  <wp:cNvGraphicFramePr/>
                  <a:graphic xmlns:a="http://schemas.openxmlformats.org/drawingml/2006/main">
                    <a:graphicData uri="http://schemas.openxmlformats.org/drawingml/2006/picture">
                      <pic:pic xmlns:pic="http://schemas.openxmlformats.org/drawingml/2006/picture">
                        <pic:nvPicPr>
                          <pic:cNvPr id="125" name="Picture_2_SpCnt_14"/>
                          <pic:cNvPicPr/>
                        </pic:nvPicPr>
                        <pic:blipFill>
                          <a:blip r:embed="rId73"/>
                          <a:stretch>
                            <a:fillRect/>
                          </a:stretch>
                        </pic:blipFill>
                        <pic:spPr>
                          <a:xfrm>
                            <a:off x="0" y="0"/>
                            <a:ext cx="190500" cy="320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24765"/>
                  <wp:effectExtent l="0" t="0" r="0" b="0"/>
                  <wp:wrapNone/>
                  <wp:docPr id="127" name="Picture_596_SpCnt_10"/>
                  <wp:cNvGraphicFramePr/>
                  <a:graphic xmlns:a="http://schemas.openxmlformats.org/drawingml/2006/main">
                    <a:graphicData uri="http://schemas.openxmlformats.org/drawingml/2006/picture">
                      <pic:pic xmlns:pic="http://schemas.openxmlformats.org/drawingml/2006/picture">
                        <pic:nvPicPr>
                          <pic:cNvPr id="127" name="Picture_596_SpCnt_10"/>
                          <pic:cNvPicPr/>
                        </pic:nvPicPr>
                        <pic:blipFill>
                          <a:blip r:embed="rId15"/>
                          <a:stretch>
                            <a:fillRect/>
                          </a:stretch>
                        </pic:blipFill>
                        <pic:spPr>
                          <a:xfrm>
                            <a:off x="0" y="0"/>
                            <a:ext cx="49720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1020" cy="273050"/>
                  <wp:effectExtent l="0" t="0" r="0" b="0"/>
                  <wp:wrapNone/>
                  <wp:docPr id="113" name="Picture_7_SpCnt_22"/>
                  <wp:cNvGraphicFramePr/>
                  <a:graphic xmlns:a="http://schemas.openxmlformats.org/drawingml/2006/main">
                    <a:graphicData uri="http://schemas.openxmlformats.org/drawingml/2006/picture">
                      <pic:pic xmlns:pic="http://schemas.openxmlformats.org/drawingml/2006/picture">
                        <pic:nvPicPr>
                          <pic:cNvPr id="113" name="Picture_7_SpCnt_22"/>
                          <pic:cNvPicPr/>
                        </pic:nvPicPr>
                        <pic:blipFill>
                          <a:blip r:embed="rId59"/>
                          <a:stretch>
                            <a:fillRect/>
                          </a:stretch>
                        </pic:blipFill>
                        <pic:spPr>
                          <a:xfrm>
                            <a:off x="0" y="0"/>
                            <a:ext cx="54102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4820"/>
                  <wp:effectExtent l="0" t="0" r="0" b="0"/>
                  <wp:wrapNone/>
                  <wp:docPr id="114" name="图片_63_SpCnt_12"/>
                  <wp:cNvGraphicFramePr/>
                  <a:graphic xmlns:a="http://schemas.openxmlformats.org/drawingml/2006/main">
                    <a:graphicData uri="http://schemas.openxmlformats.org/drawingml/2006/picture">
                      <pic:pic xmlns:pic="http://schemas.openxmlformats.org/drawingml/2006/picture">
                        <pic:nvPicPr>
                          <pic:cNvPr id="114" name="图片_63_SpCnt_12"/>
                          <pic:cNvPicPr/>
                        </pic:nvPicPr>
                        <pic:blipFill>
                          <a:blip r:embed="rId41"/>
                          <a:stretch>
                            <a:fillRect/>
                          </a:stretch>
                        </pic:blipFill>
                        <pic:spPr>
                          <a:xfrm>
                            <a:off x="0" y="0"/>
                            <a:ext cx="27305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56565"/>
                  <wp:effectExtent l="0" t="0" r="0" b="0"/>
                  <wp:wrapNone/>
                  <wp:docPr id="117" name="图片_65_SpCnt_19"/>
                  <wp:cNvGraphicFramePr/>
                  <a:graphic xmlns:a="http://schemas.openxmlformats.org/drawingml/2006/main">
                    <a:graphicData uri="http://schemas.openxmlformats.org/drawingml/2006/picture">
                      <pic:pic xmlns:pic="http://schemas.openxmlformats.org/drawingml/2006/picture">
                        <pic:nvPicPr>
                          <pic:cNvPr id="117" name="图片_65_SpCnt_19"/>
                          <pic:cNvPicPr/>
                        </pic:nvPicPr>
                        <pic:blipFill>
                          <a:blip r:embed="rId74"/>
                          <a:stretch>
                            <a:fillRect/>
                          </a:stretch>
                        </pic:blipFill>
                        <pic:spPr>
                          <a:xfrm>
                            <a:off x="0" y="0"/>
                            <a:ext cx="76200"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316865"/>
                  <wp:effectExtent l="0" t="0" r="0" b="0"/>
                  <wp:wrapNone/>
                  <wp:docPr id="136" name="Picture_4_SpCnt_11"/>
                  <wp:cNvGraphicFramePr/>
                  <a:graphic xmlns:a="http://schemas.openxmlformats.org/drawingml/2006/main">
                    <a:graphicData uri="http://schemas.openxmlformats.org/drawingml/2006/picture">
                      <pic:pic xmlns:pic="http://schemas.openxmlformats.org/drawingml/2006/picture">
                        <pic:nvPicPr>
                          <pic:cNvPr id="136" name="Picture_4_SpCnt_11"/>
                          <pic:cNvPicPr/>
                        </pic:nvPicPr>
                        <pic:blipFill>
                          <a:blip r:embed="rId49"/>
                          <a:stretch>
                            <a:fillRect/>
                          </a:stretch>
                        </pic:blipFill>
                        <pic:spPr>
                          <a:xfrm>
                            <a:off x="0" y="0"/>
                            <a:ext cx="37084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0160"/>
                  <wp:effectExtent l="0" t="0" r="0" b="0"/>
                  <wp:wrapNone/>
                  <wp:docPr id="120" name="Picture_596_SpCnt_11"/>
                  <wp:cNvGraphicFramePr/>
                  <a:graphic xmlns:a="http://schemas.openxmlformats.org/drawingml/2006/main">
                    <a:graphicData uri="http://schemas.openxmlformats.org/drawingml/2006/picture">
                      <pic:pic xmlns:pic="http://schemas.openxmlformats.org/drawingml/2006/picture">
                        <pic:nvPicPr>
                          <pic:cNvPr id="120" name="Picture_596_SpCnt_11"/>
                          <pic:cNvPicPr/>
                        </pic:nvPicPr>
                        <pic:blipFill>
                          <a:blip r:embed="rId47"/>
                          <a:stretch>
                            <a:fillRect/>
                          </a:stretch>
                        </pic:blipFill>
                        <pic:spPr>
                          <a:xfrm>
                            <a:off x="0" y="0"/>
                            <a:ext cx="46736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290" cy="10160"/>
                  <wp:effectExtent l="0" t="0" r="0" b="0"/>
                  <wp:wrapNone/>
                  <wp:docPr id="126" name="Picture_597_SpCnt_10"/>
                  <wp:cNvGraphicFramePr/>
                  <a:graphic xmlns:a="http://schemas.openxmlformats.org/drawingml/2006/main">
                    <a:graphicData uri="http://schemas.openxmlformats.org/drawingml/2006/picture">
                      <pic:pic xmlns:pic="http://schemas.openxmlformats.org/drawingml/2006/picture">
                        <pic:nvPicPr>
                          <pic:cNvPr id="126" name="Picture_597_SpCnt_10"/>
                          <pic:cNvPicPr/>
                        </pic:nvPicPr>
                        <pic:blipFill>
                          <a:blip r:embed="rId45"/>
                          <a:stretch>
                            <a:fillRect/>
                          </a:stretch>
                        </pic:blipFill>
                        <pic:spPr>
                          <a:xfrm>
                            <a:off x="0" y="0"/>
                            <a:ext cx="54229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93675"/>
                  <wp:effectExtent l="0" t="0" r="0" b="0"/>
                  <wp:wrapNone/>
                  <wp:docPr id="135" name="Picture_7519_SpCnt_12"/>
                  <wp:cNvGraphicFramePr/>
                  <a:graphic xmlns:a="http://schemas.openxmlformats.org/drawingml/2006/main">
                    <a:graphicData uri="http://schemas.openxmlformats.org/drawingml/2006/picture">
                      <pic:pic xmlns:pic="http://schemas.openxmlformats.org/drawingml/2006/picture">
                        <pic:nvPicPr>
                          <pic:cNvPr id="135" name="Picture_7519_SpCnt_12"/>
                          <pic:cNvPicPr/>
                        </pic:nvPicPr>
                        <pic:blipFill>
                          <a:blip r:embed="rId46"/>
                          <a:stretch>
                            <a:fillRect/>
                          </a:stretch>
                        </pic:blipFill>
                        <pic:spPr>
                          <a:xfrm>
                            <a:off x="0" y="0"/>
                            <a:ext cx="46736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93675"/>
                  <wp:effectExtent l="0" t="0" r="0" b="0"/>
                  <wp:wrapNone/>
                  <wp:docPr id="110" name="Picture_7517_SpCnt_19"/>
                  <wp:cNvGraphicFramePr/>
                  <a:graphic xmlns:a="http://schemas.openxmlformats.org/drawingml/2006/main">
                    <a:graphicData uri="http://schemas.openxmlformats.org/drawingml/2006/picture">
                      <pic:pic xmlns:pic="http://schemas.openxmlformats.org/drawingml/2006/picture">
                        <pic:nvPicPr>
                          <pic:cNvPr id="110" name="Picture_7517_SpCnt_19"/>
                          <pic:cNvPicPr/>
                        </pic:nvPicPr>
                        <pic:blipFill>
                          <a:blip r:embed="rId52"/>
                          <a:stretch>
                            <a:fillRect/>
                          </a:stretch>
                        </pic:blipFill>
                        <pic:spPr>
                          <a:xfrm>
                            <a:off x="0" y="0"/>
                            <a:ext cx="27622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24765"/>
                  <wp:effectExtent l="0" t="0" r="0" b="0"/>
                  <wp:wrapNone/>
                  <wp:docPr id="121" name="Picture_595_SpCnt_11"/>
                  <wp:cNvGraphicFramePr/>
                  <a:graphic xmlns:a="http://schemas.openxmlformats.org/drawingml/2006/main">
                    <a:graphicData uri="http://schemas.openxmlformats.org/drawingml/2006/picture">
                      <pic:pic xmlns:pic="http://schemas.openxmlformats.org/drawingml/2006/picture">
                        <pic:nvPicPr>
                          <pic:cNvPr id="121" name="Picture_595_SpCnt_11"/>
                          <pic:cNvPicPr/>
                        </pic:nvPicPr>
                        <pic:blipFill>
                          <a:blip r:embed="rId15"/>
                          <a:stretch>
                            <a:fillRect/>
                          </a:stretch>
                        </pic:blipFill>
                        <pic:spPr>
                          <a:xfrm>
                            <a:off x="0" y="0"/>
                            <a:ext cx="392430"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316865"/>
                  <wp:effectExtent l="0" t="0" r="0" b="0"/>
                  <wp:wrapNone/>
                  <wp:docPr id="139" name="Picture_3_SpCnt_13"/>
                  <wp:cNvGraphicFramePr/>
                  <a:graphic xmlns:a="http://schemas.openxmlformats.org/drawingml/2006/main">
                    <a:graphicData uri="http://schemas.openxmlformats.org/drawingml/2006/picture">
                      <pic:pic xmlns:pic="http://schemas.openxmlformats.org/drawingml/2006/picture">
                        <pic:nvPicPr>
                          <pic:cNvPr id="139" name="Picture_3_SpCnt_13"/>
                          <pic:cNvPicPr/>
                        </pic:nvPicPr>
                        <pic:blipFill>
                          <a:blip r:embed="rId50"/>
                          <a:stretch>
                            <a:fillRect/>
                          </a:stretch>
                        </pic:blipFill>
                        <pic:spPr>
                          <a:xfrm>
                            <a:off x="0" y="0"/>
                            <a:ext cx="27622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93675"/>
                  <wp:effectExtent l="0" t="0" r="0" b="0"/>
                  <wp:wrapNone/>
                  <wp:docPr id="128" name="Picture_7518_SpCnt_15"/>
                  <wp:cNvGraphicFramePr/>
                  <a:graphic xmlns:a="http://schemas.openxmlformats.org/drawingml/2006/main">
                    <a:graphicData uri="http://schemas.openxmlformats.org/drawingml/2006/picture">
                      <pic:pic xmlns:pic="http://schemas.openxmlformats.org/drawingml/2006/picture">
                        <pic:nvPicPr>
                          <pic:cNvPr id="128" name="Picture_7518_SpCnt_15"/>
                          <pic:cNvPicPr/>
                        </pic:nvPicPr>
                        <pic:blipFill>
                          <a:blip r:embed="rId48"/>
                          <a:stretch>
                            <a:fillRect/>
                          </a:stretch>
                        </pic:blipFill>
                        <pic:spPr>
                          <a:xfrm>
                            <a:off x="0" y="0"/>
                            <a:ext cx="37084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93675"/>
                  <wp:effectExtent l="0" t="0" r="0" b="0"/>
                  <wp:wrapNone/>
                  <wp:docPr id="115" name="Picture_7516_SpCnt_21"/>
                  <wp:cNvGraphicFramePr/>
                  <a:graphic xmlns:a="http://schemas.openxmlformats.org/drawingml/2006/main">
                    <a:graphicData uri="http://schemas.openxmlformats.org/drawingml/2006/picture">
                      <pic:pic xmlns:pic="http://schemas.openxmlformats.org/drawingml/2006/picture">
                        <pic:nvPicPr>
                          <pic:cNvPr id="115" name="Picture_7516_SpCnt_21"/>
                          <pic:cNvPicPr/>
                        </pic:nvPicPr>
                        <pic:blipFill>
                          <a:blip r:embed="rId54"/>
                          <a:stretch>
                            <a:fillRect/>
                          </a:stretch>
                        </pic:blipFill>
                        <pic:spPr>
                          <a:xfrm>
                            <a:off x="0" y="0"/>
                            <a:ext cx="17970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0160"/>
                  <wp:effectExtent l="0" t="0" r="0" b="0"/>
                  <wp:wrapNone/>
                  <wp:docPr id="111" name="Picture_595_SpCnt_12"/>
                  <wp:cNvGraphicFramePr/>
                  <a:graphic xmlns:a="http://schemas.openxmlformats.org/drawingml/2006/main">
                    <a:graphicData uri="http://schemas.openxmlformats.org/drawingml/2006/picture">
                      <pic:pic xmlns:pic="http://schemas.openxmlformats.org/drawingml/2006/picture">
                        <pic:nvPicPr>
                          <pic:cNvPr id="111" name="Picture_595_SpCnt_12"/>
                          <pic:cNvPicPr/>
                        </pic:nvPicPr>
                        <pic:blipFill>
                          <a:blip r:embed="rId75"/>
                          <a:stretch>
                            <a:fillRect/>
                          </a:stretch>
                        </pic:blipFill>
                        <pic:spPr>
                          <a:xfrm>
                            <a:off x="0" y="0"/>
                            <a:ext cx="37084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316865"/>
                  <wp:effectExtent l="0" t="0" r="0" b="0"/>
                  <wp:wrapNone/>
                  <wp:docPr id="108" name="Picture_2_SpCnt_15"/>
                  <wp:cNvGraphicFramePr/>
                  <a:graphic xmlns:a="http://schemas.openxmlformats.org/drawingml/2006/main">
                    <a:graphicData uri="http://schemas.openxmlformats.org/drawingml/2006/picture">
                      <pic:pic xmlns:pic="http://schemas.openxmlformats.org/drawingml/2006/picture">
                        <pic:nvPicPr>
                          <pic:cNvPr id="108" name="Picture_2_SpCnt_15"/>
                          <pic:cNvPicPr/>
                        </pic:nvPicPr>
                        <pic:blipFill>
                          <a:blip r:embed="rId55"/>
                          <a:stretch>
                            <a:fillRect/>
                          </a:stretch>
                        </pic:blipFill>
                        <pic:spPr>
                          <a:xfrm>
                            <a:off x="0" y="0"/>
                            <a:ext cx="17970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0160"/>
                  <wp:effectExtent l="0" t="0" r="0" b="0"/>
                  <wp:wrapNone/>
                  <wp:docPr id="112" name="Picture_594_SpCnt_13"/>
                  <wp:cNvGraphicFramePr/>
                  <a:graphic xmlns:a="http://schemas.openxmlformats.org/drawingml/2006/main">
                    <a:graphicData uri="http://schemas.openxmlformats.org/drawingml/2006/picture">
                      <pic:pic xmlns:pic="http://schemas.openxmlformats.org/drawingml/2006/picture">
                        <pic:nvPicPr>
                          <pic:cNvPr id="112" name="Picture_594_SpCnt_13"/>
                          <pic:cNvPicPr/>
                        </pic:nvPicPr>
                        <pic:blipFill>
                          <a:blip r:embed="rId76"/>
                          <a:stretch>
                            <a:fillRect/>
                          </a:stretch>
                        </pic:blipFill>
                        <pic:spPr>
                          <a:xfrm>
                            <a:off x="0" y="0"/>
                            <a:ext cx="27622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85420"/>
                  <wp:effectExtent l="0" t="0" r="0" b="0"/>
                  <wp:wrapNone/>
                  <wp:docPr id="118" name="Picture_7519_SpCnt_13"/>
                  <wp:cNvGraphicFramePr/>
                  <a:graphic xmlns:a="http://schemas.openxmlformats.org/drawingml/2006/main">
                    <a:graphicData uri="http://schemas.openxmlformats.org/drawingml/2006/picture">
                      <pic:pic xmlns:pic="http://schemas.openxmlformats.org/drawingml/2006/picture">
                        <pic:nvPicPr>
                          <pic:cNvPr id="118" name="Picture_7519_SpCnt_13"/>
                          <pic:cNvPicPr/>
                        </pic:nvPicPr>
                        <pic:blipFill>
                          <a:blip r:embed="rId15"/>
                          <a:stretch>
                            <a:fillRect/>
                          </a:stretch>
                        </pic:blipFill>
                        <pic:spPr>
                          <a:xfrm>
                            <a:off x="0" y="0"/>
                            <a:ext cx="467360" cy="1854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0160"/>
                  <wp:effectExtent l="0" t="0" r="0" b="0"/>
                  <wp:wrapNone/>
                  <wp:docPr id="109" name="Picture_593_SpCnt_14"/>
                  <wp:cNvGraphicFramePr/>
                  <a:graphic xmlns:a="http://schemas.openxmlformats.org/drawingml/2006/main">
                    <a:graphicData uri="http://schemas.openxmlformats.org/drawingml/2006/picture">
                      <pic:pic xmlns:pic="http://schemas.openxmlformats.org/drawingml/2006/picture">
                        <pic:nvPicPr>
                          <pic:cNvPr id="109" name="Picture_593_SpCnt_14"/>
                          <pic:cNvPicPr/>
                        </pic:nvPicPr>
                        <pic:blipFill>
                          <a:blip r:embed="rId77"/>
                          <a:stretch>
                            <a:fillRect/>
                          </a:stretch>
                        </pic:blipFill>
                        <pic:spPr>
                          <a:xfrm>
                            <a:off x="0" y="0"/>
                            <a:ext cx="17970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290" cy="12700"/>
                  <wp:effectExtent l="0" t="0" r="0" b="0"/>
                  <wp:wrapNone/>
                  <wp:docPr id="119" name="Picture_597_SpCnt_11"/>
                  <wp:cNvGraphicFramePr/>
                  <a:graphic xmlns:a="http://schemas.openxmlformats.org/drawingml/2006/main">
                    <a:graphicData uri="http://schemas.openxmlformats.org/drawingml/2006/picture">
                      <pic:pic xmlns:pic="http://schemas.openxmlformats.org/drawingml/2006/picture">
                        <pic:nvPicPr>
                          <pic:cNvPr id="119" name="Picture_597_SpCnt_11"/>
                          <pic:cNvPicPr/>
                        </pic:nvPicPr>
                        <pic:blipFill>
                          <a:blip r:embed="rId15"/>
                          <a:stretch>
                            <a:fillRect/>
                          </a:stretch>
                        </pic:blipFill>
                        <pic:spPr>
                          <a:xfrm>
                            <a:off x="0" y="0"/>
                            <a:ext cx="54229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0160"/>
                  <wp:effectExtent l="0" t="0" r="0" b="0"/>
                  <wp:wrapNone/>
                  <wp:docPr id="129" name="Picture_593_SpCnt_15"/>
                  <wp:cNvGraphicFramePr/>
                  <a:graphic xmlns:a="http://schemas.openxmlformats.org/drawingml/2006/main">
                    <a:graphicData uri="http://schemas.openxmlformats.org/drawingml/2006/picture">
                      <pic:pic xmlns:pic="http://schemas.openxmlformats.org/drawingml/2006/picture">
                        <pic:nvPicPr>
                          <pic:cNvPr id="129" name="Picture_593_SpCnt_15"/>
                          <pic:cNvPicPr/>
                        </pic:nvPicPr>
                        <pic:blipFill>
                          <a:blip r:embed="rId15"/>
                          <a:stretch>
                            <a:fillRect/>
                          </a:stretch>
                        </pic:blipFill>
                        <pic:spPr>
                          <a:xfrm>
                            <a:off x="0" y="0"/>
                            <a:ext cx="19050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7165"/>
                  <wp:effectExtent l="0" t="0" r="0" b="0"/>
                  <wp:wrapNone/>
                  <wp:docPr id="130" name="Picture_7516_SpCnt_22"/>
                  <wp:cNvGraphicFramePr/>
                  <a:graphic xmlns:a="http://schemas.openxmlformats.org/drawingml/2006/main">
                    <a:graphicData uri="http://schemas.openxmlformats.org/drawingml/2006/picture">
                      <pic:pic xmlns:pic="http://schemas.openxmlformats.org/drawingml/2006/picture">
                        <pic:nvPicPr>
                          <pic:cNvPr id="130" name="Picture_7516_SpCnt_22"/>
                          <pic:cNvPicPr/>
                        </pic:nvPicPr>
                        <pic:blipFill>
                          <a:blip r:embed="rId60"/>
                          <a:stretch>
                            <a:fillRect/>
                          </a:stretch>
                        </pic:blipFill>
                        <pic:spPr>
                          <a:xfrm>
                            <a:off x="0" y="0"/>
                            <a:ext cx="190500"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24765"/>
                  <wp:effectExtent l="0" t="0" r="0" b="0"/>
                  <wp:wrapNone/>
                  <wp:docPr id="131" name="Picture_594_SpCnt_14"/>
                  <wp:cNvGraphicFramePr/>
                  <a:graphic xmlns:a="http://schemas.openxmlformats.org/drawingml/2006/main">
                    <a:graphicData uri="http://schemas.openxmlformats.org/drawingml/2006/picture">
                      <pic:pic xmlns:pic="http://schemas.openxmlformats.org/drawingml/2006/picture">
                        <pic:nvPicPr>
                          <pic:cNvPr id="131" name="Picture_594_SpCnt_14"/>
                          <pic:cNvPicPr/>
                        </pic:nvPicPr>
                        <pic:blipFill>
                          <a:blip r:embed="rId15"/>
                          <a:stretch>
                            <a:fillRect/>
                          </a:stretch>
                        </pic:blipFill>
                        <pic:spPr>
                          <a:xfrm>
                            <a:off x="0" y="0"/>
                            <a:ext cx="292100"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2280"/>
                  <wp:effectExtent l="0" t="0" r="0" b="0"/>
                  <wp:wrapNone/>
                  <wp:docPr id="142" name="图片_63_SpCnt_13"/>
                  <wp:cNvGraphicFramePr/>
                  <a:graphic xmlns:a="http://schemas.openxmlformats.org/drawingml/2006/main">
                    <a:graphicData uri="http://schemas.openxmlformats.org/drawingml/2006/picture">
                      <pic:pic xmlns:pic="http://schemas.openxmlformats.org/drawingml/2006/picture">
                        <pic:nvPicPr>
                          <pic:cNvPr id="142" name="图片_63_SpCnt_13"/>
                          <pic:cNvPicPr/>
                        </pic:nvPicPr>
                        <pic:blipFill>
                          <a:blip r:embed="rId41"/>
                          <a:stretch>
                            <a:fillRect/>
                          </a:stretch>
                        </pic:blipFill>
                        <pic:spPr>
                          <a:xfrm>
                            <a:off x="0" y="0"/>
                            <a:ext cx="273050"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64820"/>
                  <wp:effectExtent l="0" t="0" r="0" b="0"/>
                  <wp:wrapNone/>
                  <wp:docPr id="140" name="图片_65_SpCnt_20"/>
                  <wp:cNvGraphicFramePr/>
                  <a:graphic xmlns:a="http://schemas.openxmlformats.org/drawingml/2006/main">
                    <a:graphicData uri="http://schemas.openxmlformats.org/drawingml/2006/picture">
                      <pic:pic xmlns:pic="http://schemas.openxmlformats.org/drawingml/2006/picture">
                        <pic:nvPicPr>
                          <pic:cNvPr id="140" name="图片_65_SpCnt_20"/>
                          <pic:cNvPicPr/>
                        </pic:nvPicPr>
                        <pic:blipFill>
                          <a:blip r:embed="rId34"/>
                          <a:stretch>
                            <a:fillRect/>
                          </a:stretch>
                        </pic:blipFill>
                        <pic:spPr>
                          <a:xfrm>
                            <a:off x="0" y="0"/>
                            <a:ext cx="7620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2700"/>
                  <wp:effectExtent l="0" t="0" r="0" b="0"/>
                  <wp:wrapNone/>
                  <wp:docPr id="141" name="Picture_593_SpCnt_16"/>
                  <wp:cNvGraphicFramePr/>
                  <a:graphic xmlns:a="http://schemas.openxmlformats.org/drawingml/2006/main">
                    <a:graphicData uri="http://schemas.openxmlformats.org/drawingml/2006/picture">
                      <pic:pic xmlns:pic="http://schemas.openxmlformats.org/drawingml/2006/picture">
                        <pic:nvPicPr>
                          <pic:cNvPr id="141" name="Picture_593_SpCnt_16"/>
                          <pic:cNvPicPr/>
                        </pic:nvPicPr>
                        <pic:blipFill>
                          <a:blip r:embed="rId15"/>
                          <a:stretch>
                            <a:fillRect/>
                          </a:stretch>
                        </pic:blipFill>
                        <pic:spPr>
                          <a:xfrm>
                            <a:off x="0" y="0"/>
                            <a:ext cx="179705"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56565"/>
                  <wp:effectExtent l="0" t="0" r="0" b="0"/>
                  <wp:wrapNone/>
                  <wp:docPr id="439" name="图片_65_SpCnt_21"/>
                  <wp:cNvGraphicFramePr/>
                  <a:graphic xmlns:a="http://schemas.openxmlformats.org/drawingml/2006/main">
                    <a:graphicData uri="http://schemas.openxmlformats.org/drawingml/2006/picture">
                      <pic:pic xmlns:pic="http://schemas.openxmlformats.org/drawingml/2006/picture">
                        <pic:nvPicPr>
                          <pic:cNvPr id="439" name="图片_65_SpCnt_21"/>
                          <pic:cNvPicPr/>
                        </pic:nvPicPr>
                        <pic:blipFill>
                          <a:blip r:embed="rId74"/>
                          <a:stretch>
                            <a:fillRect/>
                          </a:stretch>
                        </pic:blipFill>
                        <pic:spPr>
                          <a:xfrm>
                            <a:off x="0" y="0"/>
                            <a:ext cx="76200"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85420"/>
                  <wp:effectExtent l="0" t="0" r="0" b="0"/>
                  <wp:wrapNone/>
                  <wp:docPr id="426" name="Picture_7516_SpCnt_23"/>
                  <wp:cNvGraphicFramePr/>
                  <a:graphic xmlns:a="http://schemas.openxmlformats.org/drawingml/2006/main">
                    <a:graphicData uri="http://schemas.openxmlformats.org/drawingml/2006/picture">
                      <pic:pic xmlns:pic="http://schemas.openxmlformats.org/drawingml/2006/picture">
                        <pic:nvPicPr>
                          <pic:cNvPr id="426" name="Picture_7516_SpCnt_23"/>
                          <pic:cNvPicPr/>
                        </pic:nvPicPr>
                        <pic:blipFill>
                          <a:blip r:embed="rId15"/>
                          <a:stretch>
                            <a:fillRect/>
                          </a:stretch>
                        </pic:blipFill>
                        <pic:spPr>
                          <a:xfrm>
                            <a:off x="0" y="0"/>
                            <a:ext cx="179705" cy="1854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85420"/>
                  <wp:effectExtent l="0" t="0" r="0" b="0"/>
                  <wp:wrapNone/>
                  <wp:docPr id="443" name="Picture_7518_SpCnt_16"/>
                  <wp:cNvGraphicFramePr/>
                  <a:graphic xmlns:a="http://schemas.openxmlformats.org/drawingml/2006/main">
                    <a:graphicData uri="http://schemas.openxmlformats.org/drawingml/2006/picture">
                      <pic:pic xmlns:pic="http://schemas.openxmlformats.org/drawingml/2006/picture">
                        <pic:nvPicPr>
                          <pic:cNvPr id="443" name="Picture_7518_SpCnt_16"/>
                          <pic:cNvPicPr/>
                        </pic:nvPicPr>
                        <pic:blipFill>
                          <a:blip r:embed="rId15"/>
                          <a:stretch>
                            <a:fillRect/>
                          </a:stretch>
                        </pic:blipFill>
                        <pic:spPr>
                          <a:xfrm>
                            <a:off x="0" y="0"/>
                            <a:ext cx="370840" cy="1854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3050" cy="464820"/>
                  <wp:effectExtent l="0" t="0" r="0" b="0"/>
                  <wp:wrapNone/>
                  <wp:docPr id="434" name="图片_63_SpCnt_14"/>
                  <wp:cNvGraphicFramePr/>
                  <a:graphic xmlns:a="http://schemas.openxmlformats.org/drawingml/2006/main">
                    <a:graphicData uri="http://schemas.openxmlformats.org/drawingml/2006/picture">
                      <pic:pic xmlns:pic="http://schemas.openxmlformats.org/drawingml/2006/picture">
                        <pic:nvPicPr>
                          <pic:cNvPr id="434" name="图片_63_SpCnt_14"/>
                          <pic:cNvPicPr/>
                        </pic:nvPicPr>
                        <pic:blipFill>
                          <a:blip r:embed="rId41"/>
                          <a:stretch>
                            <a:fillRect/>
                          </a:stretch>
                        </pic:blipFill>
                        <pic:spPr>
                          <a:xfrm>
                            <a:off x="0" y="0"/>
                            <a:ext cx="27305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85420"/>
                  <wp:effectExtent l="0" t="0" r="0" b="0"/>
                  <wp:wrapNone/>
                  <wp:docPr id="448" name="Picture_7517_SpCnt_20"/>
                  <wp:cNvGraphicFramePr/>
                  <a:graphic xmlns:a="http://schemas.openxmlformats.org/drawingml/2006/main">
                    <a:graphicData uri="http://schemas.openxmlformats.org/drawingml/2006/picture">
                      <pic:pic xmlns:pic="http://schemas.openxmlformats.org/drawingml/2006/picture">
                        <pic:nvPicPr>
                          <pic:cNvPr id="448" name="Picture_7517_SpCnt_20"/>
                          <pic:cNvPicPr/>
                        </pic:nvPicPr>
                        <pic:blipFill>
                          <a:blip r:embed="rId15"/>
                          <a:stretch>
                            <a:fillRect/>
                          </a:stretch>
                        </pic:blipFill>
                        <pic:spPr>
                          <a:xfrm>
                            <a:off x="0" y="0"/>
                            <a:ext cx="276225" cy="1854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93675"/>
                  <wp:effectExtent l="0" t="0" r="0" b="0"/>
                  <wp:wrapNone/>
                  <wp:docPr id="440" name="Picture_7516_SpCnt_24"/>
                  <wp:cNvGraphicFramePr/>
                  <a:graphic xmlns:a="http://schemas.openxmlformats.org/drawingml/2006/main">
                    <a:graphicData uri="http://schemas.openxmlformats.org/drawingml/2006/picture">
                      <pic:pic xmlns:pic="http://schemas.openxmlformats.org/drawingml/2006/picture">
                        <pic:nvPicPr>
                          <pic:cNvPr id="440" name="Picture_7516_SpCnt_24"/>
                          <pic:cNvPicPr/>
                        </pic:nvPicPr>
                        <pic:blipFill>
                          <a:blip r:embed="rId15"/>
                          <a:stretch>
                            <a:fillRect/>
                          </a:stretch>
                        </pic:blipFill>
                        <pic:spPr>
                          <a:xfrm>
                            <a:off x="0" y="0"/>
                            <a:ext cx="17970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4765"/>
                  <wp:effectExtent l="0" t="0" r="0" b="0"/>
                  <wp:wrapNone/>
                  <wp:docPr id="438" name="Picture_593_SpCnt_17"/>
                  <wp:cNvGraphicFramePr/>
                  <a:graphic xmlns:a="http://schemas.openxmlformats.org/drawingml/2006/main">
                    <a:graphicData uri="http://schemas.openxmlformats.org/drawingml/2006/picture">
                      <pic:pic xmlns:pic="http://schemas.openxmlformats.org/drawingml/2006/picture">
                        <pic:nvPicPr>
                          <pic:cNvPr id="438" name="Picture_593_SpCnt_17"/>
                          <pic:cNvPicPr/>
                        </pic:nvPicPr>
                        <pic:blipFill>
                          <a:blip r:embed="rId15"/>
                          <a:stretch>
                            <a:fillRect/>
                          </a:stretch>
                        </pic:blipFill>
                        <pic:spPr>
                          <a:xfrm>
                            <a:off x="0" y="0"/>
                            <a:ext cx="190500"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2700"/>
                  <wp:effectExtent l="0" t="0" r="0" b="0"/>
                  <wp:wrapNone/>
                  <wp:docPr id="421" name="Picture_594_SpCnt_15"/>
                  <wp:cNvGraphicFramePr/>
                  <a:graphic xmlns:a="http://schemas.openxmlformats.org/drawingml/2006/main">
                    <a:graphicData uri="http://schemas.openxmlformats.org/drawingml/2006/picture">
                      <pic:pic xmlns:pic="http://schemas.openxmlformats.org/drawingml/2006/picture">
                        <pic:nvPicPr>
                          <pic:cNvPr id="421" name="Picture_594_SpCnt_15"/>
                          <pic:cNvPicPr/>
                        </pic:nvPicPr>
                        <pic:blipFill>
                          <a:blip r:embed="rId15"/>
                          <a:stretch>
                            <a:fillRect/>
                          </a:stretch>
                        </pic:blipFill>
                        <pic:spPr>
                          <a:xfrm>
                            <a:off x="0" y="0"/>
                            <a:ext cx="276225"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2700"/>
                  <wp:effectExtent l="0" t="0" r="0" b="0"/>
                  <wp:wrapNone/>
                  <wp:docPr id="432" name="Picture_596_SpCnt_12"/>
                  <wp:cNvGraphicFramePr/>
                  <a:graphic xmlns:a="http://schemas.openxmlformats.org/drawingml/2006/main">
                    <a:graphicData uri="http://schemas.openxmlformats.org/drawingml/2006/picture">
                      <pic:pic xmlns:pic="http://schemas.openxmlformats.org/drawingml/2006/picture">
                        <pic:nvPicPr>
                          <pic:cNvPr id="432" name="Picture_596_SpCnt_12"/>
                          <pic:cNvPicPr/>
                        </pic:nvPicPr>
                        <pic:blipFill>
                          <a:blip r:embed="rId15"/>
                          <a:stretch>
                            <a:fillRect/>
                          </a:stretch>
                        </pic:blipFill>
                        <pic:spPr>
                          <a:xfrm>
                            <a:off x="0" y="0"/>
                            <a:ext cx="46736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2700"/>
                  <wp:effectExtent l="0" t="0" r="0" b="0"/>
                  <wp:wrapNone/>
                  <wp:docPr id="442" name="Picture_595_SpCnt_13"/>
                  <wp:cNvGraphicFramePr/>
                  <a:graphic xmlns:a="http://schemas.openxmlformats.org/drawingml/2006/main">
                    <a:graphicData uri="http://schemas.openxmlformats.org/drawingml/2006/picture">
                      <pic:pic xmlns:pic="http://schemas.openxmlformats.org/drawingml/2006/picture">
                        <pic:nvPicPr>
                          <pic:cNvPr id="442" name="Picture_595_SpCnt_13"/>
                          <pic:cNvPicPr/>
                        </pic:nvPicPr>
                        <pic:blipFill>
                          <a:blip r:embed="rId15"/>
                          <a:stretch>
                            <a:fillRect/>
                          </a:stretch>
                        </pic:blipFill>
                        <pic:spPr>
                          <a:xfrm>
                            <a:off x="0" y="0"/>
                            <a:ext cx="370840" cy="127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0160"/>
                  <wp:effectExtent l="0" t="0" r="0" b="0"/>
                  <wp:wrapNone/>
                  <wp:docPr id="435" name="Picture_594_SpCnt_16"/>
                  <wp:cNvGraphicFramePr/>
                  <a:graphic xmlns:a="http://schemas.openxmlformats.org/drawingml/2006/main">
                    <a:graphicData uri="http://schemas.openxmlformats.org/drawingml/2006/picture">
                      <pic:pic xmlns:pic="http://schemas.openxmlformats.org/drawingml/2006/picture">
                        <pic:nvPicPr>
                          <pic:cNvPr id="435" name="Picture_594_SpCnt_16"/>
                          <pic:cNvPicPr/>
                        </pic:nvPicPr>
                        <pic:blipFill>
                          <a:blip r:embed="rId15"/>
                          <a:stretch>
                            <a:fillRect/>
                          </a:stretch>
                        </pic:blipFill>
                        <pic:spPr>
                          <a:xfrm>
                            <a:off x="0" y="0"/>
                            <a:ext cx="27622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62280"/>
                  <wp:effectExtent l="0" t="0" r="0" b="0"/>
                  <wp:wrapNone/>
                  <wp:docPr id="429" name="图片_65_SpCnt_22"/>
                  <wp:cNvGraphicFramePr/>
                  <a:graphic xmlns:a="http://schemas.openxmlformats.org/drawingml/2006/main">
                    <a:graphicData uri="http://schemas.openxmlformats.org/drawingml/2006/picture">
                      <pic:pic xmlns:pic="http://schemas.openxmlformats.org/drawingml/2006/picture">
                        <pic:nvPicPr>
                          <pic:cNvPr id="429" name="图片_65_SpCnt_22"/>
                          <pic:cNvPicPr/>
                        </pic:nvPicPr>
                        <pic:blipFill>
                          <a:blip r:embed="rId34"/>
                          <a:stretch>
                            <a:fillRect/>
                          </a:stretch>
                        </pic:blipFill>
                        <pic:spPr>
                          <a:xfrm>
                            <a:off x="0" y="0"/>
                            <a:ext cx="76200" cy="4622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2285" cy="262255"/>
                  <wp:effectExtent l="0" t="0" r="0" b="0"/>
                  <wp:wrapNone/>
                  <wp:docPr id="436" name="Picture_8_SpCnt_23"/>
                  <wp:cNvGraphicFramePr/>
                  <a:graphic xmlns:a="http://schemas.openxmlformats.org/drawingml/2006/main">
                    <a:graphicData uri="http://schemas.openxmlformats.org/drawingml/2006/picture">
                      <pic:pic xmlns:pic="http://schemas.openxmlformats.org/drawingml/2006/picture">
                        <pic:nvPicPr>
                          <pic:cNvPr id="436" name="Picture_8_SpCnt_23"/>
                          <pic:cNvPicPr/>
                        </pic:nvPicPr>
                        <pic:blipFill>
                          <a:blip r:embed="rId15"/>
                          <a:stretch>
                            <a:fillRect/>
                          </a:stretch>
                        </pic:blipFill>
                        <pic:spPr>
                          <a:xfrm>
                            <a:off x="0" y="0"/>
                            <a:ext cx="50228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1020" cy="262255"/>
                  <wp:effectExtent l="0" t="0" r="0" b="0"/>
                  <wp:wrapNone/>
                  <wp:docPr id="449" name="Picture_7_SpCnt_23"/>
                  <wp:cNvGraphicFramePr/>
                  <a:graphic xmlns:a="http://schemas.openxmlformats.org/drawingml/2006/main">
                    <a:graphicData uri="http://schemas.openxmlformats.org/drawingml/2006/picture">
                      <pic:pic xmlns:pic="http://schemas.openxmlformats.org/drawingml/2006/picture">
                        <pic:nvPicPr>
                          <pic:cNvPr id="449" name="Picture_7_SpCnt_23"/>
                          <pic:cNvPicPr/>
                        </pic:nvPicPr>
                        <pic:blipFill>
                          <a:blip r:embed="rId15"/>
                          <a:stretch>
                            <a:fillRect/>
                          </a:stretch>
                        </pic:blipFill>
                        <pic:spPr>
                          <a:xfrm>
                            <a:off x="0" y="0"/>
                            <a:ext cx="54102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290" cy="316865"/>
                  <wp:effectExtent l="0" t="0" r="0" b="0"/>
                  <wp:wrapNone/>
                  <wp:docPr id="420" name="Picture_6_SpCnt_5"/>
                  <wp:cNvGraphicFramePr/>
                  <a:graphic xmlns:a="http://schemas.openxmlformats.org/drawingml/2006/main">
                    <a:graphicData uri="http://schemas.openxmlformats.org/drawingml/2006/picture">
                      <pic:pic xmlns:pic="http://schemas.openxmlformats.org/drawingml/2006/picture">
                        <pic:nvPicPr>
                          <pic:cNvPr id="420" name="Picture_6_SpCnt_5"/>
                          <pic:cNvPicPr/>
                        </pic:nvPicPr>
                        <pic:blipFill>
                          <a:blip r:embed="rId15"/>
                          <a:stretch>
                            <a:fillRect/>
                          </a:stretch>
                        </pic:blipFill>
                        <pic:spPr>
                          <a:xfrm>
                            <a:off x="0" y="0"/>
                            <a:ext cx="54229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6565"/>
                  <wp:effectExtent l="0" t="0" r="0" b="0"/>
                  <wp:wrapNone/>
                  <wp:docPr id="433" name="图片_65_SpCnt_23"/>
                  <wp:cNvGraphicFramePr/>
                  <a:graphic xmlns:a="http://schemas.openxmlformats.org/drawingml/2006/main">
                    <a:graphicData uri="http://schemas.openxmlformats.org/drawingml/2006/picture">
                      <pic:pic xmlns:pic="http://schemas.openxmlformats.org/drawingml/2006/picture">
                        <pic:nvPicPr>
                          <pic:cNvPr id="433" name="图片_65_SpCnt_23"/>
                          <pic:cNvPicPr/>
                        </pic:nvPicPr>
                        <pic:blipFill>
                          <a:blip r:embed="rId14"/>
                          <a:stretch>
                            <a:fillRect/>
                          </a:stretch>
                        </pic:blipFill>
                        <pic:spPr>
                          <a:xfrm>
                            <a:off x="0" y="0"/>
                            <a:ext cx="83185"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35" cy="276860"/>
                  <wp:effectExtent l="0" t="0" r="0" b="0"/>
                  <wp:wrapNone/>
                  <wp:docPr id="437" name="Picture_8_SpCnt_24"/>
                  <wp:cNvGraphicFramePr/>
                  <a:graphic xmlns:a="http://schemas.openxmlformats.org/drawingml/2006/main">
                    <a:graphicData uri="http://schemas.openxmlformats.org/drawingml/2006/picture">
                      <pic:pic xmlns:pic="http://schemas.openxmlformats.org/drawingml/2006/picture">
                        <pic:nvPicPr>
                          <pic:cNvPr id="437" name="Picture_8_SpCnt_24"/>
                          <pic:cNvPicPr/>
                        </pic:nvPicPr>
                        <pic:blipFill>
                          <a:blip r:embed="rId15"/>
                          <a:stretch>
                            <a:fillRect/>
                          </a:stretch>
                        </pic:blipFill>
                        <pic:spPr>
                          <a:xfrm>
                            <a:off x="0" y="0"/>
                            <a:ext cx="622935" cy="2768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193675"/>
                  <wp:effectExtent l="0" t="0" r="0" b="0"/>
                  <wp:wrapNone/>
                  <wp:docPr id="430" name="Picture_7517_SpCnt_21"/>
                  <wp:cNvGraphicFramePr/>
                  <a:graphic xmlns:a="http://schemas.openxmlformats.org/drawingml/2006/main">
                    <a:graphicData uri="http://schemas.openxmlformats.org/drawingml/2006/picture">
                      <pic:pic xmlns:pic="http://schemas.openxmlformats.org/drawingml/2006/picture">
                        <pic:nvPicPr>
                          <pic:cNvPr id="430" name="Picture_7517_SpCnt_21"/>
                          <pic:cNvPicPr/>
                        </pic:nvPicPr>
                        <pic:blipFill>
                          <a:blip r:embed="rId15"/>
                          <a:stretch>
                            <a:fillRect/>
                          </a:stretch>
                        </pic:blipFill>
                        <pic:spPr>
                          <a:xfrm>
                            <a:off x="0" y="0"/>
                            <a:ext cx="276225"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93675"/>
                  <wp:effectExtent l="0" t="0" r="0" b="0"/>
                  <wp:wrapNone/>
                  <wp:docPr id="427" name="Picture_7519_SpCnt_14"/>
                  <wp:cNvGraphicFramePr/>
                  <a:graphic xmlns:a="http://schemas.openxmlformats.org/drawingml/2006/main">
                    <a:graphicData uri="http://schemas.openxmlformats.org/drawingml/2006/picture">
                      <pic:pic xmlns:pic="http://schemas.openxmlformats.org/drawingml/2006/picture">
                        <pic:nvPicPr>
                          <pic:cNvPr id="427" name="Picture_7519_SpCnt_14"/>
                          <pic:cNvPicPr/>
                        </pic:nvPicPr>
                        <pic:blipFill>
                          <a:blip r:embed="rId15"/>
                          <a:stretch>
                            <a:fillRect/>
                          </a:stretch>
                        </pic:blipFill>
                        <pic:spPr>
                          <a:xfrm>
                            <a:off x="0" y="0"/>
                            <a:ext cx="46736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316865"/>
                  <wp:effectExtent l="0" t="0" r="0" b="0"/>
                  <wp:wrapNone/>
                  <wp:docPr id="431" name="Picture_2_SpCnt_16"/>
                  <wp:cNvGraphicFramePr/>
                  <a:graphic xmlns:a="http://schemas.openxmlformats.org/drawingml/2006/main">
                    <a:graphicData uri="http://schemas.openxmlformats.org/drawingml/2006/picture">
                      <pic:pic xmlns:pic="http://schemas.openxmlformats.org/drawingml/2006/picture">
                        <pic:nvPicPr>
                          <pic:cNvPr id="431" name="Picture_2_SpCnt_16"/>
                          <pic:cNvPicPr/>
                        </pic:nvPicPr>
                        <pic:blipFill>
                          <a:blip r:embed="rId15"/>
                          <a:stretch>
                            <a:fillRect/>
                          </a:stretch>
                        </pic:blipFill>
                        <pic:spPr>
                          <a:xfrm>
                            <a:off x="0" y="0"/>
                            <a:ext cx="17970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93675"/>
                  <wp:effectExtent l="0" t="0" r="0" b="0"/>
                  <wp:wrapNone/>
                  <wp:docPr id="422" name="Picture_7518_SpCnt_17"/>
                  <wp:cNvGraphicFramePr/>
                  <a:graphic xmlns:a="http://schemas.openxmlformats.org/drawingml/2006/main">
                    <a:graphicData uri="http://schemas.openxmlformats.org/drawingml/2006/picture">
                      <pic:pic xmlns:pic="http://schemas.openxmlformats.org/drawingml/2006/picture">
                        <pic:nvPicPr>
                          <pic:cNvPr id="422" name="Picture_7518_SpCnt_17"/>
                          <pic:cNvPicPr/>
                        </pic:nvPicPr>
                        <pic:blipFill>
                          <a:blip r:embed="rId15"/>
                          <a:stretch>
                            <a:fillRect/>
                          </a:stretch>
                        </pic:blipFill>
                        <pic:spPr>
                          <a:xfrm>
                            <a:off x="0" y="0"/>
                            <a:ext cx="370840" cy="19367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10160"/>
                  <wp:effectExtent l="0" t="0" r="0" b="0"/>
                  <wp:wrapNone/>
                  <wp:docPr id="441" name="Picture_595_SpCnt_14"/>
                  <wp:cNvGraphicFramePr/>
                  <a:graphic xmlns:a="http://schemas.openxmlformats.org/drawingml/2006/main">
                    <a:graphicData uri="http://schemas.openxmlformats.org/drawingml/2006/picture">
                      <pic:pic xmlns:pic="http://schemas.openxmlformats.org/drawingml/2006/picture">
                        <pic:nvPicPr>
                          <pic:cNvPr id="441" name="Picture_595_SpCnt_14"/>
                          <pic:cNvPicPr/>
                        </pic:nvPicPr>
                        <pic:blipFill>
                          <a:blip r:embed="rId15"/>
                          <a:stretch>
                            <a:fillRect/>
                          </a:stretch>
                        </pic:blipFill>
                        <pic:spPr>
                          <a:xfrm>
                            <a:off x="0" y="0"/>
                            <a:ext cx="37084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290" cy="10160"/>
                  <wp:effectExtent l="0" t="0" r="0" b="0"/>
                  <wp:wrapNone/>
                  <wp:docPr id="423" name="Picture_597_SpCnt_12"/>
                  <wp:cNvGraphicFramePr/>
                  <a:graphic xmlns:a="http://schemas.openxmlformats.org/drawingml/2006/main">
                    <a:graphicData uri="http://schemas.openxmlformats.org/drawingml/2006/picture">
                      <pic:pic xmlns:pic="http://schemas.openxmlformats.org/drawingml/2006/picture">
                        <pic:nvPicPr>
                          <pic:cNvPr id="423" name="Picture_597_SpCnt_12"/>
                          <pic:cNvPicPr/>
                        </pic:nvPicPr>
                        <pic:blipFill>
                          <a:blip r:embed="rId15"/>
                          <a:stretch>
                            <a:fillRect/>
                          </a:stretch>
                        </pic:blipFill>
                        <pic:spPr>
                          <a:xfrm>
                            <a:off x="0" y="0"/>
                            <a:ext cx="54229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7360" cy="10160"/>
                  <wp:effectExtent l="0" t="0" r="0" b="0"/>
                  <wp:wrapNone/>
                  <wp:docPr id="444" name="Picture_596_SpCnt_13"/>
                  <wp:cNvGraphicFramePr/>
                  <a:graphic xmlns:a="http://schemas.openxmlformats.org/drawingml/2006/main">
                    <a:graphicData uri="http://schemas.openxmlformats.org/drawingml/2006/picture">
                      <pic:pic xmlns:pic="http://schemas.openxmlformats.org/drawingml/2006/picture">
                        <pic:nvPicPr>
                          <pic:cNvPr id="444" name="Picture_596_SpCnt_13"/>
                          <pic:cNvPicPr/>
                        </pic:nvPicPr>
                        <pic:blipFill>
                          <a:blip r:embed="rId15"/>
                          <a:stretch>
                            <a:fillRect/>
                          </a:stretch>
                        </pic:blipFill>
                        <pic:spPr>
                          <a:xfrm>
                            <a:off x="0" y="0"/>
                            <a:ext cx="46736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76860"/>
                  <wp:effectExtent l="0" t="0" r="0" b="0"/>
                  <wp:wrapNone/>
                  <wp:docPr id="445" name="Picture_7_SpCnt_24"/>
                  <wp:cNvGraphicFramePr/>
                  <a:graphic xmlns:a="http://schemas.openxmlformats.org/drawingml/2006/main">
                    <a:graphicData uri="http://schemas.openxmlformats.org/drawingml/2006/picture">
                      <pic:pic xmlns:pic="http://schemas.openxmlformats.org/drawingml/2006/picture">
                        <pic:nvPicPr>
                          <pic:cNvPr id="445" name="Picture_7_SpCnt_24"/>
                          <pic:cNvPicPr/>
                        </pic:nvPicPr>
                        <pic:blipFill>
                          <a:blip r:embed="rId15"/>
                          <a:stretch>
                            <a:fillRect/>
                          </a:stretch>
                        </pic:blipFill>
                        <pic:spPr>
                          <a:xfrm>
                            <a:off x="0" y="0"/>
                            <a:ext cx="514350" cy="2768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1020" cy="273050"/>
                  <wp:effectExtent l="0" t="0" r="0" b="0"/>
                  <wp:wrapNone/>
                  <wp:docPr id="446" name="Picture_7_SpCnt_25"/>
                  <wp:cNvGraphicFramePr/>
                  <a:graphic xmlns:a="http://schemas.openxmlformats.org/drawingml/2006/main">
                    <a:graphicData uri="http://schemas.openxmlformats.org/drawingml/2006/picture">
                      <pic:pic xmlns:pic="http://schemas.openxmlformats.org/drawingml/2006/picture">
                        <pic:nvPicPr>
                          <pic:cNvPr id="446" name="Picture_7_SpCnt_25"/>
                          <pic:cNvPicPr/>
                        </pic:nvPicPr>
                        <pic:blipFill>
                          <a:blip r:embed="rId15"/>
                          <a:stretch>
                            <a:fillRect/>
                          </a:stretch>
                        </pic:blipFill>
                        <pic:spPr>
                          <a:xfrm>
                            <a:off x="0" y="0"/>
                            <a:ext cx="54102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9705" cy="10160"/>
                  <wp:effectExtent l="0" t="0" r="0" b="0"/>
                  <wp:wrapNone/>
                  <wp:docPr id="447" name="Picture_593_SpCnt_18"/>
                  <wp:cNvGraphicFramePr/>
                  <a:graphic xmlns:a="http://schemas.openxmlformats.org/drawingml/2006/main">
                    <a:graphicData uri="http://schemas.openxmlformats.org/drawingml/2006/picture">
                      <pic:pic xmlns:pic="http://schemas.openxmlformats.org/drawingml/2006/picture">
                        <pic:nvPicPr>
                          <pic:cNvPr id="447" name="Picture_593_SpCnt_18"/>
                          <pic:cNvPicPr/>
                        </pic:nvPicPr>
                        <pic:blipFill>
                          <a:blip r:embed="rId15"/>
                          <a:stretch>
                            <a:fillRect/>
                          </a:stretch>
                        </pic:blipFill>
                        <pic:spPr>
                          <a:xfrm>
                            <a:off x="0" y="0"/>
                            <a:ext cx="179705"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2285" cy="273050"/>
                  <wp:effectExtent l="0" t="0" r="0" b="0"/>
                  <wp:wrapNone/>
                  <wp:docPr id="428" name="Picture_8_SpCnt_25"/>
                  <wp:cNvGraphicFramePr/>
                  <a:graphic xmlns:a="http://schemas.openxmlformats.org/drawingml/2006/main">
                    <a:graphicData uri="http://schemas.openxmlformats.org/drawingml/2006/picture">
                      <pic:pic xmlns:pic="http://schemas.openxmlformats.org/drawingml/2006/picture">
                        <pic:nvPicPr>
                          <pic:cNvPr id="428" name="Picture_8_SpCnt_25"/>
                          <pic:cNvPicPr/>
                        </pic:nvPicPr>
                        <pic:blipFill>
                          <a:blip r:embed="rId15"/>
                          <a:stretch>
                            <a:fillRect/>
                          </a:stretch>
                        </pic:blipFill>
                        <pic:spPr>
                          <a:xfrm>
                            <a:off x="0" y="0"/>
                            <a:ext cx="50228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76225" cy="316865"/>
                  <wp:effectExtent l="0" t="0" r="0" b="0"/>
                  <wp:wrapNone/>
                  <wp:docPr id="418" name="Picture_3_SpCnt_14"/>
                  <wp:cNvGraphicFramePr/>
                  <a:graphic xmlns:a="http://schemas.openxmlformats.org/drawingml/2006/main">
                    <a:graphicData uri="http://schemas.openxmlformats.org/drawingml/2006/picture">
                      <pic:pic xmlns:pic="http://schemas.openxmlformats.org/drawingml/2006/picture">
                        <pic:nvPicPr>
                          <pic:cNvPr id="418" name="Picture_3_SpCnt_14"/>
                          <pic:cNvPicPr/>
                        </pic:nvPicPr>
                        <pic:blipFill>
                          <a:blip r:embed="rId15"/>
                          <a:stretch>
                            <a:fillRect/>
                          </a:stretch>
                        </pic:blipFill>
                        <pic:spPr>
                          <a:xfrm>
                            <a:off x="0" y="0"/>
                            <a:ext cx="27622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0840" cy="316865"/>
                  <wp:effectExtent l="0" t="0" r="0" b="0"/>
                  <wp:wrapNone/>
                  <wp:docPr id="424" name="Picture_4_SpCnt_12"/>
                  <wp:cNvGraphicFramePr/>
                  <a:graphic xmlns:a="http://schemas.openxmlformats.org/drawingml/2006/main">
                    <a:graphicData uri="http://schemas.openxmlformats.org/drawingml/2006/picture">
                      <pic:pic xmlns:pic="http://schemas.openxmlformats.org/drawingml/2006/picture">
                        <pic:nvPicPr>
                          <pic:cNvPr id="424" name="Picture_4_SpCnt_12"/>
                          <pic:cNvPicPr/>
                        </pic:nvPicPr>
                        <pic:blipFill>
                          <a:blip r:embed="rId15"/>
                          <a:stretch>
                            <a:fillRect/>
                          </a:stretch>
                        </pic:blipFill>
                        <pic:spPr>
                          <a:xfrm>
                            <a:off x="0" y="0"/>
                            <a:ext cx="37084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8470"/>
                  <wp:effectExtent l="0" t="0" r="0" b="0"/>
                  <wp:wrapNone/>
                  <wp:docPr id="425" name="图片_63_SpCnt_15"/>
                  <wp:cNvGraphicFramePr/>
                  <a:graphic xmlns:a="http://schemas.openxmlformats.org/drawingml/2006/main">
                    <a:graphicData uri="http://schemas.openxmlformats.org/drawingml/2006/picture">
                      <pic:pic xmlns:pic="http://schemas.openxmlformats.org/drawingml/2006/picture">
                        <pic:nvPicPr>
                          <pic:cNvPr id="425" name="图片_63_SpCnt_15"/>
                          <pic:cNvPicPr/>
                        </pic:nvPicPr>
                        <pic:blipFill>
                          <a:blip r:embed="rId78"/>
                          <a:stretch>
                            <a:fillRect/>
                          </a:stretch>
                        </pic:blipFill>
                        <pic:spPr>
                          <a:xfrm>
                            <a:off x="0" y="0"/>
                            <a:ext cx="290830"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271145"/>
                  <wp:effectExtent l="0" t="0" r="0" b="0"/>
                  <wp:wrapNone/>
                  <wp:docPr id="450" name="Picture_7_SpCnt_26"/>
                  <wp:cNvGraphicFramePr/>
                  <a:graphic xmlns:a="http://schemas.openxmlformats.org/drawingml/2006/main">
                    <a:graphicData uri="http://schemas.openxmlformats.org/drawingml/2006/picture">
                      <pic:pic xmlns:pic="http://schemas.openxmlformats.org/drawingml/2006/picture">
                        <pic:nvPicPr>
                          <pic:cNvPr id="450" name="Picture_7_SpCnt_26"/>
                          <pic:cNvPicPr/>
                        </pic:nvPicPr>
                        <pic:blipFill>
                          <a:blip r:embed="rId15"/>
                          <a:stretch>
                            <a:fillRect/>
                          </a:stretch>
                        </pic:blipFill>
                        <pic:spPr>
                          <a:xfrm>
                            <a:off x="0" y="0"/>
                            <a:ext cx="51435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935" cy="271145"/>
                  <wp:effectExtent l="0" t="0" r="0" b="0"/>
                  <wp:wrapNone/>
                  <wp:docPr id="451" name="Picture_8_SpCnt_26"/>
                  <wp:cNvGraphicFramePr/>
                  <a:graphic xmlns:a="http://schemas.openxmlformats.org/drawingml/2006/main">
                    <a:graphicData uri="http://schemas.openxmlformats.org/drawingml/2006/picture">
                      <pic:pic xmlns:pic="http://schemas.openxmlformats.org/drawingml/2006/picture">
                        <pic:nvPicPr>
                          <pic:cNvPr id="451" name="Picture_8_SpCnt_26"/>
                          <pic:cNvPicPr/>
                        </pic:nvPicPr>
                        <pic:blipFill>
                          <a:blip r:embed="rId15"/>
                          <a:stretch>
                            <a:fillRect/>
                          </a:stretch>
                        </pic:blipFill>
                        <pic:spPr>
                          <a:xfrm>
                            <a:off x="0" y="0"/>
                            <a:ext cx="62293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6565"/>
                  <wp:effectExtent l="0" t="0" r="0" b="0"/>
                  <wp:wrapNone/>
                  <wp:docPr id="452" name="图片_63_SpCnt_16"/>
                  <wp:cNvGraphicFramePr/>
                  <a:graphic xmlns:a="http://schemas.openxmlformats.org/drawingml/2006/main">
                    <a:graphicData uri="http://schemas.openxmlformats.org/drawingml/2006/picture">
                      <pic:pic xmlns:pic="http://schemas.openxmlformats.org/drawingml/2006/picture">
                        <pic:nvPicPr>
                          <pic:cNvPr id="452" name="图片_63_SpCnt_16"/>
                          <pic:cNvPicPr/>
                        </pic:nvPicPr>
                        <pic:blipFill>
                          <a:blip r:embed="rId58"/>
                          <a:stretch>
                            <a:fillRect/>
                          </a:stretch>
                        </pic:blipFill>
                        <pic:spPr>
                          <a:xfrm>
                            <a:off x="0" y="0"/>
                            <a:ext cx="290830"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830" cy="456565"/>
                  <wp:effectExtent l="0" t="0" r="0" b="0"/>
                  <wp:wrapNone/>
                  <wp:docPr id="257" name="图片_63_SpCnt_17"/>
                  <wp:cNvGraphicFramePr/>
                  <a:graphic xmlns:a="http://schemas.openxmlformats.org/drawingml/2006/main">
                    <a:graphicData uri="http://schemas.openxmlformats.org/drawingml/2006/picture">
                      <pic:pic xmlns:pic="http://schemas.openxmlformats.org/drawingml/2006/picture">
                        <pic:nvPicPr>
                          <pic:cNvPr id="257" name="图片_63_SpCnt_17"/>
                          <pic:cNvPicPr/>
                        </pic:nvPicPr>
                        <pic:blipFill>
                          <a:blip r:embed="rId58"/>
                          <a:stretch>
                            <a:fillRect/>
                          </a:stretch>
                        </pic:blipFill>
                        <pic:spPr>
                          <a:xfrm>
                            <a:off x="0" y="0"/>
                            <a:ext cx="290830"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56565"/>
                  <wp:effectExtent l="0" t="0" r="0" b="0"/>
                  <wp:wrapNone/>
                  <wp:docPr id="255" name="图片_65_SpCnt_24"/>
                  <wp:cNvGraphicFramePr/>
                  <a:graphic xmlns:a="http://schemas.openxmlformats.org/drawingml/2006/main">
                    <a:graphicData uri="http://schemas.openxmlformats.org/drawingml/2006/picture">
                      <pic:pic xmlns:pic="http://schemas.openxmlformats.org/drawingml/2006/picture">
                        <pic:nvPicPr>
                          <pic:cNvPr id="255" name="图片_65_SpCnt_24"/>
                          <pic:cNvPicPr/>
                        </pic:nvPicPr>
                        <pic:blipFill>
                          <a:blip r:embed="rId74"/>
                          <a:stretch>
                            <a:fillRect/>
                          </a:stretch>
                        </pic:blipFill>
                        <pic:spPr>
                          <a:xfrm>
                            <a:off x="0" y="0"/>
                            <a:ext cx="76200"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64820"/>
                  <wp:effectExtent l="0" t="0" r="0" b="0"/>
                  <wp:wrapNone/>
                  <wp:docPr id="237" name="图片_65_SpCnt_25"/>
                  <wp:cNvGraphicFramePr/>
                  <a:graphic xmlns:a="http://schemas.openxmlformats.org/drawingml/2006/main">
                    <a:graphicData uri="http://schemas.openxmlformats.org/drawingml/2006/picture">
                      <pic:pic xmlns:pic="http://schemas.openxmlformats.org/drawingml/2006/picture">
                        <pic:nvPicPr>
                          <pic:cNvPr id="237" name="图片_65_SpCnt_25"/>
                          <pic:cNvPicPr/>
                        </pic:nvPicPr>
                        <pic:blipFill>
                          <a:blip r:embed="rId34"/>
                          <a:stretch>
                            <a:fillRect/>
                          </a:stretch>
                        </pic:blipFill>
                        <pic:spPr>
                          <a:xfrm>
                            <a:off x="0" y="0"/>
                            <a:ext cx="76200" cy="4648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9070"/>
                  <wp:effectExtent l="0" t="0" r="0" b="0"/>
                  <wp:wrapNone/>
                  <wp:docPr id="247" name="Picture_7518_SpCnt_18"/>
                  <wp:cNvGraphicFramePr/>
                  <a:graphic xmlns:a="http://schemas.openxmlformats.org/drawingml/2006/main">
                    <a:graphicData uri="http://schemas.openxmlformats.org/drawingml/2006/picture">
                      <pic:pic xmlns:pic="http://schemas.openxmlformats.org/drawingml/2006/picture">
                        <pic:nvPicPr>
                          <pic:cNvPr id="247" name="Picture_7518_SpCnt_18"/>
                          <pic:cNvPicPr/>
                        </pic:nvPicPr>
                        <pic:blipFill>
                          <a:blip r:embed="rId56"/>
                          <a:stretch>
                            <a:fillRect/>
                          </a:stretch>
                        </pic:blipFill>
                        <pic:spPr>
                          <a:xfrm>
                            <a:off x="0" y="0"/>
                            <a:ext cx="39243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9280" cy="271145"/>
                  <wp:effectExtent l="0" t="0" r="0" b="0"/>
                  <wp:wrapNone/>
                  <wp:docPr id="246" name="Picture_7_SpCnt_27"/>
                  <wp:cNvGraphicFramePr/>
                  <a:graphic xmlns:a="http://schemas.openxmlformats.org/drawingml/2006/main">
                    <a:graphicData uri="http://schemas.openxmlformats.org/drawingml/2006/picture">
                      <pic:pic xmlns:pic="http://schemas.openxmlformats.org/drawingml/2006/picture">
                        <pic:nvPicPr>
                          <pic:cNvPr id="246" name="Picture_7_SpCnt_27"/>
                          <pic:cNvPicPr/>
                        </pic:nvPicPr>
                        <pic:blipFill>
                          <a:blip r:embed="rId15"/>
                          <a:stretch>
                            <a:fillRect/>
                          </a:stretch>
                        </pic:blipFill>
                        <pic:spPr>
                          <a:xfrm>
                            <a:off x="0" y="0"/>
                            <a:ext cx="58928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74980"/>
                  <wp:effectExtent l="0" t="0" r="0" b="0"/>
                  <wp:wrapNone/>
                  <wp:docPr id="236" name="图片_65_SpCnt_26"/>
                  <wp:cNvGraphicFramePr/>
                  <a:graphic xmlns:a="http://schemas.openxmlformats.org/drawingml/2006/main">
                    <a:graphicData uri="http://schemas.openxmlformats.org/drawingml/2006/picture">
                      <pic:pic xmlns:pic="http://schemas.openxmlformats.org/drawingml/2006/picture">
                        <pic:nvPicPr>
                          <pic:cNvPr id="236" name="图片_65_SpCnt_26"/>
                          <pic:cNvPicPr/>
                        </pic:nvPicPr>
                        <pic:blipFill>
                          <a:blip r:embed="rId57"/>
                          <a:stretch>
                            <a:fillRect/>
                          </a:stretch>
                        </pic:blipFill>
                        <pic:spPr>
                          <a:xfrm>
                            <a:off x="0" y="0"/>
                            <a:ext cx="83185" cy="4749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9070"/>
                  <wp:effectExtent l="0" t="0" r="0" b="0"/>
                  <wp:wrapNone/>
                  <wp:docPr id="252" name="Picture_7516_SpCnt_25"/>
                  <wp:cNvGraphicFramePr/>
                  <a:graphic xmlns:a="http://schemas.openxmlformats.org/drawingml/2006/main">
                    <a:graphicData uri="http://schemas.openxmlformats.org/drawingml/2006/picture">
                      <pic:pic xmlns:pic="http://schemas.openxmlformats.org/drawingml/2006/picture">
                        <pic:nvPicPr>
                          <pic:cNvPr id="252" name="Picture_7516_SpCnt_25"/>
                          <pic:cNvPicPr/>
                        </pic:nvPicPr>
                        <pic:blipFill>
                          <a:blip r:embed="rId15"/>
                          <a:stretch>
                            <a:fillRect/>
                          </a:stretch>
                        </pic:blipFill>
                        <pic:spPr>
                          <a:xfrm>
                            <a:off x="0" y="0"/>
                            <a:ext cx="19050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7165"/>
                  <wp:effectExtent l="0" t="0" r="0" b="0"/>
                  <wp:wrapNone/>
                  <wp:docPr id="258" name="Picture_7519_SpCnt_15"/>
                  <wp:cNvGraphicFramePr/>
                  <a:graphic xmlns:a="http://schemas.openxmlformats.org/drawingml/2006/main">
                    <a:graphicData uri="http://schemas.openxmlformats.org/drawingml/2006/picture">
                      <pic:pic xmlns:pic="http://schemas.openxmlformats.org/drawingml/2006/picture">
                        <pic:nvPicPr>
                          <pic:cNvPr id="258" name="Picture_7519_SpCnt_15"/>
                          <pic:cNvPicPr/>
                        </pic:nvPicPr>
                        <pic:blipFill>
                          <a:blip r:embed="rId15"/>
                          <a:stretch>
                            <a:fillRect/>
                          </a:stretch>
                        </pic:blipFill>
                        <pic:spPr>
                          <a:xfrm>
                            <a:off x="0" y="0"/>
                            <a:ext cx="497205"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6565"/>
                  <wp:effectExtent l="0" t="0" r="0" b="0"/>
                  <wp:wrapNone/>
                  <wp:docPr id="233" name="图片_65_SpCnt_27"/>
                  <wp:cNvGraphicFramePr/>
                  <a:graphic xmlns:a="http://schemas.openxmlformats.org/drawingml/2006/main">
                    <a:graphicData uri="http://schemas.openxmlformats.org/drawingml/2006/picture">
                      <pic:pic xmlns:pic="http://schemas.openxmlformats.org/drawingml/2006/picture">
                        <pic:nvPicPr>
                          <pic:cNvPr id="233" name="图片_65_SpCnt_27"/>
                          <pic:cNvPicPr/>
                        </pic:nvPicPr>
                        <pic:blipFill>
                          <a:blip r:embed="rId14"/>
                          <a:stretch>
                            <a:fillRect/>
                          </a:stretch>
                        </pic:blipFill>
                        <pic:spPr>
                          <a:xfrm>
                            <a:off x="0" y="0"/>
                            <a:ext cx="83185" cy="4565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9070"/>
                  <wp:effectExtent l="0" t="0" r="0" b="0"/>
                  <wp:wrapNone/>
                  <wp:docPr id="248" name="Picture_7519_SpCnt_16"/>
                  <wp:cNvGraphicFramePr/>
                  <a:graphic xmlns:a="http://schemas.openxmlformats.org/drawingml/2006/main">
                    <a:graphicData uri="http://schemas.openxmlformats.org/drawingml/2006/picture">
                      <pic:pic xmlns:pic="http://schemas.openxmlformats.org/drawingml/2006/picture">
                        <pic:nvPicPr>
                          <pic:cNvPr id="248" name="Picture_7519_SpCnt_16"/>
                          <pic:cNvPicPr/>
                        </pic:nvPicPr>
                        <pic:blipFill>
                          <a:blip r:embed="rId16"/>
                          <a:stretch>
                            <a:fillRect/>
                          </a:stretch>
                        </pic:blipFill>
                        <pic:spPr>
                          <a:xfrm>
                            <a:off x="0" y="0"/>
                            <a:ext cx="49720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8470"/>
                  <wp:effectExtent l="0" t="0" r="0" b="0"/>
                  <wp:wrapNone/>
                  <wp:docPr id="235" name="图片_65_SpCnt_28"/>
                  <wp:cNvGraphicFramePr/>
                  <a:graphic xmlns:a="http://schemas.openxmlformats.org/drawingml/2006/main">
                    <a:graphicData uri="http://schemas.openxmlformats.org/drawingml/2006/picture">
                      <pic:pic xmlns:pic="http://schemas.openxmlformats.org/drawingml/2006/picture">
                        <pic:nvPicPr>
                          <pic:cNvPr id="235" name="图片_65_SpCnt_28"/>
                          <pic:cNvPicPr/>
                        </pic:nvPicPr>
                        <pic:blipFill>
                          <a:blip r:embed="rId71"/>
                          <a:stretch>
                            <a:fillRect/>
                          </a:stretch>
                        </pic:blipFill>
                        <pic:spPr>
                          <a:xfrm>
                            <a:off x="0" y="0"/>
                            <a:ext cx="83185"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185" cy="458470"/>
                  <wp:effectExtent l="0" t="0" r="0" b="0"/>
                  <wp:wrapNone/>
                  <wp:docPr id="238" name="图片_65_SpCnt_29"/>
                  <wp:cNvGraphicFramePr/>
                  <a:graphic xmlns:a="http://schemas.openxmlformats.org/drawingml/2006/main">
                    <a:graphicData uri="http://schemas.openxmlformats.org/drawingml/2006/picture">
                      <pic:pic xmlns:pic="http://schemas.openxmlformats.org/drawingml/2006/picture">
                        <pic:nvPicPr>
                          <pic:cNvPr id="238" name="图片_65_SpCnt_29"/>
                          <pic:cNvPicPr/>
                        </pic:nvPicPr>
                        <pic:blipFill>
                          <a:blip r:embed="rId71"/>
                          <a:stretch>
                            <a:fillRect/>
                          </a:stretch>
                        </pic:blipFill>
                        <pic:spPr>
                          <a:xfrm>
                            <a:off x="0" y="0"/>
                            <a:ext cx="83185" cy="4584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9070"/>
                  <wp:effectExtent l="0" t="0" r="0" b="0"/>
                  <wp:wrapNone/>
                  <wp:docPr id="253" name="Picture_7517_SpCnt_22"/>
                  <wp:cNvGraphicFramePr/>
                  <a:graphic xmlns:a="http://schemas.openxmlformats.org/drawingml/2006/main">
                    <a:graphicData uri="http://schemas.openxmlformats.org/drawingml/2006/picture">
                      <pic:pic xmlns:pic="http://schemas.openxmlformats.org/drawingml/2006/picture">
                        <pic:nvPicPr>
                          <pic:cNvPr id="253" name="Picture_7517_SpCnt_22"/>
                          <pic:cNvPicPr/>
                        </pic:nvPicPr>
                        <pic:blipFill>
                          <a:blip r:embed="rId61"/>
                          <a:stretch>
                            <a:fillRect/>
                          </a:stretch>
                        </pic:blipFill>
                        <pic:spPr>
                          <a:xfrm>
                            <a:off x="0" y="0"/>
                            <a:ext cx="29210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9070"/>
                  <wp:effectExtent l="0" t="0" r="0" b="0"/>
                  <wp:wrapNone/>
                  <wp:docPr id="254" name="Picture_7516_SpCnt_26"/>
                  <wp:cNvGraphicFramePr/>
                  <a:graphic xmlns:a="http://schemas.openxmlformats.org/drawingml/2006/main">
                    <a:graphicData uri="http://schemas.openxmlformats.org/drawingml/2006/picture">
                      <pic:pic xmlns:pic="http://schemas.openxmlformats.org/drawingml/2006/picture">
                        <pic:nvPicPr>
                          <pic:cNvPr id="254" name="Picture_7516_SpCnt_26"/>
                          <pic:cNvPicPr/>
                        </pic:nvPicPr>
                        <pic:blipFill>
                          <a:blip r:embed="rId60"/>
                          <a:stretch>
                            <a:fillRect/>
                          </a:stretch>
                        </pic:blipFill>
                        <pic:spPr>
                          <a:xfrm>
                            <a:off x="0" y="0"/>
                            <a:ext cx="19050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9070"/>
                  <wp:effectExtent l="0" t="0" r="0" b="0"/>
                  <wp:wrapNone/>
                  <wp:docPr id="240" name="Picture_7517_SpCnt_23"/>
                  <wp:cNvGraphicFramePr/>
                  <a:graphic xmlns:a="http://schemas.openxmlformats.org/drawingml/2006/main">
                    <a:graphicData uri="http://schemas.openxmlformats.org/drawingml/2006/picture">
                      <pic:pic xmlns:pic="http://schemas.openxmlformats.org/drawingml/2006/picture">
                        <pic:nvPicPr>
                          <pic:cNvPr id="240" name="Picture_7517_SpCnt_23"/>
                          <pic:cNvPicPr/>
                        </pic:nvPicPr>
                        <pic:blipFill>
                          <a:blip r:embed="rId15"/>
                          <a:stretch>
                            <a:fillRect/>
                          </a:stretch>
                        </pic:blipFill>
                        <pic:spPr>
                          <a:xfrm>
                            <a:off x="0" y="0"/>
                            <a:ext cx="29210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7205" cy="179070"/>
                  <wp:effectExtent l="0" t="0" r="0" b="0"/>
                  <wp:wrapNone/>
                  <wp:docPr id="249" name="Picture_7519_SpCnt_17"/>
                  <wp:cNvGraphicFramePr/>
                  <a:graphic xmlns:a="http://schemas.openxmlformats.org/drawingml/2006/main">
                    <a:graphicData uri="http://schemas.openxmlformats.org/drawingml/2006/picture">
                      <pic:pic xmlns:pic="http://schemas.openxmlformats.org/drawingml/2006/picture">
                        <pic:nvPicPr>
                          <pic:cNvPr id="249" name="Picture_7519_SpCnt_17"/>
                          <pic:cNvPicPr/>
                        </pic:nvPicPr>
                        <pic:blipFill>
                          <a:blip r:embed="rId15"/>
                          <a:stretch>
                            <a:fillRect/>
                          </a:stretch>
                        </pic:blipFill>
                        <pic:spPr>
                          <a:xfrm>
                            <a:off x="0" y="0"/>
                            <a:ext cx="497205"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9070"/>
                  <wp:effectExtent l="0" t="0" r="0" b="0"/>
                  <wp:wrapNone/>
                  <wp:docPr id="260" name="Picture_7518_SpCnt_19"/>
                  <wp:cNvGraphicFramePr/>
                  <a:graphic xmlns:a="http://schemas.openxmlformats.org/drawingml/2006/main">
                    <a:graphicData uri="http://schemas.openxmlformats.org/drawingml/2006/picture">
                      <pic:pic xmlns:pic="http://schemas.openxmlformats.org/drawingml/2006/picture">
                        <pic:nvPicPr>
                          <pic:cNvPr id="260" name="Picture_7518_SpCnt_19"/>
                          <pic:cNvPicPr/>
                        </pic:nvPicPr>
                        <pic:blipFill>
                          <a:blip r:embed="rId15"/>
                          <a:stretch>
                            <a:fillRect/>
                          </a:stretch>
                        </pic:blipFill>
                        <pic:spPr>
                          <a:xfrm>
                            <a:off x="0" y="0"/>
                            <a:ext cx="392430" cy="1790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2430" cy="172720"/>
                  <wp:effectExtent l="0" t="0" r="0" b="0"/>
                  <wp:wrapNone/>
                  <wp:docPr id="230" name="Picture_7518_SpCnt_20"/>
                  <wp:cNvGraphicFramePr/>
                  <a:graphic xmlns:a="http://schemas.openxmlformats.org/drawingml/2006/main">
                    <a:graphicData uri="http://schemas.openxmlformats.org/drawingml/2006/picture">
                      <pic:pic xmlns:pic="http://schemas.openxmlformats.org/drawingml/2006/picture">
                        <pic:nvPicPr>
                          <pic:cNvPr id="230" name="Picture_7518_SpCnt_20"/>
                          <pic:cNvPicPr/>
                        </pic:nvPicPr>
                        <pic:blipFill>
                          <a:blip r:embed="rId79"/>
                          <a:stretch>
                            <a:fillRect/>
                          </a:stretch>
                        </pic:blipFill>
                        <pic:spPr>
                          <a:xfrm>
                            <a:off x="0" y="0"/>
                            <a:ext cx="392430" cy="1727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72720"/>
                  <wp:effectExtent l="0" t="0" r="0" b="0"/>
                  <wp:wrapNone/>
                  <wp:docPr id="245" name="Picture_7516_SpCnt_27"/>
                  <wp:cNvGraphicFramePr/>
                  <a:graphic xmlns:a="http://schemas.openxmlformats.org/drawingml/2006/main">
                    <a:graphicData uri="http://schemas.openxmlformats.org/drawingml/2006/picture">
                      <pic:pic xmlns:pic="http://schemas.openxmlformats.org/drawingml/2006/picture">
                        <pic:nvPicPr>
                          <pic:cNvPr id="245" name="Picture_7516_SpCnt_27"/>
                          <pic:cNvPicPr/>
                        </pic:nvPicPr>
                        <pic:blipFill>
                          <a:blip r:embed="rId80"/>
                          <a:stretch>
                            <a:fillRect/>
                          </a:stretch>
                        </pic:blipFill>
                        <pic:spPr>
                          <a:xfrm>
                            <a:off x="0" y="0"/>
                            <a:ext cx="190500" cy="1727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7675" cy="24765"/>
                  <wp:effectExtent l="0" t="0" r="0" b="0"/>
                  <wp:wrapNone/>
                  <wp:docPr id="170" name="Picture_596_SpCnt_14"/>
                  <wp:cNvGraphicFramePr/>
                  <a:graphic xmlns:a="http://schemas.openxmlformats.org/drawingml/2006/main">
                    <a:graphicData uri="http://schemas.openxmlformats.org/drawingml/2006/picture">
                      <pic:pic xmlns:pic="http://schemas.openxmlformats.org/drawingml/2006/picture">
                        <pic:nvPicPr>
                          <pic:cNvPr id="170" name="Picture_596_SpCnt_14"/>
                          <pic:cNvPicPr/>
                        </pic:nvPicPr>
                        <pic:blipFill>
                          <a:blip r:embed="rId15"/>
                          <a:stretch>
                            <a:fillRect/>
                          </a:stretch>
                        </pic:blipFill>
                        <pic:spPr>
                          <a:xfrm>
                            <a:off x="0" y="0"/>
                            <a:ext cx="447675" cy="247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0" cy="177165"/>
                  <wp:effectExtent l="0" t="0" r="0" b="0"/>
                  <wp:wrapNone/>
                  <wp:docPr id="144" name="Picture_7517_SpCnt_24"/>
                  <wp:cNvGraphicFramePr/>
                  <a:graphic xmlns:a="http://schemas.openxmlformats.org/drawingml/2006/main">
                    <a:graphicData uri="http://schemas.openxmlformats.org/drawingml/2006/picture">
                      <pic:pic xmlns:pic="http://schemas.openxmlformats.org/drawingml/2006/picture">
                        <pic:nvPicPr>
                          <pic:cNvPr id="144" name="Picture_7517_SpCnt_24"/>
                          <pic:cNvPicPr/>
                        </pic:nvPicPr>
                        <pic:blipFill>
                          <a:blip r:embed="rId15"/>
                          <a:stretch>
                            <a:fillRect/>
                          </a:stretch>
                        </pic:blipFill>
                        <pic:spPr>
                          <a:xfrm>
                            <a:off x="0" y="0"/>
                            <a:ext cx="292100" cy="1771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4350" cy="10160"/>
                  <wp:effectExtent l="0" t="0" r="0" b="0"/>
                  <wp:wrapNone/>
                  <wp:docPr id="166" name="Picture_597_SpCnt_13"/>
                  <wp:cNvGraphicFramePr/>
                  <a:graphic xmlns:a="http://schemas.openxmlformats.org/drawingml/2006/main">
                    <a:graphicData uri="http://schemas.openxmlformats.org/drawingml/2006/picture">
                      <pic:pic xmlns:pic="http://schemas.openxmlformats.org/drawingml/2006/picture">
                        <pic:nvPicPr>
                          <pic:cNvPr id="166" name="Picture_597_SpCnt_13"/>
                          <pic:cNvPicPr/>
                        </pic:nvPicPr>
                        <pic:blipFill>
                          <a:blip r:embed="rId31"/>
                          <a:stretch>
                            <a:fillRect/>
                          </a:stretch>
                        </pic:blipFill>
                        <pic:spPr>
                          <a:xfrm>
                            <a:off x="0" y="0"/>
                            <a:ext cx="514350" cy="101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5725" cy="195580"/>
                  <wp:effectExtent l="0" t="0" r="0" b="0"/>
                  <wp:wrapNone/>
                  <wp:docPr id="175" name="Picture_7516_SpCnt_29"/>
                  <wp:cNvGraphicFramePr/>
                  <a:graphic xmlns:a="http://schemas.openxmlformats.org/drawingml/2006/main">
                    <a:graphicData uri="http://schemas.openxmlformats.org/drawingml/2006/picture">
                      <pic:pic xmlns:pic="http://schemas.openxmlformats.org/drawingml/2006/picture">
                        <pic:nvPicPr>
                          <pic:cNvPr id="175" name="Picture_7516_SpCnt_29"/>
                          <pic:cNvPicPr/>
                        </pic:nvPicPr>
                        <pic:blipFill>
                          <a:blip r:embed="rId15"/>
                          <a:stretch>
                            <a:fillRect/>
                          </a:stretch>
                        </pic:blipFill>
                        <pic:spPr>
                          <a:xfrm>
                            <a:off x="0" y="0"/>
                            <a:ext cx="85725" cy="19558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t>项目名称</w:t>
            </w:r>
          </w:p>
        </w:tc>
        <w:tc>
          <w:tcPr>
            <w:tcW w:w="645" w:type="dxa"/>
            <w:shd w:val="clear" w:color="auto" w:fill="auto"/>
            <w:vAlign w:val="center"/>
          </w:tcPr>
          <w:p w14:paraId="7DA6BECD">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建设性质</w:t>
            </w:r>
          </w:p>
        </w:tc>
        <w:tc>
          <w:tcPr>
            <w:tcW w:w="855" w:type="dxa"/>
            <w:shd w:val="clear" w:color="auto" w:fill="auto"/>
            <w:vAlign w:val="center"/>
          </w:tcPr>
          <w:p w14:paraId="3C850C54">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0</wp:posOffset>
                  </wp:positionV>
                  <wp:extent cx="74930" cy="285750"/>
                  <wp:effectExtent l="0" t="0" r="0" b="0"/>
                  <wp:wrapNone/>
                  <wp:docPr id="218" name="Picture_16"/>
                  <wp:cNvGraphicFramePr/>
                  <a:graphic xmlns:a="http://schemas.openxmlformats.org/drawingml/2006/main">
                    <a:graphicData uri="http://schemas.openxmlformats.org/drawingml/2006/picture">
                      <pic:pic xmlns:pic="http://schemas.openxmlformats.org/drawingml/2006/picture">
                        <pic:nvPicPr>
                          <pic:cNvPr id="218" name="Picture_16"/>
                          <pic:cNvPicPr/>
                        </pic:nvPicPr>
                        <pic:blipFill>
                          <a:blip r:embed="rId15"/>
                          <a:stretch>
                            <a:fillRect/>
                          </a:stretch>
                        </pic:blipFill>
                        <pic:spPr>
                          <a:xfrm>
                            <a:off x="0" y="0"/>
                            <a:ext cx="7493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0</wp:posOffset>
                  </wp:positionV>
                  <wp:extent cx="74930" cy="302260"/>
                  <wp:effectExtent l="0" t="0" r="0" b="0"/>
                  <wp:wrapNone/>
                  <wp:docPr id="211" name="Picture_16_SpCnt_1"/>
                  <wp:cNvGraphicFramePr/>
                  <a:graphic xmlns:a="http://schemas.openxmlformats.org/drawingml/2006/main">
                    <a:graphicData uri="http://schemas.openxmlformats.org/drawingml/2006/picture">
                      <pic:pic xmlns:pic="http://schemas.openxmlformats.org/drawingml/2006/picture">
                        <pic:nvPicPr>
                          <pic:cNvPr id="211" name="Picture_16_SpCnt_1"/>
                          <pic:cNvPicPr/>
                        </pic:nvPicPr>
                        <pic:blipFill>
                          <a:blip r:embed="rId15"/>
                          <a:stretch>
                            <a:fillRect/>
                          </a:stretch>
                        </pic:blipFill>
                        <pic:spPr>
                          <a:xfrm>
                            <a:off x="0" y="0"/>
                            <a:ext cx="74930"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0</wp:posOffset>
                  </wp:positionV>
                  <wp:extent cx="74930" cy="294005"/>
                  <wp:effectExtent l="0" t="0" r="0" b="0"/>
                  <wp:wrapNone/>
                  <wp:docPr id="202" name="Picture_16_SpCnt_2"/>
                  <wp:cNvGraphicFramePr/>
                  <a:graphic xmlns:a="http://schemas.openxmlformats.org/drawingml/2006/main">
                    <a:graphicData uri="http://schemas.openxmlformats.org/drawingml/2006/picture">
                      <pic:pic xmlns:pic="http://schemas.openxmlformats.org/drawingml/2006/picture">
                        <pic:nvPicPr>
                          <pic:cNvPr id="202" name="Picture_16_SpCnt_2"/>
                          <pic:cNvPicPr/>
                        </pic:nvPicPr>
                        <pic:blipFill>
                          <a:blip r:embed="rId15"/>
                          <a:stretch>
                            <a:fillRect/>
                          </a:stretch>
                        </pic:blipFill>
                        <pic:spPr>
                          <a:xfrm>
                            <a:off x="0" y="0"/>
                            <a:ext cx="74930"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0</wp:posOffset>
                  </wp:positionV>
                  <wp:extent cx="74930" cy="316865"/>
                  <wp:effectExtent l="0" t="0" r="0" b="0"/>
                  <wp:wrapNone/>
                  <wp:docPr id="217" name="Picture_16_SpCnt_3"/>
                  <wp:cNvGraphicFramePr/>
                  <a:graphic xmlns:a="http://schemas.openxmlformats.org/drawingml/2006/main">
                    <a:graphicData uri="http://schemas.openxmlformats.org/drawingml/2006/picture">
                      <pic:pic xmlns:pic="http://schemas.openxmlformats.org/drawingml/2006/picture">
                        <pic:nvPicPr>
                          <pic:cNvPr id="217" name="Picture_16_SpCnt_3"/>
                          <pic:cNvPicPr/>
                        </pic:nvPicPr>
                        <pic:blipFill>
                          <a:blip r:embed="rId15"/>
                          <a:stretch>
                            <a:fillRect/>
                          </a:stretch>
                        </pic:blipFill>
                        <pic:spPr>
                          <a:xfrm>
                            <a:off x="0" y="0"/>
                            <a:ext cx="7493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325120"/>
                  <wp:effectExtent l="0" t="0" r="0" b="0"/>
                  <wp:wrapNone/>
                  <wp:docPr id="199" name="Picture_16_SpCnt_4"/>
                  <wp:cNvGraphicFramePr/>
                  <a:graphic xmlns:a="http://schemas.openxmlformats.org/drawingml/2006/main">
                    <a:graphicData uri="http://schemas.openxmlformats.org/drawingml/2006/picture">
                      <pic:pic xmlns:pic="http://schemas.openxmlformats.org/drawingml/2006/picture">
                        <pic:nvPicPr>
                          <pic:cNvPr id="199" name="Picture_16_SpCnt_4"/>
                          <pic:cNvPicPr/>
                        </pic:nvPicPr>
                        <pic:blipFill>
                          <a:blip r:embed="rId15"/>
                          <a:stretch>
                            <a:fillRect/>
                          </a:stretch>
                        </pic:blipFill>
                        <pic:spPr>
                          <a:xfrm>
                            <a:off x="0" y="0"/>
                            <a:ext cx="79375"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16865"/>
                  <wp:effectExtent l="0" t="0" r="0" b="0"/>
                  <wp:wrapNone/>
                  <wp:docPr id="223" name="Picture_16_SpCnt_5"/>
                  <wp:cNvGraphicFramePr/>
                  <a:graphic xmlns:a="http://schemas.openxmlformats.org/drawingml/2006/main">
                    <a:graphicData uri="http://schemas.openxmlformats.org/drawingml/2006/picture">
                      <pic:pic xmlns:pic="http://schemas.openxmlformats.org/drawingml/2006/picture">
                        <pic:nvPicPr>
                          <pic:cNvPr id="223" name="Picture_16_SpCnt_5"/>
                          <pic:cNvPicPr/>
                        </pic:nvPicPr>
                        <pic:blipFill>
                          <a:blip r:embed="rId15"/>
                          <a:stretch>
                            <a:fillRect/>
                          </a:stretch>
                        </pic:blipFill>
                        <pic:spPr>
                          <a:xfrm>
                            <a:off x="0" y="0"/>
                            <a:ext cx="8382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08610"/>
                  <wp:effectExtent l="0" t="0" r="0" b="0"/>
                  <wp:wrapNone/>
                  <wp:docPr id="205" name="Picture_16_SpCnt_6"/>
                  <wp:cNvGraphicFramePr/>
                  <a:graphic xmlns:a="http://schemas.openxmlformats.org/drawingml/2006/main">
                    <a:graphicData uri="http://schemas.openxmlformats.org/drawingml/2006/picture">
                      <pic:pic xmlns:pic="http://schemas.openxmlformats.org/drawingml/2006/picture">
                        <pic:nvPicPr>
                          <pic:cNvPr id="205" name="Picture_16_SpCnt_6"/>
                          <pic:cNvPicPr/>
                        </pic:nvPicPr>
                        <pic:blipFill>
                          <a:blip r:embed="rId15"/>
                          <a:stretch>
                            <a:fillRect/>
                          </a:stretch>
                        </pic:blipFill>
                        <pic:spPr>
                          <a:xfrm>
                            <a:off x="0" y="0"/>
                            <a:ext cx="83820" cy="3086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285750"/>
                  <wp:effectExtent l="0" t="0" r="0" b="0"/>
                  <wp:wrapNone/>
                  <wp:docPr id="226" name="Picture_16_SpCnt_7"/>
                  <wp:cNvGraphicFramePr/>
                  <a:graphic xmlns:a="http://schemas.openxmlformats.org/drawingml/2006/main">
                    <a:graphicData uri="http://schemas.openxmlformats.org/drawingml/2006/picture">
                      <pic:pic xmlns:pic="http://schemas.openxmlformats.org/drawingml/2006/picture">
                        <pic:nvPicPr>
                          <pic:cNvPr id="226" name="Picture_16_SpCnt_7"/>
                          <pic:cNvPicPr/>
                        </pic:nvPicPr>
                        <pic:blipFill>
                          <a:blip r:embed="rId15"/>
                          <a:stretch>
                            <a:fillRect/>
                          </a:stretch>
                        </pic:blipFill>
                        <pic:spPr>
                          <a:xfrm>
                            <a:off x="0" y="0"/>
                            <a:ext cx="7937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285750"/>
                  <wp:effectExtent l="0" t="0" r="0" b="0"/>
                  <wp:wrapNone/>
                  <wp:docPr id="222" name="Picture_16_SpCnt_8"/>
                  <wp:cNvGraphicFramePr/>
                  <a:graphic xmlns:a="http://schemas.openxmlformats.org/drawingml/2006/main">
                    <a:graphicData uri="http://schemas.openxmlformats.org/drawingml/2006/picture">
                      <pic:pic xmlns:pic="http://schemas.openxmlformats.org/drawingml/2006/picture">
                        <pic:nvPicPr>
                          <pic:cNvPr id="222" name="Picture_16_SpCnt_8"/>
                          <pic:cNvPicPr/>
                        </pic:nvPicPr>
                        <pic:blipFill>
                          <a:blip r:embed="rId15"/>
                          <a:stretch>
                            <a:fillRect/>
                          </a:stretch>
                        </pic:blipFill>
                        <pic:spPr>
                          <a:xfrm>
                            <a:off x="0" y="0"/>
                            <a:ext cx="8382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302260"/>
                  <wp:effectExtent l="0" t="0" r="0" b="0"/>
                  <wp:wrapNone/>
                  <wp:docPr id="203" name="Picture_16_SpCnt_9"/>
                  <wp:cNvGraphicFramePr/>
                  <a:graphic xmlns:a="http://schemas.openxmlformats.org/drawingml/2006/main">
                    <a:graphicData uri="http://schemas.openxmlformats.org/drawingml/2006/picture">
                      <pic:pic xmlns:pic="http://schemas.openxmlformats.org/drawingml/2006/picture">
                        <pic:nvPicPr>
                          <pic:cNvPr id="203" name="Picture_16_SpCnt_9"/>
                          <pic:cNvPicPr/>
                        </pic:nvPicPr>
                        <pic:blipFill>
                          <a:blip r:embed="rId15"/>
                          <a:stretch>
                            <a:fillRect/>
                          </a:stretch>
                        </pic:blipFill>
                        <pic:spPr>
                          <a:xfrm>
                            <a:off x="0" y="0"/>
                            <a:ext cx="79375"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02260"/>
                  <wp:effectExtent l="0" t="0" r="0" b="0"/>
                  <wp:wrapNone/>
                  <wp:docPr id="224" name="Picture_16_SpCnt_10"/>
                  <wp:cNvGraphicFramePr/>
                  <a:graphic xmlns:a="http://schemas.openxmlformats.org/drawingml/2006/main">
                    <a:graphicData uri="http://schemas.openxmlformats.org/drawingml/2006/picture">
                      <pic:pic xmlns:pic="http://schemas.openxmlformats.org/drawingml/2006/picture">
                        <pic:nvPicPr>
                          <pic:cNvPr id="224" name="Picture_16_SpCnt_10"/>
                          <pic:cNvPicPr/>
                        </pic:nvPicPr>
                        <pic:blipFill>
                          <a:blip r:embed="rId15"/>
                          <a:stretch>
                            <a:fillRect/>
                          </a:stretch>
                        </pic:blipFill>
                        <pic:spPr>
                          <a:xfrm>
                            <a:off x="0" y="0"/>
                            <a:ext cx="83820"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14325"/>
                  <wp:effectExtent l="0" t="0" r="0" b="0"/>
                  <wp:wrapNone/>
                  <wp:docPr id="225" name="Picture_16_SpCnt_11"/>
                  <wp:cNvGraphicFramePr/>
                  <a:graphic xmlns:a="http://schemas.openxmlformats.org/drawingml/2006/main">
                    <a:graphicData uri="http://schemas.openxmlformats.org/drawingml/2006/picture">
                      <pic:pic xmlns:pic="http://schemas.openxmlformats.org/drawingml/2006/picture">
                        <pic:nvPicPr>
                          <pic:cNvPr id="225" name="Picture_16_SpCnt_11"/>
                          <pic:cNvPicPr/>
                        </pic:nvPicPr>
                        <pic:blipFill>
                          <a:blip r:embed="rId15"/>
                          <a:stretch>
                            <a:fillRect/>
                          </a:stretch>
                        </pic:blipFill>
                        <pic:spPr>
                          <a:xfrm>
                            <a:off x="0" y="0"/>
                            <a:ext cx="8382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18770"/>
                  <wp:effectExtent l="0" t="0" r="0" b="0"/>
                  <wp:wrapNone/>
                  <wp:docPr id="219" name="Picture_16_SpCnt_12"/>
                  <wp:cNvGraphicFramePr/>
                  <a:graphic xmlns:a="http://schemas.openxmlformats.org/drawingml/2006/main">
                    <a:graphicData uri="http://schemas.openxmlformats.org/drawingml/2006/picture">
                      <pic:pic xmlns:pic="http://schemas.openxmlformats.org/drawingml/2006/picture">
                        <pic:nvPicPr>
                          <pic:cNvPr id="219" name="Picture_16_SpCnt_12"/>
                          <pic:cNvPicPr/>
                        </pic:nvPicPr>
                        <pic:blipFill>
                          <a:blip r:embed="rId15"/>
                          <a:stretch>
                            <a:fillRect/>
                          </a:stretch>
                        </pic:blipFill>
                        <pic:spPr>
                          <a:xfrm>
                            <a:off x="0" y="0"/>
                            <a:ext cx="8382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297815"/>
                  <wp:effectExtent l="0" t="0" r="0" b="0"/>
                  <wp:wrapNone/>
                  <wp:docPr id="206" name="Picture_16_SpCnt_13"/>
                  <wp:cNvGraphicFramePr/>
                  <a:graphic xmlns:a="http://schemas.openxmlformats.org/drawingml/2006/main">
                    <a:graphicData uri="http://schemas.openxmlformats.org/drawingml/2006/picture">
                      <pic:pic xmlns:pic="http://schemas.openxmlformats.org/drawingml/2006/picture">
                        <pic:nvPicPr>
                          <pic:cNvPr id="206" name="Picture_16_SpCnt_13"/>
                          <pic:cNvPicPr/>
                        </pic:nvPicPr>
                        <pic:blipFill>
                          <a:blip r:embed="rId15"/>
                          <a:stretch>
                            <a:fillRect/>
                          </a:stretch>
                        </pic:blipFill>
                        <pic:spPr>
                          <a:xfrm>
                            <a:off x="0" y="0"/>
                            <a:ext cx="83820" cy="297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325120"/>
                  <wp:effectExtent l="0" t="0" r="0" b="0"/>
                  <wp:wrapNone/>
                  <wp:docPr id="212" name="Picture_16_SpCnt_14"/>
                  <wp:cNvGraphicFramePr/>
                  <a:graphic xmlns:a="http://schemas.openxmlformats.org/drawingml/2006/main">
                    <a:graphicData uri="http://schemas.openxmlformats.org/drawingml/2006/picture">
                      <pic:pic xmlns:pic="http://schemas.openxmlformats.org/drawingml/2006/picture">
                        <pic:nvPicPr>
                          <pic:cNvPr id="212" name="Picture_16_SpCnt_14"/>
                          <pic:cNvPicPr/>
                        </pic:nvPicPr>
                        <pic:blipFill>
                          <a:blip r:embed="rId15"/>
                          <a:stretch>
                            <a:fillRect/>
                          </a:stretch>
                        </pic:blipFill>
                        <pic:spPr>
                          <a:xfrm>
                            <a:off x="0" y="0"/>
                            <a:ext cx="83820"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294005"/>
                  <wp:effectExtent l="0" t="0" r="0" b="0"/>
                  <wp:wrapNone/>
                  <wp:docPr id="221" name="Picture_16_SpCnt_15"/>
                  <wp:cNvGraphicFramePr/>
                  <a:graphic xmlns:a="http://schemas.openxmlformats.org/drawingml/2006/main">
                    <a:graphicData uri="http://schemas.openxmlformats.org/drawingml/2006/picture">
                      <pic:pic xmlns:pic="http://schemas.openxmlformats.org/drawingml/2006/picture">
                        <pic:nvPicPr>
                          <pic:cNvPr id="221" name="Picture_16_SpCnt_15"/>
                          <pic:cNvPicPr/>
                        </pic:nvPicPr>
                        <pic:blipFill>
                          <a:blip r:embed="rId15"/>
                          <a:stretch>
                            <a:fillRect/>
                          </a:stretch>
                        </pic:blipFill>
                        <pic:spPr>
                          <a:xfrm>
                            <a:off x="0" y="0"/>
                            <a:ext cx="83820"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281305"/>
                  <wp:effectExtent l="0" t="0" r="0" b="0"/>
                  <wp:wrapNone/>
                  <wp:docPr id="195" name="Picture_16_SpCnt_16"/>
                  <wp:cNvGraphicFramePr/>
                  <a:graphic xmlns:a="http://schemas.openxmlformats.org/drawingml/2006/main">
                    <a:graphicData uri="http://schemas.openxmlformats.org/drawingml/2006/picture">
                      <pic:pic xmlns:pic="http://schemas.openxmlformats.org/drawingml/2006/picture">
                        <pic:nvPicPr>
                          <pic:cNvPr id="195" name="Picture_16_SpCnt_16"/>
                          <pic:cNvPicPr/>
                        </pic:nvPicPr>
                        <pic:blipFill>
                          <a:blip r:embed="rId15"/>
                          <a:stretch>
                            <a:fillRect/>
                          </a:stretch>
                        </pic:blipFill>
                        <pic:spPr>
                          <a:xfrm>
                            <a:off x="0" y="0"/>
                            <a:ext cx="8382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297815"/>
                  <wp:effectExtent l="0" t="0" r="0" b="0"/>
                  <wp:wrapNone/>
                  <wp:docPr id="220" name="Picture_16_SpCnt_17"/>
                  <wp:cNvGraphicFramePr/>
                  <a:graphic xmlns:a="http://schemas.openxmlformats.org/drawingml/2006/main">
                    <a:graphicData uri="http://schemas.openxmlformats.org/drawingml/2006/picture">
                      <pic:pic xmlns:pic="http://schemas.openxmlformats.org/drawingml/2006/picture">
                        <pic:nvPicPr>
                          <pic:cNvPr id="220" name="Picture_16_SpCnt_17"/>
                          <pic:cNvPicPr/>
                        </pic:nvPicPr>
                        <pic:blipFill>
                          <a:blip r:embed="rId15"/>
                          <a:stretch>
                            <a:fillRect/>
                          </a:stretch>
                        </pic:blipFill>
                        <pic:spPr>
                          <a:xfrm>
                            <a:off x="0" y="0"/>
                            <a:ext cx="79375" cy="297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314325"/>
                  <wp:effectExtent l="0" t="0" r="0" b="0"/>
                  <wp:wrapNone/>
                  <wp:docPr id="196" name="Picture_16_SpCnt_18"/>
                  <wp:cNvGraphicFramePr/>
                  <a:graphic xmlns:a="http://schemas.openxmlformats.org/drawingml/2006/main">
                    <a:graphicData uri="http://schemas.openxmlformats.org/drawingml/2006/picture">
                      <pic:pic xmlns:pic="http://schemas.openxmlformats.org/drawingml/2006/picture">
                        <pic:nvPicPr>
                          <pic:cNvPr id="196" name="Picture_16_SpCnt_18"/>
                          <pic:cNvPicPr/>
                        </pic:nvPicPr>
                        <pic:blipFill>
                          <a:blip r:embed="rId15"/>
                          <a:stretch>
                            <a:fillRect/>
                          </a:stretch>
                        </pic:blipFill>
                        <pic:spPr>
                          <a:xfrm>
                            <a:off x="0" y="0"/>
                            <a:ext cx="79375"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281305"/>
                  <wp:effectExtent l="0" t="0" r="0" b="0"/>
                  <wp:wrapNone/>
                  <wp:docPr id="200" name="Picture_16_SpCnt_19"/>
                  <wp:cNvGraphicFramePr/>
                  <a:graphic xmlns:a="http://schemas.openxmlformats.org/drawingml/2006/main">
                    <a:graphicData uri="http://schemas.openxmlformats.org/drawingml/2006/picture">
                      <pic:pic xmlns:pic="http://schemas.openxmlformats.org/drawingml/2006/picture">
                        <pic:nvPicPr>
                          <pic:cNvPr id="200" name="Picture_16_SpCnt_19"/>
                          <pic:cNvPicPr/>
                        </pic:nvPicPr>
                        <pic:blipFill>
                          <a:blip r:embed="rId15"/>
                          <a:stretch>
                            <a:fillRect/>
                          </a:stretch>
                        </pic:blipFill>
                        <pic:spPr>
                          <a:xfrm>
                            <a:off x="0" y="0"/>
                            <a:ext cx="7937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0</wp:posOffset>
                  </wp:positionV>
                  <wp:extent cx="83820" cy="274955"/>
                  <wp:effectExtent l="0" t="0" r="0" b="0"/>
                  <wp:wrapNone/>
                  <wp:docPr id="214" name="Picture_16_SpCnt_20"/>
                  <wp:cNvGraphicFramePr/>
                  <a:graphic xmlns:a="http://schemas.openxmlformats.org/drawingml/2006/main">
                    <a:graphicData uri="http://schemas.openxmlformats.org/drawingml/2006/picture">
                      <pic:pic xmlns:pic="http://schemas.openxmlformats.org/drawingml/2006/picture">
                        <pic:nvPicPr>
                          <pic:cNvPr id="214" name="Picture_16_SpCnt_20"/>
                          <pic:cNvPicPr/>
                        </pic:nvPicPr>
                        <pic:blipFill>
                          <a:blip r:embed="rId15"/>
                          <a:stretch>
                            <a:fillRect/>
                          </a:stretch>
                        </pic:blipFill>
                        <pic:spPr>
                          <a:xfrm>
                            <a:off x="0" y="0"/>
                            <a:ext cx="83820"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0</wp:posOffset>
                  </wp:positionV>
                  <wp:extent cx="79375" cy="274955"/>
                  <wp:effectExtent l="0" t="0" r="0" b="0"/>
                  <wp:wrapNone/>
                  <wp:docPr id="208" name="Picture_16_SpCnt_21"/>
                  <wp:cNvGraphicFramePr/>
                  <a:graphic xmlns:a="http://schemas.openxmlformats.org/drawingml/2006/main">
                    <a:graphicData uri="http://schemas.openxmlformats.org/drawingml/2006/picture">
                      <pic:pic xmlns:pic="http://schemas.openxmlformats.org/drawingml/2006/picture">
                        <pic:nvPicPr>
                          <pic:cNvPr id="208" name="Picture_16_SpCnt_21"/>
                          <pic:cNvPicPr/>
                        </pic:nvPicPr>
                        <pic:blipFill>
                          <a:blip r:embed="rId15"/>
                          <a:stretch>
                            <a:fillRect/>
                          </a:stretch>
                        </pic:blipFill>
                        <pic:spPr>
                          <a:xfrm>
                            <a:off x="0" y="0"/>
                            <a:ext cx="7937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104775</wp:posOffset>
                  </wp:positionH>
                  <wp:positionV relativeFrom="paragraph">
                    <wp:posOffset>0</wp:posOffset>
                  </wp:positionV>
                  <wp:extent cx="85090" cy="271145"/>
                  <wp:effectExtent l="0" t="0" r="0" b="0"/>
                  <wp:wrapNone/>
                  <wp:docPr id="210" name="Picture_8_SpCnt_36"/>
                  <wp:cNvGraphicFramePr/>
                  <a:graphic xmlns:a="http://schemas.openxmlformats.org/drawingml/2006/main">
                    <a:graphicData uri="http://schemas.openxmlformats.org/drawingml/2006/picture">
                      <pic:pic xmlns:pic="http://schemas.openxmlformats.org/drawingml/2006/picture">
                        <pic:nvPicPr>
                          <pic:cNvPr id="210" name="Picture_8_SpCnt_36"/>
                          <pic:cNvPicPr/>
                        </pic:nvPicPr>
                        <pic:blipFill>
                          <a:blip r:embed="rId81"/>
                          <a:stretch>
                            <a:fillRect/>
                          </a:stretch>
                        </pic:blipFill>
                        <pic:spPr>
                          <a:xfrm>
                            <a:off x="0" y="0"/>
                            <a:ext cx="8509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139065</wp:posOffset>
                  </wp:positionH>
                  <wp:positionV relativeFrom="paragraph">
                    <wp:posOffset>0</wp:posOffset>
                  </wp:positionV>
                  <wp:extent cx="71755" cy="316865"/>
                  <wp:effectExtent l="0" t="0" r="0" b="0"/>
                  <wp:wrapNone/>
                  <wp:docPr id="213" name="Picture_17"/>
                  <wp:cNvGraphicFramePr/>
                  <a:graphic xmlns:a="http://schemas.openxmlformats.org/drawingml/2006/main">
                    <a:graphicData uri="http://schemas.openxmlformats.org/drawingml/2006/picture">
                      <pic:pic xmlns:pic="http://schemas.openxmlformats.org/drawingml/2006/picture">
                        <pic:nvPicPr>
                          <pic:cNvPr id="213" name="Picture_17"/>
                          <pic:cNvPicPr/>
                        </pic:nvPicPr>
                        <pic:blipFill>
                          <a:blip r:embed="rId15"/>
                          <a:stretch>
                            <a:fillRect/>
                          </a:stretch>
                        </pic:blipFill>
                        <pic:spPr>
                          <a:xfrm>
                            <a:off x="0" y="0"/>
                            <a:ext cx="7175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139065</wp:posOffset>
                  </wp:positionH>
                  <wp:positionV relativeFrom="paragraph">
                    <wp:posOffset>0</wp:posOffset>
                  </wp:positionV>
                  <wp:extent cx="71755" cy="285750"/>
                  <wp:effectExtent l="0" t="0" r="0" b="0"/>
                  <wp:wrapNone/>
                  <wp:docPr id="215" name="Picture_17_SpCnt_1"/>
                  <wp:cNvGraphicFramePr/>
                  <a:graphic xmlns:a="http://schemas.openxmlformats.org/drawingml/2006/main">
                    <a:graphicData uri="http://schemas.openxmlformats.org/drawingml/2006/picture">
                      <pic:pic xmlns:pic="http://schemas.openxmlformats.org/drawingml/2006/picture">
                        <pic:nvPicPr>
                          <pic:cNvPr id="215" name="Picture_17_SpCnt_1"/>
                          <pic:cNvPicPr/>
                        </pic:nvPicPr>
                        <pic:blipFill>
                          <a:blip r:embed="rId15"/>
                          <a:stretch>
                            <a:fillRect/>
                          </a:stretch>
                        </pic:blipFill>
                        <pic:spPr>
                          <a:xfrm>
                            <a:off x="0" y="0"/>
                            <a:ext cx="7175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135255</wp:posOffset>
                  </wp:positionH>
                  <wp:positionV relativeFrom="paragraph">
                    <wp:posOffset>0</wp:posOffset>
                  </wp:positionV>
                  <wp:extent cx="75565" cy="302260"/>
                  <wp:effectExtent l="0" t="0" r="0" b="0"/>
                  <wp:wrapNone/>
                  <wp:docPr id="216" name="Picture_17_SpCnt_2"/>
                  <wp:cNvGraphicFramePr/>
                  <a:graphic xmlns:a="http://schemas.openxmlformats.org/drawingml/2006/main">
                    <a:graphicData uri="http://schemas.openxmlformats.org/drawingml/2006/picture">
                      <pic:pic xmlns:pic="http://schemas.openxmlformats.org/drawingml/2006/picture">
                        <pic:nvPicPr>
                          <pic:cNvPr id="216" name="Picture_17_SpCnt_2"/>
                          <pic:cNvPicPr/>
                        </pic:nvPicPr>
                        <pic:blipFill>
                          <a:blip r:embed="rId15"/>
                          <a:stretch>
                            <a:fillRect/>
                          </a:stretch>
                        </pic:blipFill>
                        <pic:spPr>
                          <a:xfrm>
                            <a:off x="0" y="0"/>
                            <a:ext cx="75565"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135255</wp:posOffset>
                  </wp:positionH>
                  <wp:positionV relativeFrom="paragraph">
                    <wp:posOffset>0</wp:posOffset>
                  </wp:positionV>
                  <wp:extent cx="75565" cy="316865"/>
                  <wp:effectExtent l="0" t="0" r="0" b="0"/>
                  <wp:wrapNone/>
                  <wp:docPr id="227" name="Picture_17_SpCnt_3"/>
                  <wp:cNvGraphicFramePr/>
                  <a:graphic xmlns:a="http://schemas.openxmlformats.org/drawingml/2006/main">
                    <a:graphicData uri="http://schemas.openxmlformats.org/drawingml/2006/picture">
                      <pic:pic xmlns:pic="http://schemas.openxmlformats.org/drawingml/2006/picture">
                        <pic:nvPicPr>
                          <pic:cNvPr id="227" name="Picture_17_SpCnt_3"/>
                          <pic:cNvPicPr/>
                        </pic:nvPicPr>
                        <pic:blipFill>
                          <a:blip r:embed="rId15"/>
                          <a:stretch>
                            <a:fillRect/>
                          </a:stretch>
                        </pic:blipFill>
                        <pic:spPr>
                          <a:xfrm>
                            <a:off x="0" y="0"/>
                            <a:ext cx="7556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135255</wp:posOffset>
                  </wp:positionH>
                  <wp:positionV relativeFrom="paragraph">
                    <wp:posOffset>0</wp:posOffset>
                  </wp:positionV>
                  <wp:extent cx="75565" cy="285750"/>
                  <wp:effectExtent l="0" t="0" r="0" b="0"/>
                  <wp:wrapNone/>
                  <wp:docPr id="229" name="Picture_17_SpCnt_4"/>
                  <wp:cNvGraphicFramePr/>
                  <a:graphic xmlns:a="http://schemas.openxmlformats.org/drawingml/2006/main">
                    <a:graphicData uri="http://schemas.openxmlformats.org/drawingml/2006/picture">
                      <pic:pic xmlns:pic="http://schemas.openxmlformats.org/drawingml/2006/picture">
                        <pic:nvPicPr>
                          <pic:cNvPr id="229" name="Picture_17_SpCnt_4"/>
                          <pic:cNvPicPr/>
                        </pic:nvPicPr>
                        <pic:blipFill>
                          <a:blip r:embed="rId15"/>
                          <a:stretch>
                            <a:fillRect/>
                          </a:stretch>
                        </pic:blipFill>
                        <pic:spPr>
                          <a:xfrm>
                            <a:off x="0" y="0"/>
                            <a:ext cx="7556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139065</wp:posOffset>
                  </wp:positionH>
                  <wp:positionV relativeFrom="paragraph">
                    <wp:posOffset>0</wp:posOffset>
                  </wp:positionV>
                  <wp:extent cx="71755" cy="294005"/>
                  <wp:effectExtent l="0" t="0" r="0" b="0"/>
                  <wp:wrapNone/>
                  <wp:docPr id="228" name="Picture_17_SpCnt_5"/>
                  <wp:cNvGraphicFramePr/>
                  <a:graphic xmlns:a="http://schemas.openxmlformats.org/drawingml/2006/main">
                    <a:graphicData uri="http://schemas.openxmlformats.org/drawingml/2006/picture">
                      <pic:pic xmlns:pic="http://schemas.openxmlformats.org/drawingml/2006/picture">
                        <pic:nvPicPr>
                          <pic:cNvPr id="228" name="Picture_17_SpCnt_5"/>
                          <pic:cNvPicPr/>
                        </pic:nvPicPr>
                        <pic:blipFill>
                          <a:blip r:embed="rId15"/>
                          <a:stretch>
                            <a:fillRect/>
                          </a:stretch>
                        </pic:blipFill>
                        <pic:spPr>
                          <a:xfrm>
                            <a:off x="0" y="0"/>
                            <a:ext cx="71755"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25120"/>
                  <wp:effectExtent l="0" t="0" r="0" b="0"/>
                  <wp:wrapNone/>
                  <wp:docPr id="471" name="Picture_17_SpCnt_6"/>
                  <wp:cNvGraphicFramePr/>
                  <a:graphic xmlns:a="http://schemas.openxmlformats.org/drawingml/2006/main">
                    <a:graphicData uri="http://schemas.openxmlformats.org/drawingml/2006/picture">
                      <pic:pic xmlns:pic="http://schemas.openxmlformats.org/drawingml/2006/picture">
                        <pic:nvPicPr>
                          <pic:cNvPr id="471" name="Picture_17_SpCnt_6"/>
                          <pic:cNvPicPr/>
                        </pic:nvPicPr>
                        <pic:blipFill>
                          <a:blip r:embed="rId15"/>
                          <a:stretch>
                            <a:fillRect/>
                          </a:stretch>
                        </pic:blipFill>
                        <pic:spPr>
                          <a:xfrm>
                            <a:off x="0" y="0"/>
                            <a:ext cx="83185"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02260"/>
                  <wp:effectExtent l="0" t="0" r="0" b="0"/>
                  <wp:wrapNone/>
                  <wp:docPr id="454" name="Picture_17_SpCnt_7"/>
                  <wp:cNvGraphicFramePr/>
                  <a:graphic xmlns:a="http://schemas.openxmlformats.org/drawingml/2006/main">
                    <a:graphicData uri="http://schemas.openxmlformats.org/drawingml/2006/picture">
                      <pic:pic xmlns:pic="http://schemas.openxmlformats.org/drawingml/2006/picture">
                        <pic:nvPicPr>
                          <pic:cNvPr id="454" name="Picture_17_SpCnt_7"/>
                          <pic:cNvPicPr/>
                        </pic:nvPicPr>
                        <pic:blipFill>
                          <a:blip r:embed="rId15"/>
                          <a:stretch>
                            <a:fillRect/>
                          </a:stretch>
                        </pic:blipFill>
                        <pic:spPr>
                          <a:xfrm>
                            <a:off x="0" y="0"/>
                            <a:ext cx="83185"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16865"/>
                  <wp:effectExtent l="0" t="0" r="0" b="0"/>
                  <wp:wrapNone/>
                  <wp:docPr id="481" name="Picture_17_SpCnt_8"/>
                  <wp:cNvGraphicFramePr/>
                  <a:graphic xmlns:a="http://schemas.openxmlformats.org/drawingml/2006/main">
                    <a:graphicData uri="http://schemas.openxmlformats.org/drawingml/2006/picture">
                      <pic:pic xmlns:pic="http://schemas.openxmlformats.org/drawingml/2006/picture">
                        <pic:nvPicPr>
                          <pic:cNvPr id="481" name="Picture_17_SpCnt_8"/>
                          <pic:cNvPicPr/>
                        </pic:nvPicPr>
                        <pic:blipFill>
                          <a:blip r:embed="rId15"/>
                          <a:stretch>
                            <a:fillRect/>
                          </a:stretch>
                        </pic:blipFill>
                        <pic:spPr>
                          <a:xfrm>
                            <a:off x="0" y="0"/>
                            <a:ext cx="8318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285750"/>
                  <wp:effectExtent l="0" t="0" r="0" b="0"/>
                  <wp:wrapNone/>
                  <wp:docPr id="456" name="Picture_17_SpCnt_9"/>
                  <wp:cNvGraphicFramePr/>
                  <a:graphic xmlns:a="http://schemas.openxmlformats.org/drawingml/2006/main">
                    <a:graphicData uri="http://schemas.openxmlformats.org/drawingml/2006/picture">
                      <pic:pic xmlns:pic="http://schemas.openxmlformats.org/drawingml/2006/picture">
                        <pic:nvPicPr>
                          <pic:cNvPr id="456" name="Picture_17_SpCnt_9"/>
                          <pic:cNvPicPr/>
                        </pic:nvPicPr>
                        <pic:blipFill>
                          <a:blip r:embed="rId15"/>
                          <a:stretch>
                            <a:fillRect/>
                          </a:stretch>
                        </pic:blipFill>
                        <pic:spPr>
                          <a:xfrm>
                            <a:off x="0" y="0"/>
                            <a:ext cx="8318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08610"/>
                  <wp:effectExtent l="0" t="0" r="0" b="0"/>
                  <wp:wrapNone/>
                  <wp:docPr id="466" name="Picture_17_SpCnt_10"/>
                  <wp:cNvGraphicFramePr/>
                  <a:graphic xmlns:a="http://schemas.openxmlformats.org/drawingml/2006/main">
                    <a:graphicData uri="http://schemas.openxmlformats.org/drawingml/2006/picture">
                      <pic:pic xmlns:pic="http://schemas.openxmlformats.org/drawingml/2006/picture">
                        <pic:nvPicPr>
                          <pic:cNvPr id="466" name="Picture_17_SpCnt_10"/>
                          <pic:cNvPicPr/>
                        </pic:nvPicPr>
                        <pic:blipFill>
                          <a:blip r:embed="rId15"/>
                          <a:stretch>
                            <a:fillRect/>
                          </a:stretch>
                        </pic:blipFill>
                        <pic:spPr>
                          <a:xfrm>
                            <a:off x="0" y="0"/>
                            <a:ext cx="83185" cy="3086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281305"/>
                  <wp:effectExtent l="0" t="0" r="0" b="0"/>
                  <wp:wrapNone/>
                  <wp:docPr id="455" name="Picture_17_SpCnt_11"/>
                  <wp:cNvGraphicFramePr/>
                  <a:graphic xmlns:a="http://schemas.openxmlformats.org/drawingml/2006/main">
                    <a:graphicData uri="http://schemas.openxmlformats.org/drawingml/2006/picture">
                      <pic:pic xmlns:pic="http://schemas.openxmlformats.org/drawingml/2006/picture">
                        <pic:nvPicPr>
                          <pic:cNvPr id="455" name="Picture_17_SpCnt_11"/>
                          <pic:cNvPicPr/>
                        </pic:nvPicPr>
                        <pic:blipFill>
                          <a:blip r:embed="rId15"/>
                          <a:stretch>
                            <a:fillRect/>
                          </a:stretch>
                        </pic:blipFill>
                        <pic:spPr>
                          <a:xfrm>
                            <a:off x="0" y="0"/>
                            <a:ext cx="8318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14325"/>
                  <wp:effectExtent l="0" t="0" r="0" b="0"/>
                  <wp:wrapNone/>
                  <wp:docPr id="467" name="Picture_17_SpCnt_12"/>
                  <wp:cNvGraphicFramePr/>
                  <a:graphic xmlns:a="http://schemas.openxmlformats.org/drawingml/2006/main">
                    <a:graphicData uri="http://schemas.openxmlformats.org/drawingml/2006/picture">
                      <pic:pic xmlns:pic="http://schemas.openxmlformats.org/drawingml/2006/picture">
                        <pic:nvPicPr>
                          <pic:cNvPr id="467" name="Picture_17_SpCnt_12"/>
                          <pic:cNvPicPr/>
                        </pic:nvPicPr>
                        <pic:blipFill>
                          <a:blip r:embed="rId15"/>
                          <a:stretch>
                            <a:fillRect/>
                          </a:stretch>
                        </pic:blipFill>
                        <pic:spPr>
                          <a:xfrm>
                            <a:off x="0" y="0"/>
                            <a:ext cx="83185"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274955"/>
                  <wp:effectExtent l="0" t="0" r="0" b="0"/>
                  <wp:wrapNone/>
                  <wp:docPr id="477" name="Picture_17_SpCnt_13"/>
                  <wp:cNvGraphicFramePr/>
                  <a:graphic xmlns:a="http://schemas.openxmlformats.org/drawingml/2006/main">
                    <a:graphicData uri="http://schemas.openxmlformats.org/drawingml/2006/picture">
                      <pic:pic xmlns:pic="http://schemas.openxmlformats.org/drawingml/2006/picture">
                        <pic:nvPicPr>
                          <pic:cNvPr id="477" name="Picture_17_SpCnt_13"/>
                          <pic:cNvPicPr/>
                        </pic:nvPicPr>
                        <pic:blipFill>
                          <a:blip r:embed="rId15"/>
                          <a:stretch>
                            <a:fillRect/>
                          </a:stretch>
                        </pic:blipFill>
                        <pic:spPr>
                          <a:xfrm>
                            <a:off x="0" y="0"/>
                            <a:ext cx="8318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297815"/>
                  <wp:effectExtent l="0" t="0" r="0" b="0"/>
                  <wp:wrapNone/>
                  <wp:docPr id="461" name="Picture_17_SpCnt_14"/>
                  <wp:cNvGraphicFramePr/>
                  <a:graphic xmlns:a="http://schemas.openxmlformats.org/drawingml/2006/main">
                    <a:graphicData uri="http://schemas.openxmlformats.org/drawingml/2006/picture">
                      <pic:pic xmlns:pic="http://schemas.openxmlformats.org/drawingml/2006/picture">
                        <pic:nvPicPr>
                          <pic:cNvPr id="461" name="Picture_17_SpCnt_14"/>
                          <pic:cNvPicPr/>
                        </pic:nvPicPr>
                        <pic:blipFill>
                          <a:blip r:embed="rId15"/>
                          <a:stretch>
                            <a:fillRect/>
                          </a:stretch>
                        </pic:blipFill>
                        <pic:spPr>
                          <a:xfrm>
                            <a:off x="0" y="0"/>
                            <a:ext cx="83185" cy="297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0</wp:posOffset>
                  </wp:positionV>
                  <wp:extent cx="83185" cy="318770"/>
                  <wp:effectExtent l="0" t="0" r="0" b="0"/>
                  <wp:wrapNone/>
                  <wp:docPr id="457" name="Picture_17_SpCnt_15"/>
                  <wp:cNvGraphicFramePr/>
                  <a:graphic xmlns:a="http://schemas.openxmlformats.org/drawingml/2006/main">
                    <a:graphicData uri="http://schemas.openxmlformats.org/drawingml/2006/picture">
                      <pic:pic xmlns:pic="http://schemas.openxmlformats.org/drawingml/2006/picture">
                        <pic:nvPicPr>
                          <pic:cNvPr id="457" name="Picture_17_SpCnt_15"/>
                          <pic:cNvPicPr/>
                        </pic:nvPicPr>
                        <pic:blipFill>
                          <a:blip r:embed="rId15"/>
                          <a:stretch>
                            <a:fillRect/>
                          </a:stretch>
                        </pic:blipFill>
                        <pic:spPr>
                          <a:xfrm>
                            <a:off x="0" y="0"/>
                            <a:ext cx="8318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153670</wp:posOffset>
                  </wp:positionH>
                  <wp:positionV relativeFrom="paragraph">
                    <wp:posOffset>0</wp:posOffset>
                  </wp:positionV>
                  <wp:extent cx="80010" cy="294005"/>
                  <wp:effectExtent l="0" t="0" r="0" b="0"/>
                  <wp:wrapNone/>
                  <wp:docPr id="460" name="Picture_17_SpCnt_16"/>
                  <wp:cNvGraphicFramePr/>
                  <a:graphic xmlns:a="http://schemas.openxmlformats.org/drawingml/2006/main">
                    <a:graphicData uri="http://schemas.openxmlformats.org/drawingml/2006/picture">
                      <pic:pic xmlns:pic="http://schemas.openxmlformats.org/drawingml/2006/picture">
                        <pic:nvPicPr>
                          <pic:cNvPr id="460" name="Picture_17_SpCnt_16"/>
                          <pic:cNvPicPr/>
                        </pic:nvPicPr>
                        <pic:blipFill>
                          <a:blip r:embed="rId15"/>
                          <a:stretch>
                            <a:fillRect/>
                          </a:stretch>
                        </pic:blipFill>
                        <pic:spPr>
                          <a:xfrm>
                            <a:off x="0" y="0"/>
                            <a:ext cx="80010"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153670</wp:posOffset>
                  </wp:positionH>
                  <wp:positionV relativeFrom="paragraph">
                    <wp:posOffset>0</wp:posOffset>
                  </wp:positionV>
                  <wp:extent cx="80010" cy="316865"/>
                  <wp:effectExtent l="0" t="0" r="0" b="0"/>
                  <wp:wrapNone/>
                  <wp:docPr id="474" name="Picture_17_SpCnt_17"/>
                  <wp:cNvGraphicFramePr/>
                  <a:graphic xmlns:a="http://schemas.openxmlformats.org/drawingml/2006/main">
                    <a:graphicData uri="http://schemas.openxmlformats.org/drawingml/2006/picture">
                      <pic:pic xmlns:pic="http://schemas.openxmlformats.org/drawingml/2006/picture">
                        <pic:nvPicPr>
                          <pic:cNvPr id="474" name="Picture_17_SpCnt_17"/>
                          <pic:cNvPicPr/>
                        </pic:nvPicPr>
                        <pic:blipFill>
                          <a:blip r:embed="rId15"/>
                          <a:stretch>
                            <a:fillRect/>
                          </a:stretch>
                        </pic:blipFill>
                        <pic:spPr>
                          <a:xfrm>
                            <a:off x="0" y="0"/>
                            <a:ext cx="8001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153670</wp:posOffset>
                  </wp:positionH>
                  <wp:positionV relativeFrom="paragraph">
                    <wp:posOffset>0</wp:posOffset>
                  </wp:positionV>
                  <wp:extent cx="80010" cy="285750"/>
                  <wp:effectExtent l="0" t="0" r="0" b="0"/>
                  <wp:wrapNone/>
                  <wp:docPr id="480" name="Picture_17_SpCnt_18"/>
                  <wp:cNvGraphicFramePr/>
                  <a:graphic xmlns:a="http://schemas.openxmlformats.org/drawingml/2006/main">
                    <a:graphicData uri="http://schemas.openxmlformats.org/drawingml/2006/picture">
                      <pic:pic xmlns:pic="http://schemas.openxmlformats.org/drawingml/2006/picture">
                        <pic:nvPicPr>
                          <pic:cNvPr id="480" name="Picture_17_SpCnt_18"/>
                          <pic:cNvPicPr/>
                        </pic:nvPicPr>
                        <pic:blipFill>
                          <a:blip r:embed="rId15"/>
                          <a:stretch>
                            <a:fillRect/>
                          </a:stretch>
                        </pic:blipFill>
                        <pic:spPr>
                          <a:xfrm>
                            <a:off x="0" y="0"/>
                            <a:ext cx="8001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217805</wp:posOffset>
                  </wp:positionH>
                  <wp:positionV relativeFrom="paragraph">
                    <wp:posOffset>0</wp:posOffset>
                  </wp:positionV>
                  <wp:extent cx="83185" cy="294005"/>
                  <wp:effectExtent l="0" t="0" r="0" b="0"/>
                  <wp:wrapNone/>
                  <wp:docPr id="478" name="Picture_18"/>
                  <wp:cNvGraphicFramePr/>
                  <a:graphic xmlns:a="http://schemas.openxmlformats.org/drawingml/2006/main">
                    <a:graphicData uri="http://schemas.openxmlformats.org/drawingml/2006/picture">
                      <pic:pic xmlns:pic="http://schemas.openxmlformats.org/drawingml/2006/picture">
                        <pic:nvPicPr>
                          <pic:cNvPr id="478" name="Picture_18"/>
                          <pic:cNvPicPr/>
                        </pic:nvPicPr>
                        <pic:blipFill>
                          <a:blip r:embed="rId15"/>
                          <a:stretch>
                            <a:fillRect/>
                          </a:stretch>
                        </pic:blipFill>
                        <pic:spPr>
                          <a:xfrm>
                            <a:off x="0" y="0"/>
                            <a:ext cx="83185"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217805</wp:posOffset>
                  </wp:positionH>
                  <wp:positionV relativeFrom="paragraph">
                    <wp:posOffset>0</wp:posOffset>
                  </wp:positionV>
                  <wp:extent cx="83185" cy="285750"/>
                  <wp:effectExtent l="0" t="0" r="0" b="0"/>
                  <wp:wrapNone/>
                  <wp:docPr id="464" name="Picture_18_SpCnt_1"/>
                  <wp:cNvGraphicFramePr/>
                  <a:graphic xmlns:a="http://schemas.openxmlformats.org/drawingml/2006/main">
                    <a:graphicData uri="http://schemas.openxmlformats.org/drawingml/2006/picture">
                      <pic:pic xmlns:pic="http://schemas.openxmlformats.org/drawingml/2006/picture">
                        <pic:nvPicPr>
                          <pic:cNvPr id="464" name="Picture_18_SpCnt_1"/>
                          <pic:cNvPicPr/>
                        </pic:nvPicPr>
                        <pic:blipFill>
                          <a:blip r:embed="rId15"/>
                          <a:stretch>
                            <a:fillRect/>
                          </a:stretch>
                        </pic:blipFill>
                        <pic:spPr>
                          <a:xfrm>
                            <a:off x="0" y="0"/>
                            <a:ext cx="8318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217805</wp:posOffset>
                  </wp:positionH>
                  <wp:positionV relativeFrom="paragraph">
                    <wp:posOffset>0</wp:posOffset>
                  </wp:positionV>
                  <wp:extent cx="83185" cy="316865"/>
                  <wp:effectExtent l="0" t="0" r="0" b="0"/>
                  <wp:wrapNone/>
                  <wp:docPr id="462" name="Picture_18_SpCnt_2"/>
                  <wp:cNvGraphicFramePr/>
                  <a:graphic xmlns:a="http://schemas.openxmlformats.org/drawingml/2006/main">
                    <a:graphicData uri="http://schemas.openxmlformats.org/drawingml/2006/picture">
                      <pic:pic xmlns:pic="http://schemas.openxmlformats.org/drawingml/2006/picture">
                        <pic:nvPicPr>
                          <pic:cNvPr id="462" name="Picture_18_SpCnt_2"/>
                          <pic:cNvPicPr/>
                        </pic:nvPicPr>
                        <pic:blipFill>
                          <a:blip r:embed="rId15"/>
                          <a:stretch>
                            <a:fillRect/>
                          </a:stretch>
                        </pic:blipFill>
                        <pic:spPr>
                          <a:xfrm>
                            <a:off x="0" y="0"/>
                            <a:ext cx="8318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220980</wp:posOffset>
                  </wp:positionH>
                  <wp:positionV relativeFrom="paragraph">
                    <wp:posOffset>0</wp:posOffset>
                  </wp:positionV>
                  <wp:extent cx="80010" cy="302260"/>
                  <wp:effectExtent l="0" t="0" r="0" b="0"/>
                  <wp:wrapNone/>
                  <wp:docPr id="468" name="Picture_18_SpCnt_3"/>
                  <wp:cNvGraphicFramePr/>
                  <a:graphic xmlns:a="http://schemas.openxmlformats.org/drawingml/2006/main">
                    <a:graphicData uri="http://schemas.openxmlformats.org/drawingml/2006/picture">
                      <pic:pic xmlns:pic="http://schemas.openxmlformats.org/drawingml/2006/picture">
                        <pic:nvPicPr>
                          <pic:cNvPr id="468" name="Picture_18_SpCnt_3"/>
                          <pic:cNvPicPr/>
                        </pic:nvPicPr>
                        <pic:blipFill>
                          <a:blip r:embed="rId15"/>
                          <a:stretch>
                            <a:fillRect/>
                          </a:stretch>
                        </pic:blipFill>
                        <pic:spPr>
                          <a:xfrm>
                            <a:off x="0" y="0"/>
                            <a:ext cx="80010"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220980</wp:posOffset>
                  </wp:positionH>
                  <wp:positionV relativeFrom="paragraph">
                    <wp:posOffset>0</wp:posOffset>
                  </wp:positionV>
                  <wp:extent cx="80010" cy="316865"/>
                  <wp:effectExtent l="0" t="0" r="0" b="0"/>
                  <wp:wrapNone/>
                  <wp:docPr id="465" name="Picture_18_SpCnt_4"/>
                  <wp:cNvGraphicFramePr/>
                  <a:graphic xmlns:a="http://schemas.openxmlformats.org/drawingml/2006/main">
                    <a:graphicData uri="http://schemas.openxmlformats.org/drawingml/2006/picture">
                      <pic:pic xmlns:pic="http://schemas.openxmlformats.org/drawingml/2006/picture">
                        <pic:nvPicPr>
                          <pic:cNvPr id="465" name="Picture_18_SpCnt_4"/>
                          <pic:cNvPicPr/>
                        </pic:nvPicPr>
                        <pic:blipFill>
                          <a:blip r:embed="rId15"/>
                          <a:stretch>
                            <a:fillRect/>
                          </a:stretch>
                        </pic:blipFill>
                        <pic:spPr>
                          <a:xfrm>
                            <a:off x="0" y="0"/>
                            <a:ext cx="8001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302260"/>
                  <wp:effectExtent l="0" t="0" r="0" b="0"/>
                  <wp:wrapNone/>
                  <wp:docPr id="482" name="Picture_18_SpCnt_6"/>
                  <wp:cNvGraphicFramePr/>
                  <a:graphic xmlns:a="http://schemas.openxmlformats.org/drawingml/2006/main">
                    <a:graphicData uri="http://schemas.openxmlformats.org/drawingml/2006/picture">
                      <pic:pic xmlns:pic="http://schemas.openxmlformats.org/drawingml/2006/picture">
                        <pic:nvPicPr>
                          <pic:cNvPr id="482" name="Picture_18_SpCnt_6"/>
                          <pic:cNvPicPr/>
                        </pic:nvPicPr>
                        <pic:blipFill>
                          <a:blip r:embed="rId15"/>
                          <a:stretch>
                            <a:fillRect/>
                          </a:stretch>
                        </pic:blipFill>
                        <pic:spPr>
                          <a:xfrm>
                            <a:off x="0" y="0"/>
                            <a:ext cx="83820"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7630" cy="302260"/>
                  <wp:effectExtent l="0" t="0" r="0" b="0"/>
                  <wp:wrapNone/>
                  <wp:docPr id="470" name="Picture_18_SpCnt_7"/>
                  <wp:cNvGraphicFramePr/>
                  <a:graphic xmlns:a="http://schemas.openxmlformats.org/drawingml/2006/main">
                    <a:graphicData uri="http://schemas.openxmlformats.org/drawingml/2006/picture">
                      <pic:pic xmlns:pic="http://schemas.openxmlformats.org/drawingml/2006/picture">
                        <pic:nvPicPr>
                          <pic:cNvPr id="470" name="Picture_18_SpCnt_7"/>
                          <pic:cNvPicPr/>
                        </pic:nvPicPr>
                        <pic:blipFill>
                          <a:blip r:embed="rId15"/>
                          <a:stretch>
                            <a:fillRect/>
                          </a:stretch>
                        </pic:blipFill>
                        <pic:spPr>
                          <a:xfrm>
                            <a:off x="0" y="0"/>
                            <a:ext cx="87630"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285750"/>
                  <wp:effectExtent l="0" t="0" r="0" b="0"/>
                  <wp:wrapNone/>
                  <wp:docPr id="458" name="Picture_18_SpCnt_8"/>
                  <wp:cNvGraphicFramePr/>
                  <a:graphic xmlns:a="http://schemas.openxmlformats.org/drawingml/2006/main">
                    <a:graphicData uri="http://schemas.openxmlformats.org/drawingml/2006/picture">
                      <pic:pic xmlns:pic="http://schemas.openxmlformats.org/drawingml/2006/picture">
                        <pic:nvPicPr>
                          <pic:cNvPr id="458" name="Picture_18_SpCnt_8"/>
                          <pic:cNvPicPr/>
                        </pic:nvPicPr>
                        <pic:blipFill>
                          <a:blip r:embed="rId15"/>
                          <a:stretch>
                            <a:fillRect/>
                          </a:stretch>
                        </pic:blipFill>
                        <pic:spPr>
                          <a:xfrm>
                            <a:off x="0" y="0"/>
                            <a:ext cx="8382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7630" cy="316865"/>
                  <wp:effectExtent l="0" t="0" r="0" b="0"/>
                  <wp:wrapNone/>
                  <wp:docPr id="472" name="Picture_18_SpCnt_9"/>
                  <wp:cNvGraphicFramePr/>
                  <a:graphic xmlns:a="http://schemas.openxmlformats.org/drawingml/2006/main">
                    <a:graphicData uri="http://schemas.openxmlformats.org/drawingml/2006/picture">
                      <pic:pic xmlns:pic="http://schemas.openxmlformats.org/drawingml/2006/picture">
                        <pic:nvPicPr>
                          <pic:cNvPr id="472" name="Picture_18_SpCnt_9"/>
                          <pic:cNvPicPr/>
                        </pic:nvPicPr>
                        <pic:blipFill>
                          <a:blip r:embed="rId15"/>
                          <a:stretch>
                            <a:fillRect/>
                          </a:stretch>
                        </pic:blipFill>
                        <pic:spPr>
                          <a:xfrm>
                            <a:off x="0" y="0"/>
                            <a:ext cx="8763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314325"/>
                  <wp:effectExtent l="0" t="0" r="0" b="0"/>
                  <wp:wrapNone/>
                  <wp:docPr id="459" name="Picture_18_SpCnt_10"/>
                  <wp:cNvGraphicFramePr/>
                  <a:graphic xmlns:a="http://schemas.openxmlformats.org/drawingml/2006/main">
                    <a:graphicData uri="http://schemas.openxmlformats.org/drawingml/2006/picture">
                      <pic:pic xmlns:pic="http://schemas.openxmlformats.org/drawingml/2006/picture">
                        <pic:nvPicPr>
                          <pic:cNvPr id="459" name="Picture_18_SpCnt_10"/>
                          <pic:cNvPicPr/>
                        </pic:nvPicPr>
                        <pic:blipFill>
                          <a:blip r:embed="rId15"/>
                          <a:stretch>
                            <a:fillRect/>
                          </a:stretch>
                        </pic:blipFill>
                        <pic:spPr>
                          <a:xfrm>
                            <a:off x="0" y="0"/>
                            <a:ext cx="92075"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308610"/>
                  <wp:effectExtent l="0" t="0" r="0" b="0"/>
                  <wp:wrapNone/>
                  <wp:docPr id="483" name="Picture_18_SpCnt_11"/>
                  <wp:cNvGraphicFramePr/>
                  <a:graphic xmlns:a="http://schemas.openxmlformats.org/drawingml/2006/main">
                    <a:graphicData uri="http://schemas.openxmlformats.org/drawingml/2006/picture">
                      <pic:pic xmlns:pic="http://schemas.openxmlformats.org/drawingml/2006/picture">
                        <pic:nvPicPr>
                          <pic:cNvPr id="483" name="Picture_18_SpCnt_11"/>
                          <pic:cNvPicPr/>
                        </pic:nvPicPr>
                        <pic:blipFill>
                          <a:blip r:embed="rId15"/>
                          <a:stretch>
                            <a:fillRect/>
                          </a:stretch>
                        </pic:blipFill>
                        <pic:spPr>
                          <a:xfrm>
                            <a:off x="0" y="0"/>
                            <a:ext cx="92075" cy="3086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7630" cy="285750"/>
                  <wp:effectExtent l="0" t="0" r="0" b="0"/>
                  <wp:wrapNone/>
                  <wp:docPr id="463" name="Picture_18_SpCnt_12"/>
                  <wp:cNvGraphicFramePr/>
                  <a:graphic xmlns:a="http://schemas.openxmlformats.org/drawingml/2006/main">
                    <a:graphicData uri="http://schemas.openxmlformats.org/drawingml/2006/picture">
                      <pic:pic xmlns:pic="http://schemas.openxmlformats.org/drawingml/2006/picture">
                        <pic:nvPicPr>
                          <pic:cNvPr id="463" name="Picture_18_SpCnt_12"/>
                          <pic:cNvPicPr/>
                        </pic:nvPicPr>
                        <pic:blipFill>
                          <a:blip r:embed="rId15"/>
                          <a:stretch>
                            <a:fillRect/>
                          </a:stretch>
                        </pic:blipFill>
                        <pic:spPr>
                          <a:xfrm>
                            <a:off x="0" y="0"/>
                            <a:ext cx="8763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318770"/>
                  <wp:effectExtent l="0" t="0" r="0" b="0"/>
                  <wp:wrapNone/>
                  <wp:docPr id="473" name="Picture_18_SpCnt_13"/>
                  <wp:cNvGraphicFramePr/>
                  <a:graphic xmlns:a="http://schemas.openxmlformats.org/drawingml/2006/main">
                    <a:graphicData uri="http://schemas.openxmlformats.org/drawingml/2006/picture">
                      <pic:pic xmlns:pic="http://schemas.openxmlformats.org/drawingml/2006/picture">
                        <pic:nvPicPr>
                          <pic:cNvPr id="473" name="Picture_18_SpCnt_13"/>
                          <pic:cNvPicPr/>
                        </pic:nvPicPr>
                        <pic:blipFill>
                          <a:blip r:embed="rId15"/>
                          <a:stretch>
                            <a:fillRect/>
                          </a:stretch>
                        </pic:blipFill>
                        <pic:spPr>
                          <a:xfrm>
                            <a:off x="0" y="0"/>
                            <a:ext cx="9207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297815"/>
                  <wp:effectExtent l="0" t="0" r="0" b="0"/>
                  <wp:wrapNone/>
                  <wp:docPr id="484" name="Picture_18_SpCnt_14"/>
                  <wp:cNvGraphicFramePr/>
                  <a:graphic xmlns:a="http://schemas.openxmlformats.org/drawingml/2006/main">
                    <a:graphicData uri="http://schemas.openxmlformats.org/drawingml/2006/picture">
                      <pic:pic xmlns:pic="http://schemas.openxmlformats.org/drawingml/2006/picture">
                        <pic:nvPicPr>
                          <pic:cNvPr id="484" name="Picture_18_SpCnt_14"/>
                          <pic:cNvPicPr/>
                        </pic:nvPicPr>
                        <pic:blipFill>
                          <a:blip r:embed="rId15"/>
                          <a:stretch>
                            <a:fillRect/>
                          </a:stretch>
                        </pic:blipFill>
                        <pic:spPr>
                          <a:xfrm>
                            <a:off x="0" y="0"/>
                            <a:ext cx="92075" cy="297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281305"/>
                  <wp:effectExtent l="0" t="0" r="0" b="0"/>
                  <wp:wrapNone/>
                  <wp:docPr id="475" name="Picture_18_SpCnt_15"/>
                  <wp:cNvGraphicFramePr/>
                  <a:graphic xmlns:a="http://schemas.openxmlformats.org/drawingml/2006/main">
                    <a:graphicData uri="http://schemas.openxmlformats.org/drawingml/2006/picture">
                      <pic:pic xmlns:pic="http://schemas.openxmlformats.org/drawingml/2006/picture">
                        <pic:nvPicPr>
                          <pic:cNvPr id="475" name="Picture_18_SpCnt_15"/>
                          <pic:cNvPicPr/>
                        </pic:nvPicPr>
                        <pic:blipFill>
                          <a:blip r:embed="rId15"/>
                          <a:stretch>
                            <a:fillRect/>
                          </a:stretch>
                        </pic:blipFill>
                        <pic:spPr>
                          <a:xfrm>
                            <a:off x="0" y="0"/>
                            <a:ext cx="9207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325120"/>
                  <wp:effectExtent l="0" t="0" r="0" b="0"/>
                  <wp:wrapNone/>
                  <wp:docPr id="476" name="Picture_18_SpCnt_16"/>
                  <wp:cNvGraphicFramePr/>
                  <a:graphic xmlns:a="http://schemas.openxmlformats.org/drawingml/2006/main">
                    <a:graphicData uri="http://schemas.openxmlformats.org/drawingml/2006/picture">
                      <pic:pic xmlns:pic="http://schemas.openxmlformats.org/drawingml/2006/picture">
                        <pic:nvPicPr>
                          <pic:cNvPr id="476" name="Picture_18_SpCnt_16"/>
                          <pic:cNvPicPr/>
                        </pic:nvPicPr>
                        <pic:blipFill>
                          <a:blip r:embed="rId15"/>
                          <a:stretch>
                            <a:fillRect/>
                          </a:stretch>
                        </pic:blipFill>
                        <pic:spPr>
                          <a:xfrm>
                            <a:off x="0" y="0"/>
                            <a:ext cx="92075"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294005"/>
                  <wp:effectExtent l="0" t="0" r="0" b="0"/>
                  <wp:wrapNone/>
                  <wp:docPr id="479" name="Picture_18_SpCnt_17"/>
                  <wp:cNvGraphicFramePr/>
                  <a:graphic xmlns:a="http://schemas.openxmlformats.org/drawingml/2006/main">
                    <a:graphicData uri="http://schemas.openxmlformats.org/drawingml/2006/picture">
                      <pic:pic xmlns:pic="http://schemas.openxmlformats.org/drawingml/2006/picture">
                        <pic:nvPicPr>
                          <pic:cNvPr id="479" name="Picture_18_SpCnt_17"/>
                          <pic:cNvPicPr/>
                        </pic:nvPicPr>
                        <pic:blipFill>
                          <a:blip r:embed="rId15"/>
                          <a:stretch>
                            <a:fillRect/>
                          </a:stretch>
                        </pic:blipFill>
                        <pic:spPr>
                          <a:xfrm>
                            <a:off x="0" y="0"/>
                            <a:ext cx="92075" cy="2940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314325"/>
                  <wp:effectExtent l="0" t="0" r="0" b="0"/>
                  <wp:wrapNone/>
                  <wp:docPr id="453" name="Picture_18_SpCnt_18"/>
                  <wp:cNvGraphicFramePr/>
                  <a:graphic xmlns:a="http://schemas.openxmlformats.org/drawingml/2006/main">
                    <a:graphicData uri="http://schemas.openxmlformats.org/drawingml/2006/picture">
                      <pic:pic xmlns:pic="http://schemas.openxmlformats.org/drawingml/2006/picture">
                        <pic:nvPicPr>
                          <pic:cNvPr id="453" name="Picture_18_SpCnt_18"/>
                          <pic:cNvPicPr/>
                        </pic:nvPicPr>
                        <pic:blipFill>
                          <a:blip r:embed="rId15"/>
                          <a:stretch>
                            <a:fillRect/>
                          </a:stretch>
                        </pic:blipFill>
                        <pic:spPr>
                          <a:xfrm>
                            <a:off x="0" y="0"/>
                            <a:ext cx="83820"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281305"/>
                  <wp:effectExtent l="0" t="0" r="0" b="0"/>
                  <wp:wrapNone/>
                  <wp:docPr id="485" name="Picture_18_SpCnt_19"/>
                  <wp:cNvGraphicFramePr/>
                  <a:graphic xmlns:a="http://schemas.openxmlformats.org/drawingml/2006/main">
                    <a:graphicData uri="http://schemas.openxmlformats.org/drawingml/2006/picture">
                      <pic:pic xmlns:pic="http://schemas.openxmlformats.org/drawingml/2006/picture">
                        <pic:nvPicPr>
                          <pic:cNvPr id="485" name="Picture_18_SpCnt_19"/>
                          <pic:cNvPicPr/>
                        </pic:nvPicPr>
                        <pic:blipFill>
                          <a:blip r:embed="rId15"/>
                          <a:stretch>
                            <a:fillRect/>
                          </a:stretch>
                        </pic:blipFill>
                        <pic:spPr>
                          <a:xfrm>
                            <a:off x="0" y="0"/>
                            <a:ext cx="8382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274955"/>
                  <wp:effectExtent l="0" t="0" r="0" b="0"/>
                  <wp:wrapNone/>
                  <wp:docPr id="487" name="Picture_18_SpCnt_20"/>
                  <wp:cNvGraphicFramePr/>
                  <a:graphic xmlns:a="http://schemas.openxmlformats.org/drawingml/2006/main">
                    <a:graphicData uri="http://schemas.openxmlformats.org/drawingml/2006/picture">
                      <pic:pic xmlns:pic="http://schemas.openxmlformats.org/drawingml/2006/picture">
                        <pic:nvPicPr>
                          <pic:cNvPr id="487" name="Picture_18_SpCnt_20"/>
                          <pic:cNvPicPr/>
                        </pic:nvPicPr>
                        <pic:blipFill>
                          <a:blip r:embed="rId15"/>
                          <a:stretch>
                            <a:fillRect/>
                          </a:stretch>
                        </pic:blipFill>
                        <pic:spPr>
                          <a:xfrm>
                            <a:off x="0" y="0"/>
                            <a:ext cx="9207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297815"/>
                  <wp:effectExtent l="0" t="0" r="0" b="0"/>
                  <wp:wrapNone/>
                  <wp:docPr id="486" name="Picture_18_SpCnt_21"/>
                  <wp:cNvGraphicFramePr/>
                  <a:graphic xmlns:a="http://schemas.openxmlformats.org/drawingml/2006/main">
                    <a:graphicData uri="http://schemas.openxmlformats.org/drawingml/2006/picture">
                      <pic:pic xmlns:pic="http://schemas.openxmlformats.org/drawingml/2006/picture">
                        <pic:nvPicPr>
                          <pic:cNvPr id="486" name="Picture_18_SpCnt_21"/>
                          <pic:cNvPicPr/>
                        </pic:nvPicPr>
                        <pic:blipFill>
                          <a:blip r:embed="rId15"/>
                          <a:stretch>
                            <a:fillRect/>
                          </a:stretch>
                        </pic:blipFill>
                        <pic:spPr>
                          <a:xfrm>
                            <a:off x="0" y="0"/>
                            <a:ext cx="83820" cy="29781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274955"/>
                  <wp:effectExtent l="0" t="0" r="0" b="0"/>
                  <wp:wrapNone/>
                  <wp:docPr id="283" name="Picture_18_SpCnt_22"/>
                  <wp:cNvGraphicFramePr/>
                  <a:graphic xmlns:a="http://schemas.openxmlformats.org/drawingml/2006/main">
                    <a:graphicData uri="http://schemas.openxmlformats.org/drawingml/2006/picture">
                      <pic:pic xmlns:pic="http://schemas.openxmlformats.org/drawingml/2006/picture">
                        <pic:nvPicPr>
                          <pic:cNvPr id="283" name="Picture_18_SpCnt_22"/>
                          <pic:cNvPicPr/>
                        </pic:nvPicPr>
                        <pic:blipFill>
                          <a:blip r:embed="rId15"/>
                          <a:stretch>
                            <a:fillRect/>
                          </a:stretch>
                        </pic:blipFill>
                        <pic:spPr>
                          <a:xfrm>
                            <a:off x="0" y="0"/>
                            <a:ext cx="83820"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316865"/>
                  <wp:effectExtent l="0" t="0" r="0" b="0"/>
                  <wp:wrapNone/>
                  <wp:docPr id="271" name="Picture_18_SpCnt_23"/>
                  <wp:cNvGraphicFramePr/>
                  <a:graphic xmlns:a="http://schemas.openxmlformats.org/drawingml/2006/main">
                    <a:graphicData uri="http://schemas.openxmlformats.org/drawingml/2006/picture">
                      <pic:pic xmlns:pic="http://schemas.openxmlformats.org/drawingml/2006/picture">
                        <pic:nvPicPr>
                          <pic:cNvPr id="271" name="Picture_18_SpCnt_23"/>
                          <pic:cNvPicPr/>
                        </pic:nvPicPr>
                        <pic:blipFill>
                          <a:blip r:embed="rId15"/>
                          <a:stretch>
                            <a:fillRect/>
                          </a:stretch>
                        </pic:blipFill>
                        <pic:spPr>
                          <a:xfrm>
                            <a:off x="0" y="0"/>
                            <a:ext cx="92075"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318770"/>
                  <wp:effectExtent l="0" t="0" r="0" b="0"/>
                  <wp:wrapNone/>
                  <wp:docPr id="279" name="Picture_18_SpCnt_24"/>
                  <wp:cNvGraphicFramePr/>
                  <a:graphic xmlns:a="http://schemas.openxmlformats.org/drawingml/2006/main">
                    <a:graphicData uri="http://schemas.openxmlformats.org/drawingml/2006/picture">
                      <pic:pic xmlns:pic="http://schemas.openxmlformats.org/drawingml/2006/picture">
                        <pic:nvPicPr>
                          <pic:cNvPr id="279" name="Picture_18_SpCnt_24"/>
                          <pic:cNvPicPr/>
                        </pic:nvPicPr>
                        <pic:blipFill>
                          <a:blip r:embed="rId15"/>
                          <a:stretch>
                            <a:fillRect/>
                          </a:stretch>
                        </pic:blipFill>
                        <pic:spPr>
                          <a:xfrm>
                            <a:off x="0" y="0"/>
                            <a:ext cx="8382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241935</wp:posOffset>
                  </wp:positionH>
                  <wp:positionV relativeFrom="paragraph">
                    <wp:posOffset>0</wp:posOffset>
                  </wp:positionV>
                  <wp:extent cx="92075" cy="285750"/>
                  <wp:effectExtent l="0" t="0" r="0" b="0"/>
                  <wp:wrapNone/>
                  <wp:docPr id="269" name="Picture_18_SpCnt_25"/>
                  <wp:cNvGraphicFramePr/>
                  <a:graphic xmlns:a="http://schemas.openxmlformats.org/drawingml/2006/main">
                    <a:graphicData uri="http://schemas.openxmlformats.org/drawingml/2006/picture">
                      <pic:pic xmlns:pic="http://schemas.openxmlformats.org/drawingml/2006/picture">
                        <pic:nvPicPr>
                          <pic:cNvPr id="269" name="Picture_18_SpCnt_25"/>
                          <pic:cNvPicPr/>
                        </pic:nvPicPr>
                        <pic:blipFill>
                          <a:blip r:embed="rId15"/>
                          <a:stretch>
                            <a:fillRect/>
                          </a:stretch>
                        </pic:blipFill>
                        <pic:spPr>
                          <a:xfrm>
                            <a:off x="0" y="0"/>
                            <a:ext cx="9207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0</wp:posOffset>
                  </wp:positionV>
                  <wp:extent cx="83820" cy="325120"/>
                  <wp:effectExtent l="0" t="0" r="0" b="0"/>
                  <wp:wrapNone/>
                  <wp:docPr id="272" name="Picture_18_SpCnt_26"/>
                  <wp:cNvGraphicFramePr/>
                  <a:graphic xmlns:a="http://schemas.openxmlformats.org/drawingml/2006/main">
                    <a:graphicData uri="http://schemas.openxmlformats.org/drawingml/2006/picture">
                      <pic:pic xmlns:pic="http://schemas.openxmlformats.org/drawingml/2006/picture">
                        <pic:nvPicPr>
                          <pic:cNvPr id="272" name="Picture_18_SpCnt_26"/>
                          <pic:cNvPicPr/>
                        </pic:nvPicPr>
                        <pic:blipFill>
                          <a:blip r:embed="rId15"/>
                          <a:stretch>
                            <a:fillRect/>
                          </a:stretch>
                        </pic:blipFill>
                        <pic:spPr>
                          <a:xfrm>
                            <a:off x="0" y="0"/>
                            <a:ext cx="83820"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79375" cy="285750"/>
                  <wp:effectExtent l="0" t="0" r="0" b="0"/>
                  <wp:wrapNone/>
                  <wp:docPr id="280" name="Picture_18_SpCnt_27"/>
                  <wp:cNvGraphicFramePr/>
                  <a:graphic xmlns:a="http://schemas.openxmlformats.org/drawingml/2006/main">
                    <a:graphicData uri="http://schemas.openxmlformats.org/drawingml/2006/picture">
                      <pic:pic xmlns:pic="http://schemas.openxmlformats.org/drawingml/2006/picture">
                        <pic:nvPicPr>
                          <pic:cNvPr id="280" name="Picture_18_SpCnt_27"/>
                          <pic:cNvPicPr/>
                        </pic:nvPicPr>
                        <pic:blipFill>
                          <a:blip r:embed="rId15"/>
                          <a:stretch>
                            <a:fillRect/>
                          </a:stretch>
                        </pic:blipFill>
                        <pic:spPr>
                          <a:xfrm>
                            <a:off x="0" y="0"/>
                            <a:ext cx="7937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79375" cy="325120"/>
                  <wp:effectExtent l="0" t="0" r="0" b="0"/>
                  <wp:wrapNone/>
                  <wp:docPr id="282" name="Picture_18_SpCnt_28"/>
                  <wp:cNvGraphicFramePr/>
                  <a:graphic xmlns:a="http://schemas.openxmlformats.org/drawingml/2006/main">
                    <a:graphicData uri="http://schemas.openxmlformats.org/drawingml/2006/picture">
                      <pic:pic xmlns:pic="http://schemas.openxmlformats.org/drawingml/2006/picture">
                        <pic:nvPicPr>
                          <pic:cNvPr id="282" name="Picture_18_SpCnt_28"/>
                          <pic:cNvPicPr/>
                        </pic:nvPicPr>
                        <pic:blipFill>
                          <a:blip r:embed="rId15"/>
                          <a:stretch>
                            <a:fillRect/>
                          </a:stretch>
                        </pic:blipFill>
                        <pic:spPr>
                          <a:xfrm>
                            <a:off x="0" y="0"/>
                            <a:ext cx="79375"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314325"/>
                  <wp:effectExtent l="0" t="0" r="0" b="0"/>
                  <wp:wrapNone/>
                  <wp:docPr id="295" name="Picture_18_SpCnt_29"/>
                  <wp:cNvGraphicFramePr/>
                  <a:graphic xmlns:a="http://schemas.openxmlformats.org/drawingml/2006/main">
                    <a:graphicData uri="http://schemas.openxmlformats.org/drawingml/2006/picture">
                      <pic:pic xmlns:pic="http://schemas.openxmlformats.org/drawingml/2006/picture">
                        <pic:nvPicPr>
                          <pic:cNvPr id="295" name="Picture_18_SpCnt_29"/>
                          <pic:cNvPicPr/>
                        </pic:nvPicPr>
                        <pic:blipFill>
                          <a:blip r:embed="rId15"/>
                          <a:stretch>
                            <a:fillRect/>
                          </a:stretch>
                        </pic:blipFill>
                        <pic:spPr>
                          <a:xfrm>
                            <a:off x="0" y="0"/>
                            <a:ext cx="83185" cy="31432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308610"/>
                  <wp:effectExtent l="0" t="0" r="0" b="0"/>
                  <wp:wrapNone/>
                  <wp:docPr id="296" name="Picture_18_SpCnt_30"/>
                  <wp:cNvGraphicFramePr/>
                  <a:graphic xmlns:a="http://schemas.openxmlformats.org/drawingml/2006/main">
                    <a:graphicData uri="http://schemas.openxmlformats.org/drawingml/2006/picture">
                      <pic:pic xmlns:pic="http://schemas.openxmlformats.org/drawingml/2006/picture">
                        <pic:nvPicPr>
                          <pic:cNvPr id="296" name="Picture_18_SpCnt_30"/>
                          <pic:cNvPicPr/>
                        </pic:nvPicPr>
                        <pic:blipFill>
                          <a:blip r:embed="rId15"/>
                          <a:stretch>
                            <a:fillRect/>
                          </a:stretch>
                        </pic:blipFill>
                        <pic:spPr>
                          <a:xfrm>
                            <a:off x="0" y="0"/>
                            <a:ext cx="83185" cy="30861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318770"/>
                  <wp:effectExtent l="0" t="0" r="0" b="0"/>
                  <wp:wrapNone/>
                  <wp:docPr id="287" name="Picture_18_SpCnt_31"/>
                  <wp:cNvGraphicFramePr/>
                  <a:graphic xmlns:a="http://schemas.openxmlformats.org/drawingml/2006/main">
                    <a:graphicData uri="http://schemas.openxmlformats.org/drawingml/2006/picture">
                      <pic:pic xmlns:pic="http://schemas.openxmlformats.org/drawingml/2006/picture">
                        <pic:nvPicPr>
                          <pic:cNvPr id="287" name="Picture_18_SpCnt_31"/>
                          <pic:cNvPicPr/>
                        </pic:nvPicPr>
                        <pic:blipFill>
                          <a:blip r:embed="rId15"/>
                          <a:stretch>
                            <a:fillRect/>
                          </a:stretch>
                        </pic:blipFill>
                        <pic:spPr>
                          <a:xfrm>
                            <a:off x="0" y="0"/>
                            <a:ext cx="83185"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285750"/>
                  <wp:effectExtent l="0" t="0" r="0" b="0"/>
                  <wp:wrapNone/>
                  <wp:docPr id="278" name="Picture_18_SpCnt_32"/>
                  <wp:cNvGraphicFramePr/>
                  <a:graphic xmlns:a="http://schemas.openxmlformats.org/drawingml/2006/main">
                    <a:graphicData uri="http://schemas.openxmlformats.org/drawingml/2006/picture">
                      <pic:pic xmlns:pic="http://schemas.openxmlformats.org/drawingml/2006/picture">
                        <pic:nvPicPr>
                          <pic:cNvPr id="278" name="Picture_18_SpCnt_32"/>
                          <pic:cNvPicPr/>
                        </pic:nvPicPr>
                        <pic:blipFill>
                          <a:blip r:embed="rId15"/>
                          <a:stretch>
                            <a:fillRect/>
                          </a:stretch>
                        </pic:blipFill>
                        <pic:spPr>
                          <a:xfrm>
                            <a:off x="0" y="0"/>
                            <a:ext cx="8318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302260"/>
                  <wp:effectExtent l="0" t="0" r="0" b="0"/>
                  <wp:wrapNone/>
                  <wp:docPr id="284" name="Picture_18_SpCnt_33"/>
                  <wp:cNvGraphicFramePr/>
                  <a:graphic xmlns:a="http://schemas.openxmlformats.org/drawingml/2006/main">
                    <a:graphicData uri="http://schemas.openxmlformats.org/drawingml/2006/picture">
                      <pic:pic xmlns:pic="http://schemas.openxmlformats.org/drawingml/2006/picture">
                        <pic:nvPicPr>
                          <pic:cNvPr id="284" name="Picture_18_SpCnt_33"/>
                          <pic:cNvPicPr/>
                        </pic:nvPicPr>
                        <pic:blipFill>
                          <a:blip r:embed="rId15"/>
                          <a:stretch>
                            <a:fillRect/>
                          </a:stretch>
                        </pic:blipFill>
                        <pic:spPr>
                          <a:xfrm>
                            <a:off x="0" y="0"/>
                            <a:ext cx="83185" cy="30226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325120"/>
                  <wp:effectExtent l="0" t="0" r="0" b="0"/>
                  <wp:wrapNone/>
                  <wp:docPr id="270" name="Picture_18_SpCnt_34"/>
                  <wp:cNvGraphicFramePr/>
                  <a:graphic xmlns:a="http://schemas.openxmlformats.org/drawingml/2006/main">
                    <a:graphicData uri="http://schemas.openxmlformats.org/drawingml/2006/picture">
                      <pic:pic xmlns:pic="http://schemas.openxmlformats.org/drawingml/2006/picture">
                        <pic:nvPicPr>
                          <pic:cNvPr id="270" name="Picture_18_SpCnt_34"/>
                          <pic:cNvPicPr/>
                        </pic:nvPicPr>
                        <pic:blipFill>
                          <a:blip r:embed="rId15"/>
                          <a:stretch>
                            <a:fillRect/>
                          </a:stretch>
                        </pic:blipFill>
                        <pic:spPr>
                          <a:xfrm>
                            <a:off x="0" y="0"/>
                            <a:ext cx="83185" cy="32512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281305"/>
                  <wp:effectExtent l="0" t="0" r="0" b="0"/>
                  <wp:wrapNone/>
                  <wp:docPr id="288" name="Picture_18_SpCnt_35"/>
                  <wp:cNvGraphicFramePr/>
                  <a:graphic xmlns:a="http://schemas.openxmlformats.org/drawingml/2006/main">
                    <a:graphicData uri="http://schemas.openxmlformats.org/drawingml/2006/picture">
                      <pic:pic xmlns:pic="http://schemas.openxmlformats.org/drawingml/2006/picture">
                        <pic:nvPicPr>
                          <pic:cNvPr id="288" name="Picture_18_SpCnt_35"/>
                          <pic:cNvPicPr/>
                        </pic:nvPicPr>
                        <pic:blipFill>
                          <a:blip r:embed="rId15"/>
                          <a:stretch>
                            <a:fillRect/>
                          </a:stretch>
                        </pic:blipFill>
                        <pic:spPr>
                          <a:xfrm>
                            <a:off x="0" y="0"/>
                            <a:ext cx="8318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250825</wp:posOffset>
                  </wp:positionH>
                  <wp:positionV relativeFrom="paragraph">
                    <wp:posOffset>0</wp:posOffset>
                  </wp:positionV>
                  <wp:extent cx="83185" cy="274955"/>
                  <wp:effectExtent l="0" t="0" r="0" b="0"/>
                  <wp:wrapNone/>
                  <wp:docPr id="285" name="Picture_18_SpCnt_36"/>
                  <wp:cNvGraphicFramePr/>
                  <a:graphic xmlns:a="http://schemas.openxmlformats.org/drawingml/2006/main">
                    <a:graphicData uri="http://schemas.openxmlformats.org/drawingml/2006/picture">
                      <pic:pic xmlns:pic="http://schemas.openxmlformats.org/drawingml/2006/picture">
                        <pic:nvPicPr>
                          <pic:cNvPr id="285" name="Picture_18_SpCnt_36"/>
                          <pic:cNvPicPr/>
                        </pic:nvPicPr>
                        <pic:blipFill>
                          <a:blip r:embed="rId15"/>
                          <a:stretch>
                            <a:fillRect/>
                          </a:stretch>
                        </pic:blipFill>
                        <pic:spPr>
                          <a:xfrm>
                            <a:off x="0" y="0"/>
                            <a:ext cx="8318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60350"/>
                  <wp:effectExtent l="0" t="0" r="0" b="0"/>
                  <wp:wrapNone/>
                  <wp:docPr id="277" name="Picture_19"/>
                  <wp:cNvGraphicFramePr/>
                  <a:graphic xmlns:a="http://schemas.openxmlformats.org/drawingml/2006/main">
                    <a:graphicData uri="http://schemas.openxmlformats.org/drawingml/2006/picture">
                      <pic:pic xmlns:pic="http://schemas.openxmlformats.org/drawingml/2006/picture">
                        <pic:nvPicPr>
                          <pic:cNvPr id="277" name="Picture_19"/>
                          <pic:cNvPicPr/>
                        </pic:nvPicPr>
                        <pic:blipFill>
                          <a:blip r:embed="rId15"/>
                          <a:stretch>
                            <a:fillRect/>
                          </a:stretch>
                        </pic:blipFill>
                        <pic:spPr>
                          <a:xfrm>
                            <a:off x="0" y="0"/>
                            <a:ext cx="75565"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56540"/>
                  <wp:effectExtent l="0" t="0" r="0" b="0"/>
                  <wp:wrapNone/>
                  <wp:docPr id="281" name="Picture_19_SpCnt_1"/>
                  <wp:cNvGraphicFramePr/>
                  <a:graphic xmlns:a="http://schemas.openxmlformats.org/drawingml/2006/main">
                    <a:graphicData uri="http://schemas.openxmlformats.org/drawingml/2006/picture">
                      <pic:pic xmlns:pic="http://schemas.openxmlformats.org/drawingml/2006/picture">
                        <pic:nvPicPr>
                          <pic:cNvPr id="281" name="Picture_19_SpCnt_1"/>
                          <pic:cNvPicPr/>
                        </pic:nvPicPr>
                        <pic:blipFill>
                          <a:blip r:embed="rId15"/>
                          <a:stretch>
                            <a:fillRect/>
                          </a:stretch>
                        </pic:blipFill>
                        <pic:spPr>
                          <a:xfrm>
                            <a:off x="0" y="0"/>
                            <a:ext cx="75565"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47650"/>
                  <wp:effectExtent l="0" t="0" r="0" b="0"/>
                  <wp:wrapNone/>
                  <wp:docPr id="286" name="Picture_19_SpCnt_2"/>
                  <wp:cNvGraphicFramePr/>
                  <a:graphic xmlns:a="http://schemas.openxmlformats.org/drawingml/2006/main">
                    <a:graphicData uri="http://schemas.openxmlformats.org/drawingml/2006/picture">
                      <pic:pic xmlns:pic="http://schemas.openxmlformats.org/drawingml/2006/picture">
                        <pic:nvPicPr>
                          <pic:cNvPr id="286" name="Picture_19_SpCnt_2"/>
                          <pic:cNvPicPr/>
                        </pic:nvPicPr>
                        <pic:blipFill>
                          <a:blip r:embed="rId15"/>
                          <a:stretch>
                            <a:fillRect/>
                          </a:stretch>
                        </pic:blipFill>
                        <pic:spPr>
                          <a:xfrm>
                            <a:off x="0" y="0"/>
                            <a:ext cx="7556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68605"/>
                  <wp:effectExtent l="0" t="0" r="0" b="0"/>
                  <wp:wrapNone/>
                  <wp:docPr id="273" name="Picture_19_SpCnt_3"/>
                  <wp:cNvGraphicFramePr/>
                  <a:graphic xmlns:a="http://schemas.openxmlformats.org/drawingml/2006/main">
                    <a:graphicData uri="http://schemas.openxmlformats.org/drawingml/2006/picture">
                      <pic:pic xmlns:pic="http://schemas.openxmlformats.org/drawingml/2006/picture">
                        <pic:nvPicPr>
                          <pic:cNvPr id="273" name="Picture_19_SpCnt_3"/>
                          <pic:cNvPicPr/>
                        </pic:nvPicPr>
                        <pic:blipFill>
                          <a:blip r:embed="rId15"/>
                          <a:stretch>
                            <a:fillRect/>
                          </a:stretch>
                        </pic:blipFill>
                        <pic:spPr>
                          <a:xfrm>
                            <a:off x="0" y="0"/>
                            <a:ext cx="7556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73050"/>
                  <wp:effectExtent l="0" t="0" r="0" b="0"/>
                  <wp:wrapNone/>
                  <wp:docPr id="292" name="Picture_19_SpCnt_4"/>
                  <wp:cNvGraphicFramePr/>
                  <a:graphic xmlns:a="http://schemas.openxmlformats.org/drawingml/2006/main">
                    <a:graphicData uri="http://schemas.openxmlformats.org/drawingml/2006/picture">
                      <pic:pic xmlns:pic="http://schemas.openxmlformats.org/drawingml/2006/picture">
                        <pic:nvPicPr>
                          <pic:cNvPr id="292" name="Picture_19_SpCnt_4"/>
                          <pic:cNvPicPr/>
                        </pic:nvPicPr>
                        <pic:blipFill>
                          <a:blip r:embed="rId15"/>
                          <a:stretch>
                            <a:fillRect/>
                          </a:stretch>
                        </pic:blipFill>
                        <pic:spPr>
                          <a:xfrm>
                            <a:off x="0" y="0"/>
                            <a:ext cx="7556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45745"/>
                  <wp:effectExtent l="0" t="0" r="0" b="0"/>
                  <wp:wrapNone/>
                  <wp:docPr id="268" name="Picture_19_SpCnt_5"/>
                  <wp:cNvGraphicFramePr/>
                  <a:graphic xmlns:a="http://schemas.openxmlformats.org/drawingml/2006/main">
                    <a:graphicData uri="http://schemas.openxmlformats.org/drawingml/2006/picture">
                      <pic:pic xmlns:pic="http://schemas.openxmlformats.org/drawingml/2006/picture">
                        <pic:nvPicPr>
                          <pic:cNvPr id="268" name="Picture_19_SpCnt_5"/>
                          <pic:cNvPicPr/>
                        </pic:nvPicPr>
                        <pic:blipFill>
                          <a:blip r:embed="rId15"/>
                          <a:stretch>
                            <a:fillRect/>
                          </a:stretch>
                        </pic:blipFill>
                        <pic:spPr>
                          <a:xfrm>
                            <a:off x="0" y="0"/>
                            <a:ext cx="7556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81305"/>
                  <wp:effectExtent l="0" t="0" r="0" b="0"/>
                  <wp:wrapNone/>
                  <wp:docPr id="265" name="Picture_19_SpCnt_6"/>
                  <wp:cNvGraphicFramePr/>
                  <a:graphic xmlns:a="http://schemas.openxmlformats.org/drawingml/2006/main">
                    <a:graphicData uri="http://schemas.openxmlformats.org/drawingml/2006/picture">
                      <pic:pic xmlns:pic="http://schemas.openxmlformats.org/drawingml/2006/picture">
                        <pic:nvPicPr>
                          <pic:cNvPr id="265" name="Picture_19_SpCnt_6"/>
                          <pic:cNvPicPr/>
                        </pic:nvPicPr>
                        <pic:blipFill>
                          <a:blip r:embed="rId15"/>
                          <a:stretch>
                            <a:fillRect/>
                          </a:stretch>
                        </pic:blipFill>
                        <pic:spPr>
                          <a:xfrm>
                            <a:off x="0" y="0"/>
                            <a:ext cx="7556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307975</wp:posOffset>
                  </wp:positionH>
                  <wp:positionV relativeFrom="paragraph">
                    <wp:posOffset>0</wp:posOffset>
                  </wp:positionV>
                  <wp:extent cx="75565" cy="241935"/>
                  <wp:effectExtent l="0" t="0" r="0" b="0"/>
                  <wp:wrapNone/>
                  <wp:docPr id="290" name="Picture_19_SpCnt_7"/>
                  <wp:cNvGraphicFramePr/>
                  <a:graphic xmlns:a="http://schemas.openxmlformats.org/drawingml/2006/main">
                    <a:graphicData uri="http://schemas.openxmlformats.org/drawingml/2006/picture">
                      <pic:pic xmlns:pic="http://schemas.openxmlformats.org/drawingml/2006/picture">
                        <pic:nvPicPr>
                          <pic:cNvPr id="290" name="Picture_19_SpCnt_7"/>
                          <pic:cNvPicPr/>
                        </pic:nvPicPr>
                        <pic:blipFill>
                          <a:blip r:embed="rId15"/>
                          <a:stretch>
                            <a:fillRect/>
                          </a:stretch>
                        </pic:blipFill>
                        <pic:spPr>
                          <a:xfrm>
                            <a:off x="0" y="0"/>
                            <a:ext cx="7556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58445"/>
                  <wp:effectExtent l="0" t="0" r="0" b="0"/>
                  <wp:wrapNone/>
                  <wp:docPr id="291" name="Picture_19_SpCnt_8"/>
                  <wp:cNvGraphicFramePr/>
                  <a:graphic xmlns:a="http://schemas.openxmlformats.org/drawingml/2006/main">
                    <a:graphicData uri="http://schemas.openxmlformats.org/drawingml/2006/picture">
                      <pic:pic xmlns:pic="http://schemas.openxmlformats.org/drawingml/2006/picture">
                        <pic:nvPicPr>
                          <pic:cNvPr id="291" name="Picture_19_SpCnt_8"/>
                          <pic:cNvPicPr/>
                        </pic:nvPicPr>
                        <pic:blipFill>
                          <a:blip r:embed="rId15"/>
                          <a:stretch>
                            <a:fillRect/>
                          </a:stretch>
                        </pic:blipFill>
                        <pic:spPr>
                          <a:xfrm>
                            <a:off x="0" y="0"/>
                            <a:ext cx="84455"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62255"/>
                  <wp:effectExtent l="0" t="0" r="0" b="0"/>
                  <wp:wrapNone/>
                  <wp:docPr id="293" name="Picture_19_SpCnt_9"/>
                  <wp:cNvGraphicFramePr/>
                  <a:graphic xmlns:a="http://schemas.openxmlformats.org/drawingml/2006/main">
                    <a:graphicData uri="http://schemas.openxmlformats.org/drawingml/2006/picture">
                      <pic:pic xmlns:pic="http://schemas.openxmlformats.org/drawingml/2006/picture">
                        <pic:nvPicPr>
                          <pic:cNvPr id="293" name="Picture_19_SpCnt_9"/>
                          <pic:cNvPicPr/>
                        </pic:nvPicPr>
                        <pic:blipFill>
                          <a:blip r:embed="rId15"/>
                          <a:stretch>
                            <a:fillRect/>
                          </a:stretch>
                        </pic:blipFill>
                        <pic:spPr>
                          <a:xfrm>
                            <a:off x="0" y="0"/>
                            <a:ext cx="8445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60350"/>
                  <wp:effectExtent l="0" t="0" r="0" b="0"/>
                  <wp:wrapNone/>
                  <wp:docPr id="274" name="Picture_19_SpCnt_10"/>
                  <wp:cNvGraphicFramePr/>
                  <a:graphic xmlns:a="http://schemas.openxmlformats.org/drawingml/2006/main">
                    <a:graphicData uri="http://schemas.openxmlformats.org/drawingml/2006/picture">
                      <pic:pic xmlns:pic="http://schemas.openxmlformats.org/drawingml/2006/picture">
                        <pic:nvPicPr>
                          <pic:cNvPr id="274" name="Picture_19_SpCnt_10"/>
                          <pic:cNvPicPr/>
                        </pic:nvPicPr>
                        <pic:blipFill>
                          <a:blip r:embed="rId15"/>
                          <a:stretch>
                            <a:fillRect/>
                          </a:stretch>
                        </pic:blipFill>
                        <pic:spPr>
                          <a:xfrm>
                            <a:off x="0" y="0"/>
                            <a:ext cx="84455"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73050"/>
                  <wp:effectExtent l="0" t="0" r="0" b="0"/>
                  <wp:wrapNone/>
                  <wp:docPr id="266" name="Picture_19_SpCnt_11"/>
                  <wp:cNvGraphicFramePr/>
                  <a:graphic xmlns:a="http://schemas.openxmlformats.org/drawingml/2006/main">
                    <a:graphicData uri="http://schemas.openxmlformats.org/drawingml/2006/picture">
                      <pic:pic xmlns:pic="http://schemas.openxmlformats.org/drawingml/2006/picture">
                        <pic:nvPicPr>
                          <pic:cNvPr id="266" name="Picture_19_SpCnt_11"/>
                          <pic:cNvPicPr/>
                        </pic:nvPicPr>
                        <pic:blipFill>
                          <a:blip r:embed="rId15"/>
                          <a:stretch>
                            <a:fillRect/>
                          </a:stretch>
                        </pic:blipFill>
                        <pic:spPr>
                          <a:xfrm>
                            <a:off x="0" y="0"/>
                            <a:ext cx="8445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85750"/>
                  <wp:effectExtent l="0" t="0" r="0" b="0"/>
                  <wp:wrapNone/>
                  <wp:docPr id="294" name="Picture_19_SpCnt_12"/>
                  <wp:cNvGraphicFramePr/>
                  <a:graphic xmlns:a="http://schemas.openxmlformats.org/drawingml/2006/main">
                    <a:graphicData uri="http://schemas.openxmlformats.org/drawingml/2006/picture">
                      <pic:pic xmlns:pic="http://schemas.openxmlformats.org/drawingml/2006/picture">
                        <pic:nvPicPr>
                          <pic:cNvPr id="294" name="Picture_19_SpCnt_12"/>
                          <pic:cNvPicPr/>
                        </pic:nvPicPr>
                        <pic:blipFill>
                          <a:blip r:embed="rId15"/>
                          <a:stretch>
                            <a:fillRect/>
                          </a:stretch>
                        </pic:blipFill>
                        <pic:spPr>
                          <a:xfrm>
                            <a:off x="0" y="0"/>
                            <a:ext cx="8445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45745"/>
                  <wp:effectExtent l="0" t="0" r="0" b="0"/>
                  <wp:wrapNone/>
                  <wp:docPr id="275" name="Picture_19_SpCnt_13"/>
                  <wp:cNvGraphicFramePr/>
                  <a:graphic xmlns:a="http://schemas.openxmlformats.org/drawingml/2006/main">
                    <a:graphicData uri="http://schemas.openxmlformats.org/drawingml/2006/picture">
                      <pic:pic xmlns:pic="http://schemas.openxmlformats.org/drawingml/2006/picture">
                        <pic:nvPicPr>
                          <pic:cNvPr id="275" name="Picture_19_SpCnt_13"/>
                          <pic:cNvPicPr/>
                        </pic:nvPicPr>
                        <pic:blipFill>
                          <a:blip r:embed="rId15"/>
                          <a:stretch>
                            <a:fillRect/>
                          </a:stretch>
                        </pic:blipFill>
                        <pic:spPr>
                          <a:xfrm>
                            <a:off x="0" y="0"/>
                            <a:ext cx="8445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47650"/>
                  <wp:effectExtent l="0" t="0" r="0" b="0"/>
                  <wp:wrapNone/>
                  <wp:docPr id="276" name="Picture_19_SpCnt_14"/>
                  <wp:cNvGraphicFramePr/>
                  <a:graphic xmlns:a="http://schemas.openxmlformats.org/drawingml/2006/main">
                    <a:graphicData uri="http://schemas.openxmlformats.org/drawingml/2006/picture">
                      <pic:pic xmlns:pic="http://schemas.openxmlformats.org/drawingml/2006/picture">
                        <pic:nvPicPr>
                          <pic:cNvPr id="276" name="Picture_19_SpCnt_14"/>
                          <pic:cNvPicPr/>
                        </pic:nvPicPr>
                        <pic:blipFill>
                          <a:blip r:embed="rId15"/>
                          <a:stretch>
                            <a:fillRect/>
                          </a:stretch>
                        </pic:blipFill>
                        <pic:spPr>
                          <a:xfrm>
                            <a:off x="0" y="0"/>
                            <a:ext cx="8445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68605"/>
                  <wp:effectExtent l="0" t="0" r="0" b="0"/>
                  <wp:wrapNone/>
                  <wp:docPr id="299" name="Picture_19_SpCnt_15"/>
                  <wp:cNvGraphicFramePr/>
                  <a:graphic xmlns:a="http://schemas.openxmlformats.org/drawingml/2006/main">
                    <a:graphicData uri="http://schemas.openxmlformats.org/drawingml/2006/picture">
                      <pic:pic xmlns:pic="http://schemas.openxmlformats.org/drawingml/2006/picture">
                        <pic:nvPicPr>
                          <pic:cNvPr id="299" name="Picture_19_SpCnt_15"/>
                          <pic:cNvPicPr/>
                        </pic:nvPicPr>
                        <pic:blipFill>
                          <a:blip r:embed="rId15"/>
                          <a:stretch>
                            <a:fillRect/>
                          </a:stretch>
                        </pic:blipFill>
                        <pic:spPr>
                          <a:xfrm>
                            <a:off x="0" y="0"/>
                            <a:ext cx="8445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71145"/>
                  <wp:effectExtent l="0" t="0" r="0" b="0"/>
                  <wp:wrapNone/>
                  <wp:docPr id="297" name="Picture_19_SpCnt_16"/>
                  <wp:cNvGraphicFramePr/>
                  <a:graphic xmlns:a="http://schemas.openxmlformats.org/drawingml/2006/main">
                    <a:graphicData uri="http://schemas.openxmlformats.org/drawingml/2006/picture">
                      <pic:pic xmlns:pic="http://schemas.openxmlformats.org/drawingml/2006/picture">
                        <pic:nvPicPr>
                          <pic:cNvPr id="297" name="Picture_19_SpCnt_16"/>
                          <pic:cNvPicPr/>
                        </pic:nvPicPr>
                        <pic:blipFill>
                          <a:blip r:embed="rId15"/>
                          <a:stretch>
                            <a:fillRect/>
                          </a:stretch>
                        </pic:blipFill>
                        <pic:spPr>
                          <a:xfrm>
                            <a:off x="0" y="0"/>
                            <a:ext cx="8445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74955"/>
                  <wp:effectExtent l="0" t="0" r="0" b="0"/>
                  <wp:wrapNone/>
                  <wp:docPr id="298" name="Picture_19_SpCnt_17"/>
                  <wp:cNvGraphicFramePr/>
                  <a:graphic xmlns:a="http://schemas.openxmlformats.org/drawingml/2006/main">
                    <a:graphicData uri="http://schemas.openxmlformats.org/drawingml/2006/picture">
                      <pic:pic xmlns:pic="http://schemas.openxmlformats.org/drawingml/2006/picture">
                        <pic:nvPicPr>
                          <pic:cNvPr id="298" name="Picture_19_SpCnt_17"/>
                          <pic:cNvPicPr/>
                        </pic:nvPicPr>
                        <pic:blipFill>
                          <a:blip r:embed="rId15"/>
                          <a:stretch>
                            <a:fillRect/>
                          </a:stretch>
                        </pic:blipFill>
                        <pic:spPr>
                          <a:xfrm>
                            <a:off x="0" y="0"/>
                            <a:ext cx="8445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81305"/>
                  <wp:effectExtent l="0" t="0" r="0" b="0"/>
                  <wp:wrapNone/>
                  <wp:docPr id="579" name="Picture_19_SpCnt_18"/>
                  <wp:cNvGraphicFramePr/>
                  <a:graphic xmlns:a="http://schemas.openxmlformats.org/drawingml/2006/main">
                    <a:graphicData uri="http://schemas.openxmlformats.org/drawingml/2006/picture">
                      <pic:pic xmlns:pic="http://schemas.openxmlformats.org/drawingml/2006/picture">
                        <pic:nvPicPr>
                          <pic:cNvPr id="579" name="Picture_19_SpCnt_18"/>
                          <pic:cNvPicPr/>
                        </pic:nvPicPr>
                        <pic:blipFill>
                          <a:blip r:embed="rId15"/>
                          <a:stretch>
                            <a:fillRect/>
                          </a:stretch>
                        </pic:blipFill>
                        <pic:spPr>
                          <a:xfrm>
                            <a:off x="0" y="0"/>
                            <a:ext cx="8445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54000"/>
                  <wp:effectExtent l="0" t="0" r="0" b="0"/>
                  <wp:wrapNone/>
                  <wp:docPr id="583" name="Picture_19_SpCnt_19"/>
                  <wp:cNvGraphicFramePr/>
                  <a:graphic xmlns:a="http://schemas.openxmlformats.org/drawingml/2006/main">
                    <a:graphicData uri="http://schemas.openxmlformats.org/drawingml/2006/picture">
                      <pic:pic xmlns:pic="http://schemas.openxmlformats.org/drawingml/2006/picture">
                        <pic:nvPicPr>
                          <pic:cNvPr id="583" name="Picture_19_SpCnt_19"/>
                          <pic:cNvPicPr/>
                        </pic:nvPicPr>
                        <pic:blipFill>
                          <a:blip r:embed="rId15"/>
                          <a:stretch>
                            <a:fillRect/>
                          </a:stretch>
                        </pic:blipFill>
                        <pic:spPr>
                          <a:xfrm>
                            <a:off x="0" y="0"/>
                            <a:ext cx="84455"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41935"/>
                  <wp:effectExtent l="0" t="0" r="0" b="0"/>
                  <wp:wrapNone/>
                  <wp:docPr id="584" name="Picture_19_SpCnt_20"/>
                  <wp:cNvGraphicFramePr/>
                  <a:graphic xmlns:a="http://schemas.openxmlformats.org/drawingml/2006/main">
                    <a:graphicData uri="http://schemas.openxmlformats.org/drawingml/2006/picture">
                      <pic:pic xmlns:pic="http://schemas.openxmlformats.org/drawingml/2006/picture">
                        <pic:nvPicPr>
                          <pic:cNvPr id="584" name="Picture_19_SpCnt_20"/>
                          <pic:cNvPicPr/>
                        </pic:nvPicPr>
                        <pic:blipFill>
                          <a:blip r:embed="rId15"/>
                          <a:stretch>
                            <a:fillRect/>
                          </a:stretch>
                        </pic:blipFill>
                        <pic:spPr>
                          <a:xfrm>
                            <a:off x="0" y="0"/>
                            <a:ext cx="8445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341630</wp:posOffset>
                  </wp:positionH>
                  <wp:positionV relativeFrom="paragraph">
                    <wp:posOffset>0</wp:posOffset>
                  </wp:positionV>
                  <wp:extent cx="84455" cy="256540"/>
                  <wp:effectExtent l="0" t="0" r="0" b="0"/>
                  <wp:wrapNone/>
                  <wp:docPr id="563" name="Picture_19_SpCnt_21"/>
                  <wp:cNvGraphicFramePr/>
                  <a:graphic xmlns:a="http://schemas.openxmlformats.org/drawingml/2006/main">
                    <a:graphicData uri="http://schemas.openxmlformats.org/drawingml/2006/picture">
                      <pic:pic xmlns:pic="http://schemas.openxmlformats.org/drawingml/2006/picture">
                        <pic:nvPicPr>
                          <pic:cNvPr id="563" name="Picture_19_SpCnt_21"/>
                          <pic:cNvPicPr/>
                        </pic:nvPicPr>
                        <pic:blipFill>
                          <a:blip r:embed="rId15"/>
                          <a:stretch>
                            <a:fillRect/>
                          </a:stretch>
                        </pic:blipFill>
                        <pic:spPr>
                          <a:xfrm>
                            <a:off x="0" y="0"/>
                            <a:ext cx="84455"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0</wp:posOffset>
                  </wp:positionV>
                  <wp:extent cx="74930" cy="256540"/>
                  <wp:effectExtent l="0" t="0" r="0" b="0"/>
                  <wp:wrapNone/>
                  <wp:docPr id="564" name="Picture_20"/>
                  <wp:cNvGraphicFramePr/>
                  <a:graphic xmlns:a="http://schemas.openxmlformats.org/drawingml/2006/main">
                    <a:graphicData uri="http://schemas.openxmlformats.org/drawingml/2006/picture">
                      <pic:pic xmlns:pic="http://schemas.openxmlformats.org/drawingml/2006/picture">
                        <pic:nvPicPr>
                          <pic:cNvPr id="564" name="Picture_20"/>
                          <pic:cNvPicPr/>
                        </pic:nvPicPr>
                        <pic:blipFill>
                          <a:blip r:embed="rId15"/>
                          <a:stretch>
                            <a:fillRect/>
                          </a:stretch>
                        </pic:blipFill>
                        <pic:spPr>
                          <a:xfrm>
                            <a:off x="0" y="0"/>
                            <a:ext cx="74930"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394970</wp:posOffset>
                  </wp:positionH>
                  <wp:positionV relativeFrom="paragraph">
                    <wp:posOffset>0</wp:posOffset>
                  </wp:positionV>
                  <wp:extent cx="78740" cy="247650"/>
                  <wp:effectExtent l="0" t="0" r="0" b="0"/>
                  <wp:wrapNone/>
                  <wp:docPr id="580" name="Picture_20_SpCnt_1"/>
                  <wp:cNvGraphicFramePr/>
                  <a:graphic xmlns:a="http://schemas.openxmlformats.org/drawingml/2006/main">
                    <a:graphicData uri="http://schemas.openxmlformats.org/drawingml/2006/picture">
                      <pic:pic xmlns:pic="http://schemas.openxmlformats.org/drawingml/2006/picture">
                        <pic:nvPicPr>
                          <pic:cNvPr id="580" name="Picture_20_SpCnt_1"/>
                          <pic:cNvPicPr/>
                        </pic:nvPicPr>
                        <pic:blipFill>
                          <a:blip r:embed="rId15"/>
                          <a:stretch>
                            <a:fillRect/>
                          </a:stretch>
                        </pic:blipFill>
                        <pic:spPr>
                          <a:xfrm>
                            <a:off x="0" y="0"/>
                            <a:ext cx="7874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0</wp:posOffset>
                  </wp:positionV>
                  <wp:extent cx="74930" cy="273050"/>
                  <wp:effectExtent l="0" t="0" r="0" b="0"/>
                  <wp:wrapNone/>
                  <wp:docPr id="581" name="Picture_20_SpCnt_2"/>
                  <wp:cNvGraphicFramePr/>
                  <a:graphic xmlns:a="http://schemas.openxmlformats.org/drawingml/2006/main">
                    <a:graphicData uri="http://schemas.openxmlformats.org/drawingml/2006/picture">
                      <pic:pic xmlns:pic="http://schemas.openxmlformats.org/drawingml/2006/picture">
                        <pic:nvPicPr>
                          <pic:cNvPr id="581" name="Picture_20_SpCnt_2"/>
                          <pic:cNvPicPr/>
                        </pic:nvPicPr>
                        <pic:blipFill>
                          <a:blip r:embed="rId15"/>
                          <a:stretch>
                            <a:fillRect/>
                          </a:stretch>
                        </pic:blipFill>
                        <pic:spPr>
                          <a:xfrm>
                            <a:off x="0" y="0"/>
                            <a:ext cx="7493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0</wp:posOffset>
                  </wp:positionV>
                  <wp:extent cx="74930" cy="245745"/>
                  <wp:effectExtent l="0" t="0" r="0" b="0"/>
                  <wp:wrapNone/>
                  <wp:docPr id="585" name="Picture_20_SpCnt_3"/>
                  <wp:cNvGraphicFramePr/>
                  <a:graphic xmlns:a="http://schemas.openxmlformats.org/drawingml/2006/main">
                    <a:graphicData uri="http://schemas.openxmlformats.org/drawingml/2006/picture">
                      <pic:pic xmlns:pic="http://schemas.openxmlformats.org/drawingml/2006/picture">
                        <pic:nvPicPr>
                          <pic:cNvPr id="585" name="Picture_20_SpCnt_3"/>
                          <pic:cNvPicPr/>
                        </pic:nvPicPr>
                        <pic:blipFill>
                          <a:blip r:embed="rId15"/>
                          <a:stretch>
                            <a:fillRect/>
                          </a:stretch>
                        </pic:blipFill>
                        <pic:spPr>
                          <a:xfrm>
                            <a:off x="0" y="0"/>
                            <a:ext cx="74930"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394970</wp:posOffset>
                  </wp:positionH>
                  <wp:positionV relativeFrom="paragraph">
                    <wp:posOffset>0</wp:posOffset>
                  </wp:positionV>
                  <wp:extent cx="78740" cy="268605"/>
                  <wp:effectExtent l="0" t="0" r="0" b="0"/>
                  <wp:wrapNone/>
                  <wp:docPr id="573" name="Picture_20_SpCnt_4"/>
                  <wp:cNvGraphicFramePr/>
                  <a:graphic xmlns:a="http://schemas.openxmlformats.org/drawingml/2006/main">
                    <a:graphicData uri="http://schemas.openxmlformats.org/drawingml/2006/picture">
                      <pic:pic xmlns:pic="http://schemas.openxmlformats.org/drawingml/2006/picture">
                        <pic:nvPicPr>
                          <pic:cNvPr id="573" name="Picture_20_SpCnt_4"/>
                          <pic:cNvPicPr/>
                        </pic:nvPicPr>
                        <pic:blipFill>
                          <a:blip r:embed="rId15"/>
                          <a:stretch>
                            <a:fillRect/>
                          </a:stretch>
                        </pic:blipFill>
                        <pic:spPr>
                          <a:xfrm>
                            <a:off x="0" y="0"/>
                            <a:ext cx="7874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394970</wp:posOffset>
                  </wp:positionH>
                  <wp:positionV relativeFrom="paragraph">
                    <wp:posOffset>0</wp:posOffset>
                  </wp:positionV>
                  <wp:extent cx="78740" cy="241935"/>
                  <wp:effectExtent l="0" t="0" r="0" b="0"/>
                  <wp:wrapNone/>
                  <wp:docPr id="570" name="Picture_20_SpCnt_5"/>
                  <wp:cNvGraphicFramePr/>
                  <a:graphic xmlns:a="http://schemas.openxmlformats.org/drawingml/2006/main">
                    <a:graphicData uri="http://schemas.openxmlformats.org/drawingml/2006/picture">
                      <pic:pic xmlns:pic="http://schemas.openxmlformats.org/drawingml/2006/picture">
                        <pic:nvPicPr>
                          <pic:cNvPr id="570" name="Picture_20_SpCnt_5"/>
                          <pic:cNvPicPr/>
                        </pic:nvPicPr>
                        <pic:blipFill>
                          <a:blip r:embed="rId15"/>
                          <a:stretch>
                            <a:fillRect/>
                          </a:stretch>
                        </pic:blipFill>
                        <pic:spPr>
                          <a:xfrm>
                            <a:off x="0" y="0"/>
                            <a:ext cx="7874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0</wp:posOffset>
                  </wp:positionV>
                  <wp:extent cx="74930" cy="247650"/>
                  <wp:effectExtent l="0" t="0" r="0" b="0"/>
                  <wp:wrapNone/>
                  <wp:docPr id="566" name="Picture_20_SpCnt_6"/>
                  <wp:cNvGraphicFramePr/>
                  <a:graphic xmlns:a="http://schemas.openxmlformats.org/drawingml/2006/main">
                    <a:graphicData uri="http://schemas.openxmlformats.org/drawingml/2006/picture">
                      <pic:pic xmlns:pic="http://schemas.openxmlformats.org/drawingml/2006/picture">
                        <pic:nvPicPr>
                          <pic:cNvPr id="566" name="Picture_20_SpCnt_6"/>
                          <pic:cNvPicPr/>
                        </pic:nvPicPr>
                        <pic:blipFill>
                          <a:blip r:embed="rId15"/>
                          <a:stretch>
                            <a:fillRect/>
                          </a:stretch>
                        </pic:blipFill>
                        <pic:spPr>
                          <a:xfrm>
                            <a:off x="0" y="0"/>
                            <a:ext cx="7493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0</wp:posOffset>
                  </wp:positionV>
                  <wp:extent cx="74930" cy="260350"/>
                  <wp:effectExtent l="0" t="0" r="0" b="0"/>
                  <wp:wrapNone/>
                  <wp:docPr id="565" name="Picture_20_SpCnt_7"/>
                  <wp:cNvGraphicFramePr/>
                  <a:graphic xmlns:a="http://schemas.openxmlformats.org/drawingml/2006/main">
                    <a:graphicData uri="http://schemas.openxmlformats.org/drawingml/2006/picture">
                      <pic:pic xmlns:pic="http://schemas.openxmlformats.org/drawingml/2006/picture">
                        <pic:nvPicPr>
                          <pic:cNvPr id="565" name="Picture_20_SpCnt_7"/>
                          <pic:cNvPicPr/>
                        </pic:nvPicPr>
                        <pic:blipFill>
                          <a:blip r:embed="rId15"/>
                          <a:stretch>
                            <a:fillRect/>
                          </a:stretch>
                        </pic:blipFill>
                        <pic:spPr>
                          <a:xfrm>
                            <a:off x="0" y="0"/>
                            <a:ext cx="74930"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394970</wp:posOffset>
                  </wp:positionH>
                  <wp:positionV relativeFrom="paragraph">
                    <wp:posOffset>0</wp:posOffset>
                  </wp:positionV>
                  <wp:extent cx="78740" cy="281305"/>
                  <wp:effectExtent l="0" t="0" r="0" b="0"/>
                  <wp:wrapNone/>
                  <wp:docPr id="590" name="Picture_20_SpCnt_8"/>
                  <wp:cNvGraphicFramePr/>
                  <a:graphic xmlns:a="http://schemas.openxmlformats.org/drawingml/2006/main">
                    <a:graphicData uri="http://schemas.openxmlformats.org/drawingml/2006/picture">
                      <pic:pic xmlns:pic="http://schemas.openxmlformats.org/drawingml/2006/picture">
                        <pic:nvPicPr>
                          <pic:cNvPr id="590" name="Picture_20_SpCnt_8"/>
                          <pic:cNvPicPr/>
                        </pic:nvPicPr>
                        <pic:blipFill>
                          <a:blip r:embed="rId15"/>
                          <a:stretch>
                            <a:fillRect/>
                          </a:stretch>
                        </pic:blipFill>
                        <pic:spPr>
                          <a:xfrm>
                            <a:off x="0" y="0"/>
                            <a:ext cx="7874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6200" cy="271145"/>
                  <wp:effectExtent l="0" t="0" r="0" b="0"/>
                  <wp:wrapNone/>
                  <wp:docPr id="577" name="Picture_20_SpCnt_9"/>
                  <wp:cNvGraphicFramePr/>
                  <a:graphic xmlns:a="http://schemas.openxmlformats.org/drawingml/2006/main">
                    <a:graphicData uri="http://schemas.openxmlformats.org/drawingml/2006/picture">
                      <pic:pic xmlns:pic="http://schemas.openxmlformats.org/drawingml/2006/picture">
                        <pic:nvPicPr>
                          <pic:cNvPr id="577" name="Picture_20_SpCnt_9"/>
                          <pic:cNvPicPr/>
                        </pic:nvPicPr>
                        <pic:blipFill>
                          <a:blip r:embed="rId15"/>
                          <a:stretch>
                            <a:fillRect/>
                          </a:stretch>
                        </pic:blipFill>
                        <pic:spPr>
                          <a:xfrm>
                            <a:off x="0" y="0"/>
                            <a:ext cx="7620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9375" cy="271145"/>
                  <wp:effectExtent l="0" t="0" r="0" b="0"/>
                  <wp:wrapNone/>
                  <wp:docPr id="586" name="Picture_20_SpCnt_10"/>
                  <wp:cNvGraphicFramePr/>
                  <a:graphic xmlns:a="http://schemas.openxmlformats.org/drawingml/2006/main">
                    <a:graphicData uri="http://schemas.openxmlformats.org/drawingml/2006/picture">
                      <pic:pic xmlns:pic="http://schemas.openxmlformats.org/drawingml/2006/picture">
                        <pic:nvPicPr>
                          <pic:cNvPr id="586" name="Picture_20_SpCnt_10"/>
                          <pic:cNvPicPr/>
                        </pic:nvPicPr>
                        <pic:blipFill>
                          <a:blip r:embed="rId15"/>
                          <a:stretch>
                            <a:fillRect/>
                          </a:stretch>
                        </pic:blipFill>
                        <pic:spPr>
                          <a:xfrm>
                            <a:off x="0" y="0"/>
                            <a:ext cx="7937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9375" cy="262255"/>
                  <wp:effectExtent l="0" t="0" r="0" b="0"/>
                  <wp:wrapNone/>
                  <wp:docPr id="567" name="Picture_20_SpCnt_11"/>
                  <wp:cNvGraphicFramePr/>
                  <a:graphic xmlns:a="http://schemas.openxmlformats.org/drawingml/2006/main">
                    <a:graphicData uri="http://schemas.openxmlformats.org/drawingml/2006/picture">
                      <pic:pic xmlns:pic="http://schemas.openxmlformats.org/drawingml/2006/picture">
                        <pic:nvPicPr>
                          <pic:cNvPr id="567" name="Picture_20_SpCnt_11"/>
                          <pic:cNvPicPr/>
                        </pic:nvPicPr>
                        <pic:blipFill>
                          <a:blip r:embed="rId15"/>
                          <a:stretch>
                            <a:fillRect/>
                          </a:stretch>
                        </pic:blipFill>
                        <pic:spPr>
                          <a:xfrm>
                            <a:off x="0" y="0"/>
                            <a:ext cx="7937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9375" cy="247650"/>
                  <wp:effectExtent l="0" t="0" r="0" b="0"/>
                  <wp:wrapNone/>
                  <wp:docPr id="568" name="Picture_20_SpCnt_12"/>
                  <wp:cNvGraphicFramePr/>
                  <a:graphic xmlns:a="http://schemas.openxmlformats.org/drawingml/2006/main">
                    <a:graphicData uri="http://schemas.openxmlformats.org/drawingml/2006/picture">
                      <pic:pic xmlns:pic="http://schemas.openxmlformats.org/drawingml/2006/picture">
                        <pic:nvPicPr>
                          <pic:cNvPr id="568" name="Picture_20_SpCnt_12"/>
                          <pic:cNvPicPr/>
                        </pic:nvPicPr>
                        <pic:blipFill>
                          <a:blip r:embed="rId15"/>
                          <a:stretch>
                            <a:fillRect/>
                          </a:stretch>
                        </pic:blipFill>
                        <pic:spPr>
                          <a:xfrm>
                            <a:off x="0" y="0"/>
                            <a:ext cx="7937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9375" cy="247650"/>
                  <wp:effectExtent l="0" t="0" r="0" b="0"/>
                  <wp:wrapNone/>
                  <wp:docPr id="571" name="Picture_20_SpCnt_13"/>
                  <wp:cNvGraphicFramePr/>
                  <a:graphic xmlns:a="http://schemas.openxmlformats.org/drawingml/2006/main">
                    <a:graphicData uri="http://schemas.openxmlformats.org/drawingml/2006/picture">
                      <pic:pic xmlns:pic="http://schemas.openxmlformats.org/drawingml/2006/picture">
                        <pic:nvPicPr>
                          <pic:cNvPr id="571" name="Picture_20_SpCnt_13"/>
                          <pic:cNvPicPr/>
                        </pic:nvPicPr>
                        <pic:blipFill>
                          <a:blip r:embed="rId15"/>
                          <a:stretch>
                            <a:fillRect/>
                          </a:stretch>
                        </pic:blipFill>
                        <pic:spPr>
                          <a:xfrm>
                            <a:off x="0" y="0"/>
                            <a:ext cx="7937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73050"/>
                  <wp:effectExtent l="0" t="0" r="0" b="0"/>
                  <wp:wrapNone/>
                  <wp:docPr id="592" name="Picture_20_SpCnt_14"/>
                  <wp:cNvGraphicFramePr/>
                  <a:graphic xmlns:a="http://schemas.openxmlformats.org/drawingml/2006/main">
                    <a:graphicData uri="http://schemas.openxmlformats.org/drawingml/2006/picture">
                      <pic:pic xmlns:pic="http://schemas.openxmlformats.org/drawingml/2006/picture">
                        <pic:nvPicPr>
                          <pic:cNvPr id="592" name="Picture_20_SpCnt_14"/>
                          <pic:cNvPicPr/>
                        </pic:nvPicPr>
                        <pic:blipFill>
                          <a:blip r:embed="rId15"/>
                          <a:stretch>
                            <a:fillRect/>
                          </a:stretch>
                        </pic:blipFill>
                        <pic:spPr>
                          <a:xfrm>
                            <a:off x="0" y="0"/>
                            <a:ext cx="8382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85750"/>
                  <wp:effectExtent l="0" t="0" r="0" b="0"/>
                  <wp:wrapNone/>
                  <wp:docPr id="591" name="Picture_20_SpCnt_15"/>
                  <wp:cNvGraphicFramePr/>
                  <a:graphic xmlns:a="http://schemas.openxmlformats.org/drawingml/2006/main">
                    <a:graphicData uri="http://schemas.openxmlformats.org/drawingml/2006/picture">
                      <pic:pic xmlns:pic="http://schemas.openxmlformats.org/drawingml/2006/picture">
                        <pic:nvPicPr>
                          <pic:cNvPr id="591" name="Picture_20_SpCnt_15"/>
                          <pic:cNvPicPr/>
                        </pic:nvPicPr>
                        <pic:blipFill>
                          <a:blip r:embed="rId15"/>
                          <a:stretch>
                            <a:fillRect/>
                          </a:stretch>
                        </pic:blipFill>
                        <pic:spPr>
                          <a:xfrm>
                            <a:off x="0" y="0"/>
                            <a:ext cx="83820"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9375" cy="241935"/>
                  <wp:effectExtent l="0" t="0" r="0" b="0"/>
                  <wp:wrapNone/>
                  <wp:docPr id="572" name="Picture_20_SpCnt_16"/>
                  <wp:cNvGraphicFramePr/>
                  <a:graphic xmlns:a="http://schemas.openxmlformats.org/drawingml/2006/main">
                    <a:graphicData uri="http://schemas.openxmlformats.org/drawingml/2006/picture">
                      <pic:pic xmlns:pic="http://schemas.openxmlformats.org/drawingml/2006/picture">
                        <pic:nvPicPr>
                          <pic:cNvPr id="572" name="Picture_20_SpCnt_16"/>
                          <pic:cNvPicPr/>
                        </pic:nvPicPr>
                        <pic:blipFill>
                          <a:blip r:embed="rId15"/>
                          <a:stretch>
                            <a:fillRect/>
                          </a:stretch>
                        </pic:blipFill>
                        <pic:spPr>
                          <a:xfrm>
                            <a:off x="0" y="0"/>
                            <a:ext cx="7937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45745"/>
                  <wp:effectExtent l="0" t="0" r="0" b="0"/>
                  <wp:wrapNone/>
                  <wp:docPr id="575" name="Picture_20_SpCnt_17"/>
                  <wp:cNvGraphicFramePr/>
                  <a:graphic xmlns:a="http://schemas.openxmlformats.org/drawingml/2006/main">
                    <a:graphicData uri="http://schemas.openxmlformats.org/drawingml/2006/picture">
                      <pic:pic xmlns:pic="http://schemas.openxmlformats.org/drawingml/2006/picture">
                        <pic:nvPicPr>
                          <pic:cNvPr id="575" name="Picture_20_SpCnt_17"/>
                          <pic:cNvPicPr/>
                        </pic:nvPicPr>
                        <pic:blipFill>
                          <a:blip r:embed="rId15"/>
                          <a:stretch>
                            <a:fillRect/>
                          </a:stretch>
                        </pic:blipFill>
                        <pic:spPr>
                          <a:xfrm>
                            <a:off x="0" y="0"/>
                            <a:ext cx="83820"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1755" cy="271145"/>
                  <wp:effectExtent l="0" t="0" r="0" b="0"/>
                  <wp:wrapNone/>
                  <wp:docPr id="593" name="Picture_20_SpCnt_18"/>
                  <wp:cNvGraphicFramePr/>
                  <a:graphic xmlns:a="http://schemas.openxmlformats.org/drawingml/2006/main">
                    <a:graphicData uri="http://schemas.openxmlformats.org/drawingml/2006/picture">
                      <pic:pic xmlns:pic="http://schemas.openxmlformats.org/drawingml/2006/picture">
                        <pic:nvPicPr>
                          <pic:cNvPr id="593" name="Picture_20_SpCnt_18"/>
                          <pic:cNvPicPr/>
                        </pic:nvPicPr>
                        <pic:blipFill>
                          <a:blip r:embed="rId15"/>
                          <a:stretch>
                            <a:fillRect/>
                          </a:stretch>
                        </pic:blipFill>
                        <pic:spPr>
                          <a:xfrm>
                            <a:off x="0" y="0"/>
                            <a:ext cx="7175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6200" cy="262255"/>
                  <wp:effectExtent l="0" t="0" r="0" b="0"/>
                  <wp:wrapNone/>
                  <wp:docPr id="574" name="Picture_20_SpCnt_19"/>
                  <wp:cNvGraphicFramePr/>
                  <a:graphic xmlns:a="http://schemas.openxmlformats.org/drawingml/2006/main">
                    <a:graphicData uri="http://schemas.openxmlformats.org/drawingml/2006/picture">
                      <pic:pic xmlns:pic="http://schemas.openxmlformats.org/drawingml/2006/picture">
                        <pic:nvPicPr>
                          <pic:cNvPr id="574" name="Picture_20_SpCnt_19"/>
                          <pic:cNvPicPr/>
                        </pic:nvPicPr>
                        <pic:blipFill>
                          <a:blip r:embed="rId15"/>
                          <a:stretch>
                            <a:fillRect/>
                          </a:stretch>
                        </pic:blipFill>
                        <pic:spPr>
                          <a:xfrm>
                            <a:off x="0" y="0"/>
                            <a:ext cx="7620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58445"/>
                  <wp:effectExtent l="0" t="0" r="0" b="0"/>
                  <wp:wrapNone/>
                  <wp:docPr id="576" name="Picture_20_SpCnt_20"/>
                  <wp:cNvGraphicFramePr/>
                  <a:graphic xmlns:a="http://schemas.openxmlformats.org/drawingml/2006/main">
                    <a:graphicData uri="http://schemas.openxmlformats.org/drawingml/2006/picture">
                      <pic:pic xmlns:pic="http://schemas.openxmlformats.org/drawingml/2006/picture">
                        <pic:nvPicPr>
                          <pic:cNvPr id="576" name="Picture_20_SpCnt_20"/>
                          <pic:cNvPicPr/>
                        </pic:nvPicPr>
                        <pic:blipFill>
                          <a:blip r:embed="rId15"/>
                          <a:stretch>
                            <a:fillRect/>
                          </a:stretch>
                        </pic:blipFill>
                        <pic:spPr>
                          <a:xfrm>
                            <a:off x="0" y="0"/>
                            <a:ext cx="83820"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438785</wp:posOffset>
                  </wp:positionH>
                  <wp:positionV relativeFrom="paragraph">
                    <wp:posOffset>0</wp:posOffset>
                  </wp:positionV>
                  <wp:extent cx="87630" cy="247650"/>
                  <wp:effectExtent l="0" t="0" r="0" b="0"/>
                  <wp:wrapNone/>
                  <wp:docPr id="569" name="Picture_20_SpCnt_21"/>
                  <wp:cNvGraphicFramePr/>
                  <a:graphic xmlns:a="http://schemas.openxmlformats.org/drawingml/2006/main">
                    <a:graphicData uri="http://schemas.openxmlformats.org/drawingml/2006/picture">
                      <pic:pic xmlns:pic="http://schemas.openxmlformats.org/drawingml/2006/picture">
                        <pic:nvPicPr>
                          <pic:cNvPr id="569" name="Picture_20_SpCnt_21"/>
                          <pic:cNvPicPr/>
                        </pic:nvPicPr>
                        <pic:blipFill>
                          <a:blip r:embed="rId15"/>
                          <a:stretch>
                            <a:fillRect/>
                          </a:stretch>
                        </pic:blipFill>
                        <pic:spPr>
                          <a:xfrm>
                            <a:off x="0" y="0"/>
                            <a:ext cx="8763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438785</wp:posOffset>
                  </wp:positionH>
                  <wp:positionV relativeFrom="paragraph">
                    <wp:posOffset>0</wp:posOffset>
                  </wp:positionV>
                  <wp:extent cx="87630" cy="268605"/>
                  <wp:effectExtent l="0" t="0" r="0" b="0"/>
                  <wp:wrapNone/>
                  <wp:docPr id="582" name="Picture_20_SpCnt_22"/>
                  <wp:cNvGraphicFramePr/>
                  <a:graphic xmlns:a="http://schemas.openxmlformats.org/drawingml/2006/main">
                    <a:graphicData uri="http://schemas.openxmlformats.org/drawingml/2006/picture">
                      <pic:pic xmlns:pic="http://schemas.openxmlformats.org/drawingml/2006/picture">
                        <pic:nvPicPr>
                          <pic:cNvPr id="582" name="Picture_20_SpCnt_22"/>
                          <pic:cNvPicPr/>
                        </pic:nvPicPr>
                        <pic:blipFill>
                          <a:blip r:embed="rId15"/>
                          <a:stretch>
                            <a:fillRect/>
                          </a:stretch>
                        </pic:blipFill>
                        <pic:spPr>
                          <a:xfrm>
                            <a:off x="0" y="0"/>
                            <a:ext cx="8763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6200" cy="254000"/>
                  <wp:effectExtent l="0" t="0" r="0" b="0"/>
                  <wp:wrapNone/>
                  <wp:docPr id="578" name="Picture_20_SpCnt_23"/>
                  <wp:cNvGraphicFramePr/>
                  <a:graphic xmlns:a="http://schemas.openxmlformats.org/drawingml/2006/main">
                    <a:graphicData uri="http://schemas.openxmlformats.org/drawingml/2006/picture">
                      <pic:pic xmlns:pic="http://schemas.openxmlformats.org/drawingml/2006/picture">
                        <pic:nvPicPr>
                          <pic:cNvPr id="578" name="Picture_20_SpCnt_23"/>
                          <pic:cNvPicPr/>
                        </pic:nvPicPr>
                        <pic:blipFill>
                          <a:blip r:embed="rId15"/>
                          <a:stretch>
                            <a:fillRect/>
                          </a:stretch>
                        </pic:blipFill>
                        <pic:spPr>
                          <a:xfrm>
                            <a:off x="0" y="0"/>
                            <a:ext cx="76200"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71145"/>
                  <wp:effectExtent l="0" t="0" r="0" b="0"/>
                  <wp:wrapNone/>
                  <wp:docPr id="587" name="Picture_20_SpCnt_24"/>
                  <wp:cNvGraphicFramePr/>
                  <a:graphic xmlns:a="http://schemas.openxmlformats.org/drawingml/2006/main">
                    <a:graphicData uri="http://schemas.openxmlformats.org/drawingml/2006/picture">
                      <pic:pic xmlns:pic="http://schemas.openxmlformats.org/drawingml/2006/picture">
                        <pic:nvPicPr>
                          <pic:cNvPr id="587" name="Picture_20_SpCnt_24"/>
                          <pic:cNvPicPr/>
                        </pic:nvPicPr>
                        <pic:blipFill>
                          <a:blip r:embed="rId15"/>
                          <a:stretch>
                            <a:fillRect/>
                          </a:stretch>
                        </pic:blipFill>
                        <pic:spPr>
                          <a:xfrm>
                            <a:off x="0" y="0"/>
                            <a:ext cx="8382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41935"/>
                  <wp:effectExtent l="0" t="0" r="0" b="0"/>
                  <wp:wrapNone/>
                  <wp:docPr id="588" name="Picture_20_SpCnt_25"/>
                  <wp:cNvGraphicFramePr/>
                  <a:graphic xmlns:a="http://schemas.openxmlformats.org/drawingml/2006/main">
                    <a:graphicData uri="http://schemas.openxmlformats.org/drawingml/2006/picture">
                      <pic:pic xmlns:pic="http://schemas.openxmlformats.org/drawingml/2006/picture">
                        <pic:nvPicPr>
                          <pic:cNvPr id="588" name="Picture_20_SpCnt_25"/>
                          <pic:cNvPicPr/>
                        </pic:nvPicPr>
                        <pic:blipFill>
                          <a:blip r:embed="rId15"/>
                          <a:stretch>
                            <a:fillRect/>
                          </a:stretch>
                        </pic:blipFill>
                        <pic:spPr>
                          <a:xfrm>
                            <a:off x="0" y="0"/>
                            <a:ext cx="8382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74955"/>
                  <wp:effectExtent l="0" t="0" r="0" b="0"/>
                  <wp:wrapNone/>
                  <wp:docPr id="562" name="Picture_20_SpCnt_26"/>
                  <wp:cNvGraphicFramePr/>
                  <a:graphic xmlns:a="http://schemas.openxmlformats.org/drawingml/2006/main">
                    <a:graphicData uri="http://schemas.openxmlformats.org/drawingml/2006/picture">
                      <pic:pic xmlns:pic="http://schemas.openxmlformats.org/drawingml/2006/picture">
                        <pic:nvPicPr>
                          <pic:cNvPr id="562" name="Picture_20_SpCnt_26"/>
                          <pic:cNvPicPr/>
                        </pic:nvPicPr>
                        <pic:blipFill>
                          <a:blip r:embed="rId15"/>
                          <a:stretch>
                            <a:fillRect/>
                          </a:stretch>
                        </pic:blipFill>
                        <pic:spPr>
                          <a:xfrm>
                            <a:off x="0" y="0"/>
                            <a:ext cx="83820"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438785</wp:posOffset>
                  </wp:positionH>
                  <wp:positionV relativeFrom="paragraph">
                    <wp:posOffset>0</wp:posOffset>
                  </wp:positionV>
                  <wp:extent cx="87630" cy="281305"/>
                  <wp:effectExtent l="0" t="0" r="0" b="0"/>
                  <wp:wrapNone/>
                  <wp:docPr id="589" name="Picture_20_SpCnt_27"/>
                  <wp:cNvGraphicFramePr/>
                  <a:graphic xmlns:a="http://schemas.openxmlformats.org/drawingml/2006/main">
                    <a:graphicData uri="http://schemas.openxmlformats.org/drawingml/2006/picture">
                      <pic:pic xmlns:pic="http://schemas.openxmlformats.org/drawingml/2006/picture">
                        <pic:nvPicPr>
                          <pic:cNvPr id="589" name="Picture_20_SpCnt_27"/>
                          <pic:cNvPicPr/>
                        </pic:nvPicPr>
                        <pic:blipFill>
                          <a:blip r:embed="rId15"/>
                          <a:stretch>
                            <a:fillRect/>
                          </a:stretch>
                        </pic:blipFill>
                        <pic:spPr>
                          <a:xfrm>
                            <a:off x="0" y="0"/>
                            <a:ext cx="8763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76200" cy="258445"/>
                  <wp:effectExtent l="0" t="0" r="0" b="0"/>
                  <wp:wrapNone/>
                  <wp:docPr id="604" name="Picture_20_SpCnt_28"/>
                  <wp:cNvGraphicFramePr/>
                  <a:graphic xmlns:a="http://schemas.openxmlformats.org/drawingml/2006/main">
                    <a:graphicData uri="http://schemas.openxmlformats.org/drawingml/2006/picture">
                      <pic:pic xmlns:pic="http://schemas.openxmlformats.org/drawingml/2006/picture">
                        <pic:nvPicPr>
                          <pic:cNvPr id="604" name="Picture_20_SpCnt_28"/>
                          <pic:cNvPicPr/>
                        </pic:nvPicPr>
                        <pic:blipFill>
                          <a:blip r:embed="rId15"/>
                          <a:stretch>
                            <a:fillRect/>
                          </a:stretch>
                        </pic:blipFill>
                        <pic:spPr>
                          <a:xfrm>
                            <a:off x="0" y="0"/>
                            <a:ext cx="76200"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62255"/>
                  <wp:effectExtent l="0" t="0" r="0" b="0"/>
                  <wp:wrapNone/>
                  <wp:docPr id="602" name="Picture_20_SpCnt_29"/>
                  <wp:cNvGraphicFramePr/>
                  <a:graphic xmlns:a="http://schemas.openxmlformats.org/drawingml/2006/main">
                    <a:graphicData uri="http://schemas.openxmlformats.org/drawingml/2006/picture">
                      <pic:pic xmlns:pic="http://schemas.openxmlformats.org/drawingml/2006/picture">
                        <pic:nvPicPr>
                          <pic:cNvPr id="602" name="Picture_20_SpCnt_29"/>
                          <pic:cNvPicPr/>
                        </pic:nvPicPr>
                        <pic:blipFill>
                          <a:blip r:embed="rId15"/>
                          <a:stretch>
                            <a:fillRect/>
                          </a:stretch>
                        </pic:blipFill>
                        <pic:spPr>
                          <a:xfrm>
                            <a:off x="0" y="0"/>
                            <a:ext cx="8382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1755" cy="241935"/>
                  <wp:effectExtent l="0" t="0" r="0" b="0"/>
                  <wp:wrapNone/>
                  <wp:docPr id="601" name="Picture_20_SpCnt_30"/>
                  <wp:cNvGraphicFramePr/>
                  <a:graphic xmlns:a="http://schemas.openxmlformats.org/drawingml/2006/main">
                    <a:graphicData uri="http://schemas.openxmlformats.org/drawingml/2006/picture">
                      <pic:pic xmlns:pic="http://schemas.openxmlformats.org/drawingml/2006/picture">
                        <pic:nvPicPr>
                          <pic:cNvPr id="601" name="Picture_20_SpCnt_30"/>
                          <pic:cNvPicPr/>
                        </pic:nvPicPr>
                        <pic:blipFill>
                          <a:blip r:embed="rId15"/>
                          <a:stretch>
                            <a:fillRect/>
                          </a:stretch>
                        </pic:blipFill>
                        <pic:spPr>
                          <a:xfrm>
                            <a:off x="0" y="0"/>
                            <a:ext cx="7175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81305"/>
                  <wp:effectExtent l="0" t="0" r="0" b="0"/>
                  <wp:wrapNone/>
                  <wp:docPr id="596" name="Picture_20_SpCnt_31"/>
                  <wp:cNvGraphicFramePr/>
                  <a:graphic xmlns:a="http://schemas.openxmlformats.org/drawingml/2006/main">
                    <a:graphicData uri="http://schemas.openxmlformats.org/drawingml/2006/picture">
                      <pic:pic xmlns:pic="http://schemas.openxmlformats.org/drawingml/2006/picture">
                        <pic:nvPicPr>
                          <pic:cNvPr id="596" name="Picture_20_SpCnt_31"/>
                          <pic:cNvPicPr/>
                        </pic:nvPicPr>
                        <pic:blipFill>
                          <a:blip r:embed="rId15"/>
                          <a:stretch>
                            <a:fillRect/>
                          </a:stretch>
                        </pic:blipFill>
                        <pic:spPr>
                          <a:xfrm>
                            <a:off x="0" y="0"/>
                            <a:ext cx="8382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60350"/>
                  <wp:effectExtent l="0" t="0" r="0" b="0"/>
                  <wp:wrapNone/>
                  <wp:docPr id="599" name="Picture_20_SpCnt_32"/>
                  <wp:cNvGraphicFramePr/>
                  <a:graphic xmlns:a="http://schemas.openxmlformats.org/drawingml/2006/main">
                    <a:graphicData uri="http://schemas.openxmlformats.org/drawingml/2006/picture">
                      <pic:pic xmlns:pic="http://schemas.openxmlformats.org/drawingml/2006/picture">
                        <pic:nvPicPr>
                          <pic:cNvPr id="599" name="Picture_20_SpCnt_32"/>
                          <pic:cNvPicPr/>
                        </pic:nvPicPr>
                        <pic:blipFill>
                          <a:blip r:embed="rId15"/>
                          <a:stretch>
                            <a:fillRect/>
                          </a:stretch>
                        </pic:blipFill>
                        <pic:spPr>
                          <a:xfrm>
                            <a:off x="0" y="0"/>
                            <a:ext cx="83820"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447040</wp:posOffset>
                  </wp:positionH>
                  <wp:positionV relativeFrom="paragraph">
                    <wp:posOffset>0</wp:posOffset>
                  </wp:positionV>
                  <wp:extent cx="71755" cy="247650"/>
                  <wp:effectExtent l="0" t="0" r="0" b="0"/>
                  <wp:wrapNone/>
                  <wp:docPr id="605" name="Picture_20_SpCnt_33"/>
                  <wp:cNvGraphicFramePr/>
                  <a:graphic xmlns:a="http://schemas.openxmlformats.org/drawingml/2006/main">
                    <a:graphicData uri="http://schemas.openxmlformats.org/drawingml/2006/picture">
                      <pic:pic xmlns:pic="http://schemas.openxmlformats.org/drawingml/2006/picture">
                        <pic:nvPicPr>
                          <pic:cNvPr id="605" name="Picture_20_SpCnt_33"/>
                          <pic:cNvPicPr/>
                        </pic:nvPicPr>
                        <pic:blipFill>
                          <a:blip r:embed="rId15"/>
                          <a:stretch>
                            <a:fillRect/>
                          </a:stretch>
                        </pic:blipFill>
                        <pic:spPr>
                          <a:xfrm>
                            <a:off x="0" y="0"/>
                            <a:ext cx="7175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54000"/>
                  <wp:effectExtent l="0" t="0" r="0" b="0"/>
                  <wp:wrapNone/>
                  <wp:docPr id="594" name="Picture_20_SpCnt_34"/>
                  <wp:cNvGraphicFramePr/>
                  <a:graphic xmlns:a="http://schemas.openxmlformats.org/drawingml/2006/main">
                    <a:graphicData uri="http://schemas.openxmlformats.org/drawingml/2006/picture">
                      <pic:pic xmlns:pic="http://schemas.openxmlformats.org/drawingml/2006/picture">
                        <pic:nvPicPr>
                          <pic:cNvPr id="594" name="Picture_20_SpCnt_34"/>
                          <pic:cNvPicPr/>
                        </pic:nvPicPr>
                        <pic:blipFill>
                          <a:blip r:embed="rId15"/>
                          <a:stretch>
                            <a:fillRect/>
                          </a:stretch>
                        </pic:blipFill>
                        <pic:spPr>
                          <a:xfrm>
                            <a:off x="0" y="0"/>
                            <a:ext cx="83820"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47650"/>
                  <wp:effectExtent l="0" t="0" r="0" b="0"/>
                  <wp:wrapNone/>
                  <wp:docPr id="603" name="Picture_20_SpCnt_35"/>
                  <wp:cNvGraphicFramePr/>
                  <a:graphic xmlns:a="http://schemas.openxmlformats.org/drawingml/2006/main">
                    <a:graphicData uri="http://schemas.openxmlformats.org/drawingml/2006/picture">
                      <pic:pic xmlns:pic="http://schemas.openxmlformats.org/drawingml/2006/picture">
                        <pic:nvPicPr>
                          <pic:cNvPr id="603" name="Picture_20_SpCnt_35"/>
                          <pic:cNvPicPr/>
                        </pic:nvPicPr>
                        <pic:blipFill>
                          <a:blip r:embed="rId15"/>
                          <a:stretch>
                            <a:fillRect/>
                          </a:stretch>
                        </pic:blipFill>
                        <pic:spPr>
                          <a:xfrm>
                            <a:off x="0" y="0"/>
                            <a:ext cx="8382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438785</wp:posOffset>
                  </wp:positionH>
                  <wp:positionV relativeFrom="paragraph">
                    <wp:posOffset>0</wp:posOffset>
                  </wp:positionV>
                  <wp:extent cx="87630" cy="241935"/>
                  <wp:effectExtent l="0" t="0" r="0" b="0"/>
                  <wp:wrapNone/>
                  <wp:docPr id="597" name="Picture_20_SpCnt_36"/>
                  <wp:cNvGraphicFramePr/>
                  <a:graphic xmlns:a="http://schemas.openxmlformats.org/drawingml/2006/main">
                    <a:graphicData uri="http://schemas.openxmlformats.org/drawingml/2006/picture">
                      <pic:pic xmlns:pic="http://schemas.openxmlformats.org/drawingml/2006/picture">
                        <pic:nvPicPr>
                          <pic:cNvPr id="597" name="Picture_20_SpCnt_36"/>
                          <pic:cNvPicPr/>
                        </pic:nvPicPr>
                        <pic:blipFill>
                          <a:blip r:embed="rId15"/>
                          <a:stretch>
                            <a:fillRect/>
                          </a:stretch>
                        </pic:blipFill>
                        <pic:spPr>
                          <a:xfrm>
                            <a:off x="0" y="0"/>
                            <a:ext cx="8763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442595</wp:posOffset>
                  </wp:positionH>
                  <wp:positionV relativeFrom="paragraph">
                    <wp:posOffset>0</wp:posOffset>
                  </wp:positionV>
                  <wp:extent cx="83820" cy="256540"/>
                  <wp:effectExtent l="0" t="0" r="0" b="0"/>
                  <wp:wrapNone/>
                  <wp:docPr id="606" name="Picture_20_SpCnt_37"/>
                  <wp:cNvGraphicFramePr/>
                  <a:graphic xmlns:a="http://schemas.openxmlformats.org/drawingml/2006/main">
                    <a:graphicData uri="http://schemas.openxmlformats.org/drawingml/2006/picture">
                      <pic:pic xmlns:pic="http://schemas.openxmlformats.org/drawingml/2006/picture">
                        <pic:nvPicPr>
                          <pic:cNvPr id="606" name="Picture_20_SpCnt_37"/>
                          <pic:cNvPicPr/>
                        </pic:nvPicPr>
                        <pic:blipFill>
                          <a:blip r:embed="rId15"/>
                          <a:stretch>
                            <a:fillRect/>
                          </a:stretch>
                        </pic:blipFill>
                        <pic:spPr>
                          <a:xfrm>
                            <a:off x="0" y="0"/>
                            <a:ext cx="83820"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56540"/>
                  <wp:effectExtent l="0" t="0" r="0" b="0"/>
                  <wp:wrapNone/>
                  <wp:docPr id="595" name="Picture_21"/>
                  <wp:cNvGraphicFramePr/>
                  <a:graphic xmlns:a="http://schemas.openxmlformats.org/drawingml/2006/main">
                    <a:graphicData uri="http://schemas.openxmlformats.org/drawingml/2006/picture">
                      <pic:pic xmlns:pic="http://schemas.openxmlformats.org/drawingml/2006/picture">
                        <pic:nvPicPr>
                          <pic:cNvPr id="595" name="Picture_21"/>
                          <pic:cNvPicPr/>
                        </pic:nvPicPr>
                        <pic:blipFill>
                          <a:blip r:embed="rId15"/>
                          <a:stretch>
                            <a:fillRect/>
                          </a:stretch>
                        </pic:blipFill>
                        <pic:spPr>
                          <a:xfrm>
                            <a:off x="0" y="0"/>
                            <a:ext cx="80010"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81305"/>
                  <wp:effectExtent l="0" t="0" r="0" b="0"/>
                  <wp:wrapNone/>
                  <wp:docPr id="598" name="Picture_21_SpCnt_1"/>
                  <wp:cNvGraphicFramePr/>
                  <a:graphic xmlns:a="http://schemas.openxmlformats.org/drawingml/2006/main">
                    <a:graphicData uri="http://schemas.openxmlformats.org/drawingml/2006/picture">
                      <pic:pic xmlns:pic="http://schemas.openxmlformats.org/drawingml/2006/picture">
                        <pic:nvPicPr>
                          <pic:cNvPr id="598" name="Picture_21_SpCnt_1"/>
                          <pic:cNvPicPr/>
                        </pic:nvPicPr>
                        <pic:blipFill>
                          <a:blip r:embed="rId15"/>
                          <a:stretch>
                            <a:fillRect/>
                          </a:stretch>
                        </pic:blipFill>
                        <pic:spPr>
                          <a:xfrm>
                            <a:off x="0" y="0"/>
                            <a:ext cx="8001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68605"/>
                  <wp:effectExtent l="0" t="0" r="0" b="0"/>
                  <wp:wrapNone/>
                  <wp:docPr id="600" name="Picture_21_SpCnt_2"/>
                  <wp:cNvGraphicFramePr/>
                  <a:graphic xmlns:a="http://schemas.openxmlformats.org/drawingml/2006/main">
                    <a:graphicData uri="http://schemas.openxmlformats.org/drawingml/2006/picture">
                      <pic:pic xmlns:pic="http://schemas.openxmlformats.org/drawingml/2006/picture">
                        <pic:nvPicPr>
                          <pic:cNvPr id="600" name="Picture_21_SpCnt_2"/>
                          <pic:cNvPicPr/>
                        </pic:nvPicPr>
                        <pic:blipFill>
                          <a:blip r:embed="rId15"/>
                          <a:stretch>
                            <a:fillRect/>
                          </a:stretch>
                        </pic:blipFill>
                        <pic:spPr>
                          <a:xfrm>
                            <a:off x="0" y="0"/>
                            <a:ext cx="8001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73050"/>
                  <wp:effectExtent l="0" t="0" r="0" b="0"/>
                  <wp:wrapNone/>
                  <wp:docPr id="519" name="Picture_21_SpCnt_3"/>
                  <wp:cNvGraphicFramePr/>
                  <a:graphic xmlns:a="http://schemas.openxmlformats.org/drawingml/2006/main">
                    <a:graphicData uri="http://schemas.openxmlformats.org/drawingml/2006/picture">
                      <pic:pic xmlns:pic="http://schemas.openxmlformats.org/drawingml/2006/picture">
                        <pic:nvPicPr>
                          <pic:cNvPr id="519" name="Picture_21_SpCnt_3"/>
                          <pic:cNvPicPr/>
                        </pic:nvPicPr>
                        <pic:blipFill>
                          <a:blip r:embed="rId15"/>
                          <a:stretch>
                            <a:fillRect/>
                          </a:stretch>
                        </pic:blipFill>
                        <pic:spPr>
                          <a:xfrm>
                            <a:off x="0" y="0"/>
                            <a:ext cx="8001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75565" cy="241935"/>
                  <wp:effectExtent l="0" t="0" r="0" b="0"/>
                  <wp:wrapNone/>
                  <wp:docPr id="515" name="Picture_21_SpCnt_4"/>
                  <wp:cNvGraphicFramePr/>
                  <a:graphic xmlns:a="http://schemas.openxmlformats.org/drawingml/2006/main">
                    <a:graphicData uri="http://schemas.openxmlformats.org/drawingml/2006/picture">
                      <pic:pic xmlns:pic="http://schemas.openxmlformats.org/drawingml/2006/picture">
                        <pic:nvPicPr>
                          <pic:cNvPr id="515" name="Picture_21_SpCnt_4"/>
                          <pic:cNvPicPr/>
                        </pic:nvPicPr>
                        <pic:blipFill>
                          <a:blip r:embed="rId15"/>
                          <a:stretch>
                            <a:fillRect/>
                          </a:stretch>
                        </pic:blipFill>
                        <pic:spPr>
                          <a:xfrm>
                            <a:off x="0" y="0"/>
                            <a:ext cx="7556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75565" cy="245745"/>
                  <wp:effectExtent l="0" t="0" r="0" b="0"/>
                  <wp:wrapNone/>
                  <wp:docPr id="505" name="Picture_21_SpCnt_5"/>
                  <wp:cNvGraphicFramePr/>
                  <a:graphic xmlns:a="http://schemas.openxmlformats.org/drawingml/2006/main">
                    <a:graphicData uri="http://schemas.openxmlformats.org/drawingml/2006/picture">
                      <pic:pic xmlns:pic="http://schemas.openxmlformats.org/drawingml/2006/picture">
                        <pic:nvPicPr>
                          <pic:cNvPr id="505" name="Picture_21_SpCnt_5"/>
                          <pic:cNvPicPr/>
                        </pic:nvPicPr>
                        <pic:blipFill>
                          <a:blip r:embed="rId15"/>
                          <a:stretch>
                            <a:fillRect/>
                          </a:stretch>
                        </pic:blipFill>
                        <pic:spPr>
                          <a:xfrm>
                            <a:off x="0" y="0"/>
                            <a:ext cx="7556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47650"/>
                  <wp:effectExtent l="0" t="0" r="0" b="0"/>
                  <wp:wrapNone/>
                  <wp:docPr id="507" name="Picture_21_SpCnt_6"/>
                  <wp:cNvGraphicFramePr/>
                  <a:graphic xmlns:a="http://schemas.openxmlformats.org/drawingml/2006/main">
                    <a:graphicData uri="http://schemas.openxmlformats.org/drawingml/2006/picture">
                      <pic:pic xmlns:pic="http://schemas.openxmlformats.org/drawingml/2006/picture">
                        <pic:nvPicPr>
                          <pic:cNvPr id="507" name="Picture_21_SpCnt_6"/>
                          <pic:cNvPicPr/>
                        </pic:nvPicPr>
                        <pic:blipFill>
                          <a:blip r:embed="rId15"/>
                          <a:stretch>
                            <a:fillRect/>
                          </a:stretch>
                        </pic:blipFill>
                        <pic:spPr>
                          <a:xfrm>
                            <a:off x="0" y="0"/>
                            <a:ext cx="8001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0</wp:posOffset>
                  </wp:positionV>
                  <wp:extent cx="80010" cy="260350"/>
                  <wp:effectExtent l="0" t="0" r="0" b="0"/>
                  <wp:wrapNone/>
                  <wp:docPr id="518" name="Picture_21_SpCnt_7"/>
                  <wp:cNvGraphicFramePr/>
                  <a:graphic xmlns:a="http://schemas.openxmlformats.org/drawingml/2006/main">
                    <a:graphicData uri="http://schemas.openxmlformats.org/drawingml/2006/picture">
                      <pic:pic xmlns:pic="http://schemas.openxmlformats.org/drawingml/2006/picture">
                        <pic:nvPicPr>
                          <pic:cNvPr id="518" name="Picture_21_SpCnt_7"/>
                          <pic:cNvPicPr/>
                        </pic:nvPicPr>
                        <pic:blipFill>
                          <a:blip r:embed="rId15"/>
                          <a:stretch>
                            <a:fillRect/>
                          </a:stretch>
                        </pic:blipFill>
                        <pic:spPr>
                          <a:xfrm>
                            <a:off x="0" y="0"/>
                            <a:ext cx="80010"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81305"/>
                  <wp:effectExtent l="0" t="0" r="0" b="0"/>
                  <wp:wrapNone/>
                  <wp:docPr id="510" name="Picture_22"/>
                  <wp:cNvGraphicFramePr/>
                  <a:graphic xmlns:a="http://schemas.openxmlformats.org/drawingml/2006/main">
                    <a:graphicData uri="http://schemas.openxmlformats.org/drawingml/2006/picture">
                      <pic:pic xmlns:pic="http://schemas.openxmlformats.org/drawingml/2006/picture">
                        <pic:nvPicPr>
                          <pic:cNvPr id="510" name="Picture_22"/>
                          <pic:cNvPicPr/>
                        </pic:nvPicPr>
                        <pic:blipFill>
                          <a:blip r:embed="rId15"/>
                          <a:stretch>
                            <a:fillRect/>
                          </a:stretch>
                        </pic:blipFill>
                        <pic:spPr>
                          <a:xfrm>
                            <a:off x="0" y="0"/>
                            <a:ext cx="78740"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4930" cy="247650"/>
                  <wp:effectExtent l="0" t="0" r="0" b="0"/>
                  <wp:wrapNone/>
                  <wp:docPr id="509" name="Picture_22_SpCnt_1"/>
                  <wp:cNvGraphicFramePr/>
                  <a:graphic xmlns:a="http://schemas.openxmlformats.org/drawingml/2006/main">
                    <a:graphicData uri="http://schemas.openxmlformats.org/drawingml/2006/picture">
                      <pic:pic xmlns:pic="http://schemas.openxmlformats.org/drawingml/2006/picture">
                        <pic:nvPicPr>
                          <pic:cNvPr id="509" name="Picture_22_SpCnt_1"/>
                          <pic:cNvPicPr/>
                        </pic:nvPicPr>
                        <pic:blipFill>
                          <a:blip r:embed="rId15"/>
                          <a:stretch>
                            <a:fillRect/>
                          </a:stretch>
                        </pic:blipFill>
                        <pic:spPr>
                          <a:xfrm>
                            <a:off x="0" y="0"/>
                            <a:ext cx="7493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185" cy="241935"/>
                  <wp:effectExtent l="0" t="0" r="0" b="0"/>
                  <wp:wrapNone/>
                  <wp:docPr id="500" name="Picture_21_SpCnt_8"/>
                  <wp:cNvGraphicFramePr/>
                  <a:graphic xmlns:a="http://schemas.openxmlformats.org/drawingml/2006/main">
                    <a:graphicData uri="http://schemas.openxmlformats.org/drawingml/2006/picture">
                      <pic:pic xmlns:pic="http://schemas.openxmlformats.org/drawingml/2006/picture">
                        <pic:nvPicPr>
                          <pic:cNvPr id="500" name="Picture_21_SpCnt_8"/>
                          <pic:cNvPicPr/>
                        </pic:nvPicPr>
                        <pic:blipFill>
                          <a:blip r:embed="rId15"/>
                          <a:stretch>
                            <a:fillRect/>
                          </a:stretch>
                        </pic:blipFill>
                        <pic:spPr>
                          <a:xfrm>
                            <a:off x="0" y="0"/>
                            <a:ext cx="8318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185" cy="247650"/>
                  <wp:effectExtent l="0" t="0" r="0" b="0"/>
                  <wp:wrapNone/>
                  <wp:docPr id="501" name="Picture_21_SpCnt_9"/>
                  <wp:cNvGraphicFramePr/>
                  <a:graphic xmlns:a="http://schemas.openxmlformats.org/drawingml/2006/main">
                    <a:graphicData uri="http://schemas.openxmlformats.org/drawingml/2006/picture">
                      <pic:pic xmlns:pic="http://schemas.openxmlformats.org/drawingml/2006/picture">
                        <pic:nvPicPr>
                          <pic:cNvPr id="501" name="Picture_21_SpCnt_9"/>
                          <pic:cNvPicPr/>
                        </pic:nvPicPr>
                        <pic:blipFill>
                          <a:blip r:embed="rId15"/>
                          <a:stretch>
                            <a:fillRect/>
                          </a:stretch>
                        </pic:blipFill>
                        <pic:spPr>
                          <a:xfrm>
                            <a:off x="0" y="0"/>
                            <a:ext cx="8318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68605"/>
                  <wp:effectExtent l="0" t="0" r="0" b="0"/>
                  <wp:wrapNone/>
                  <wp:docPr id="492" name="Picture_21_SpCnt_10"/>
                  <wp:cNvGraphicFramePr/>
                  <a:graphic xmlns:a="http://schemas.openxmlformats.org/drawingml/2006/main">
                    <a:graphicData uri="http://schemas.openxmlformats.org/drawingml/2006/picture">
                      <pic:pic xmlns:pic="http://schemas.openxmlformats.org/drawingml/2006/picture">
                        <pic:nvPicPr>
                          <pic:cNvPr id="492" name="Picture_21_SpCnt_10"/>
                          <pic:cNvPicPr/>
                        </pic:nvPicPr>
                        <pic:blipFill>
                          <a:blip r:embed="rId15"/>
                          <a:stretch>
                            <a:fillRect/>
                          </a:stretch>
                        </pic:blipFill>
                        <pic:spPr>
                          <a:xfrm>
                            <a:off x="0" y="0"/>
                            <a:ext cx="8699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54000"/>
                  <wp:effectExtent l="0" t="0" r="0" b="0"/>
                  <wp:wrapNone/>
                  <wp:docPr id="488" name="Picture_121"/>
                  <wp:cNvGraphicFramePr/>
                  <a:graphic xmlns:a="http://schemas.openxmlformats.org/drawingml/2006/main">
                    <a:graphicData uri="http://schemas.openxmlformats.org/drawingml/2006/picture">
                      <pic:pic xmlns:pic="http://schemas.openxmlformats.org/drawingml/2006/picture">
                        <pic:nvPicPr>
                          <pic:cNvPr id="488" name="Picture_121"/>
                          <pic:cNvPicPr/>
                        </pic:nvPicPr>
                        <pic:blipFill>
                          <a:blip r:embed="rId15"/>
                          <a:stretch>
                            <a:fillRect/>
                          </a:stretch>
                        </pic:blipFill>
                        <pic:spPr>
                          <a:xfrm>
                            <a:off x="0" y="0"/>
                            <a:ext cx="317500"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73050"/>
                  <wp:effectExtent l="0" t="0" r="0" b="0"/>
                  <wp:wrapNone/>
                  <wp:docPr id="516" name="Picture_22_SpCnt_2"/>
                  <wp:cNvGraphicFramePr/>
                  <a:graphic xmlns:a="http://schemas.openxmlformats.org/drawingml/2006/main">
                    <a:graphicData uri="http://schemas.openxmlformats.org/drawingml/2006/picture">
                      <pic:pic xmlns:pic="http://schemas.openxmlformats.org/drawingml/2006/picture">
                        <pic:nvPicPr>
                          <pic:cNvPr id="516" name="Picture_22_SpCnt_2"/>
                          <pic:cNvPicPr/>
                        </pic:nvPicPr>
                        <pic:blipFill>
                          <a:blip r:embed="rId15"/>
                          <a:stretch>
                            <a:fillRect/>
                          </a:stretch>
                        </pic:blipFill>
                        <pic:spPr>
                          <a:xfrm>
                            <a:off x="0" y="0"/>
                            <a:ext cx="78740"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58445"/>
                  <wp:effectExtent l="0" t="0" r="0" b="0"/>
                  <wp:wrapNone/>
                  <wp:docPr id="503" name="Picture_121_SpCnt_1"/>
                  <wp:cNvGraphicFramePr/>
                  <a:graphic xmlns:a="http://schemas.openxmlformats.org/drawingml/2006/main">
                    <a:graphicData uri="http://schemas.openxmlformats.org/drawingml/2006/picture">
                      <pic:pic xmlns:pic="http://schemas.openxmlformats.org/drawingml/2006/picture">
                        <pic:nvPicPr>
                          <pic:cNvPr id="503" name="Picture_121_SpCnt_1"/>
                          <pic:cNvPicPr/>
                        </pic:nvPicPr>
                        <pic:blipFill>
                          <a:blip r:embed="rId15"/>
                          <a:stretch>
                            <a:fillRect/>
                          </a:stretch>
                        </pic:blipFill>
                        <pic:spPr>
                          <a:xfrm>
                            <a:off x="0" y="0"/>
                            <a:ext cx="317500"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58445"/>
                  <wp:effectExtent l="0" t="0" r="0" b="0"/>
                  <wp:wrapNone/>
                  <wp:docPr id="497" name="Picture_21_SpCnt_11"/>
                  <wp:cNvGraphicFramePr/>
                  <a:graphic xmlns:a="http://schemas.openxmlformats.org/drawingml/2006/main">
                    <a:graphicData uri="http://schemas.openxmlformats.org/drawingml/2006/picture">
                      <pic:pic xmlns:pic="http://schemas.openxmlformats.org/drawingml/2006/picture">
                        <pic:nvPicPr>
                          <pic:cNvPr id="497" name="Picture_21_SpCnt_11"/>
                          <pic:cNvPicPr/>
                        </pic:nvPicPr>
                        <pic:blipFill>
                          <a:blip r:embed="rId15"/>
                          <a:stretch>
                            <a:fillRect/>
                          </a:stretch>
                        </pic:blipFill>
                        <pic:spPr>
                          <a:xfrm>
                            <a:off x="0" y="0"/>
                            <a:ext cx="86995"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5115" cy="247650"/>
                  <wp:effectExtent l="0" t="0" r="0" b="0"/>
                  <wp:wrapNone/>
                  <wp:docPr id="508" name="Picture_121_SpCnt_2"/>
                  <wp:cNvGraphicFramePr/>
                  <a:graphic xmlns:a="http://schemas.openxmlformats.org/drawingml/2006/main">
                    <a:graphicData uri="http://schemas.openxmlformats.org/drawingml/2006/picture">
                      <pic:pic xmlns:pic="http://schemas.openxmlformats.org/drawingml/2006/picture">
                        <pic:nvPicPr>
                          <pic:cNvPr id="508" name="Picture_121_SpCnt_2"/>
                          <pic:cNvPicPr/>
                        </pic:nvPicPr>
                        <pic:blipFill>
                          <a:blip r:embed="rId15"/>
                          <a:stretch>
                            <a:fillRect/>
                          </a:stretch>
                        </pic:blipFill>
                        <pic:spPr>
                          <a:xfrm>
                            <a:off x="0" y="0"/>
                            <a:ext cx="28511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41935"/>
                  <wp:effectExtent l="0" t="0" r="0" b="0"/>
                  <wp:wrapNone/>
                  <wp:docPr id="493" name="Picture_22_SpCnt_3"/>
                  <wp:cNvGraphicFramePr/>
                  <a:graphic xmlns:a="http://schemas.openxmlformats.org/drawingml/2006/main">
                    <a:graphicData uri="http://schemas.openxmlformats.org/drawingml/2006/picture">
                      <pic:pic xmlns:pic="http://schemas.openxmlformats.org/drawingml/2006/picture">
                        <pic:nvPicPr>
                          <pic:cNvPr id="493" name="Picture_22_SpCnt_3"/>
                          <pic:cNvPicPr/>
                        </pic:nvPicPr>
                        <pic:blipFill>
                          <a:blip r:embed="rId15"/>
                          <a:stretch>
                            <a:fillRect/>
                          </a:stretch>
                        </pic:blipFill>
                        <pic:spPr>
                          <a:xfrm>
                            <a:off x="0" y="0"/>
                            <a:ext cx="8699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56540"/>
                  <wp:effectExtent l="0" t="0" r="0" b="0"/>
                  <wp:wrapNone/>
                  <wp:docPr id="511" name="Picture_22_SpCnt_4"/>
                  <wp:cNvGraphicFramePr/>
                  <a:graphic xmlns:a="http://schemas.openxmlformats.org/drawingml/2006/main">
                    <a:graphicData uri="http://schemas.openxmlformats.org/drawingml/2006/picture">
                      <pic:pic xmlns:pic="http://schemas.openxmlformats.org/drawingml/2006/picture">
                        <pic:nvPicPr>
                          <pic:cNvPr id="511" name="Picture_22_SpCnt_4"/>
                          <pic:cNvPicPr/>
                        </pic:nvPicPr>
                        <pic:blipFill>
                          <a:blip r:embed="rId15"/>
                          <a:stretch>
                            <a:fillRect/>
                          </a:stretch>
                        </pic:blipFill>
                        <pic:spPr>
                          <a:xfrm>
                            <a:off x="0" y="0"/>
                            <a:ext cx="83820"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56540"/>
                  <wp:effectExtent l="0" t="0" r="0" b="0"/>
                  <wp:wrapNone/>
                  <wp:docPr id="506" name="Picture_21_SpCnt_12"/>
                  <wp:cNvGraphicFramePr/>
                  <a:graphic xmlns:a="http://schemas.openxmlformats.org/drawingml/2006/main">
                    <a:graphicData uri="http://schemas.openxmlformats.org/drawingml/2006/picture">
                      <pic:pic xmlns:pic="http://schemas.openxmlformats.org/drawingml/2006/picture">
                        <pic:nvPicPr>
                          <pic:cNvPr id="506" name="Picture_21_SpCnt_12"/>
                          <pic:cNvPicPr/>
                        </pic:nvPicPr>
                        <pic:blipFill>
                          <a:blip r:embed="rId15"/>
                          <a:stretch>
                            <a:fillRect/>
                          </a:stretch>
                        </pic:blipFill>
                        <pic:spPr>
                          <a:xfrm>
                            <a:off x="0" y="0"/>
                            <a:ext cx="86995"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68605"/>
                  <wp:effectExtent l="0" t="0" r="0" b="0"/>
                  <wp:wrapNone/>
                  <wp:docPr id="504" name="Picture_121_SpCnt_3"/>
                  <wp:cNvGraphicFramePr/>
                  <a:graphic xmlns:a="http://schemas.openxmlformats.org/drawingml/2006/main">
                    <a:graphicData uri="http://schemas.openxmlformats.org/drawingml/2006/picture">
                      <pic:pic xmlns:pic="http://schemas.openxmlformats.org/drawingml/2006/picture">
                        <pic:nvPicPr>
                          <pic:cNvPr id="504" name="Picture_121_SpCnt_3"/>
                          <pic:cNvPicPr/>
                        </pic:nvPicPr>
                        <pic:blipFill>
                          <a:blip r:embed="rId15"/>
                          <a:stretch>
                            <a:fillRect/>
                          </a:stretch>
                        </pic:blipFill>
                        <pic:spPr>
                          <a:xfrm>
                            <a:off x="0" y="0"/>
                            <a:ext cx="31750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41935"/>
                  <wp:effectExtent l="0" t="0" r="0" b="0"/>
                  <wp:wrapNone/>
                  <wp:docPr id="498" name="Picture_22_SpCnt_5"/>
                  <wp:cNvGraphicFramePr/>
                  <a:graphic xmlns:a="http://schemas.openxmlformats.org/drawingml/2006/main">
                    <a:graphicData uri="http://schemas.openxmlformats.org/drawingml/2006/picture">
                      <pic:pic xmlns:pic="http://schemas.openxmlformats.org/drawingml/2006/picture">
                        <pic:nvPicPr>
                          <pic:cNvPr id="498" name="Picture_22_SpCnt_5"/>
                          <pic:cNvPicPr/>
                        </pic:nvPicPr>
                        <pic:blipFill>
                          <a:blip r:embed="rId15"/>
                          <a:stretch>
                            <a:fillRect/>
                          </a:stretch>
                        </pic:blipFill>
                        <pic:spPr>
                          <a:xfrm>
                            <a:off x="0" y="0"/>
                            <a:ext cx="8382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2575" cy="245745"/>
                  <wp:effectExtent l="0" t="0" r="0" b="0"/>
                  <wp:wrapNone/>
                  <wp:docPr id="514" name="Picture_121_SpCnt_4"/>
                  <wp:cNvGraphicFramePr/>
                  <a:graphic xmlns:a="http://schemas.openxmlformats.org/drawingml/2006/main">
                    <a:graphicData uri="http://schemas.openxmlformats.org/drawingml/2006/picture">
                      <pic:pic xmlns:pic="http://schemas.openxmlformats.org/drawingml/2006/picture">
                        <pic:nvPicPr>
                          <pic:cNvPr id="514" name="Picture_121_SpCnt_4"/>
                          <pic:cNvPicPr/>
                        </pic:nvPicPr>
                        <pic:blipFill>
                          <a:blip r:embed="rId15"/>
                          <a:stretch>
                            <a:fillRect/>
                          </a:stretch>
                        </pic:blipFill>
                        <pic:spPr>
                          <a:xfrm>
                            <a:off x="0" y="0"/>
                            <a:ext cx="28257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41935"/>
                  <wp:effectExtent l="0" t="0" r="0" b="0"/>
                  <wp:wrapNone/>
                  <wp:docPr id="512" name="Picture_22_SpCnt_6"/>
                  <wp:cNvGraphicFramePr/>
                  <a:graphic xmlns:a="http://schemas.openxmlformats.org/drawingml/2006/main">
                    <a:graphicData uri="http://schemas.openxmlformats.org/drawingml/2006/picture">
                      <pic:pic xmlns:pic="http://schemas.openxmlformats.org/drawingml/2006/picture">
                        <pic:nvPicPr>
                          <pic:cNvPr id="512" name="Picture_22_SpCnt_6"/>
                          <pic:cNvPicPr/>
                        </pic:nvPicPr>
                        <pic:blipFill>
                          <a:blip r:embed="rId15"/>
                          <a:stretch>
                            <a:fillRect/>
                          </a:stretch>
                        </pic:blipFill>
                        <pic:spPr>
                          <a:xfrm>
                            <a:off x="0" y="0"/>
                            <a:ext cx="7874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60350"/>
                  <wp:effectExtent l="0" t="0" r="0" b="0"/>
                  <wp:wrapNone/>
                  <wp:docPr id="489" name="Picture_21_SpCnt_13"/>
                  <wp:cNvGraphicFramePr/>
                  <a:graphic xmlns:a="http://schemas.openxmlformats.org/drawingml/2006/main">
                    <a:graphicData uri="http://schemas.openxmlformats.org/drawingml/2006/picture">
                      <pic:pic xmlns:pic="http://schemas.openxmlformats.org/drawingml/2006/picture">
                        <pic:nvPicPr>
                          <pic:cNvPr id="489" name="Picture_21_SpCnt_13"/>
                          <pic:cNvPicPr/>
                        </pic:nvPicPr>
                        <pic:blipFill>
                          <a:blip r:embed="rId15"/>
                          <a:stretch>
                            <a:fillRect/>
                          </a:stretch>
                        </pic:blipFill>
                        <pic:spPr>
                          <a:xfrm>
                            <a:off x="0" y="0"/>
                            <a:ext cx="86995"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360" cy="318770"/>
                  <wp:effectExtent l="0" t="0" r="0" b="0"/>
                  <wp:wrapNone/>
                  <wp:docPr id="502" name="Picture_6_SpCnt_10"/>
                  <wp:cNvGraphicFramePr/>
                  <a:graphic xmlns:a="http://schemas.openxmlformats.org/drawingml/2006/main">
                    <a:graphicData uri="http://schemas.openxmlformats.org/drawingml/2006/picture">
                      <pic:pic xmlns:pic="http://schemas.openxmlformats.org/drawingml/2006/picture">
                        <pic:nvPicPr>
                          <pic:cNvPr id="502" name="Picture_6_SpCnt_10"/>
                          <pic:cNvPicPr/>
                        </pic:nvPicPr>
                        <pic:blipFill>
                          <a:blip r:embed="rId82"/>
                          <a:stretch>
                            <a:fillRect/>
                          </a:stretch>
                        </pic:blipFill>
                        <pic:spPr>
                          <a:xfrm>
                            <a:off x="0" y="0"/>
                            <a:ext cx="86360" cy="31877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54000"/>
                  <wp:effectExtent l="0" t="0" r="0" b="0"/>
                  <wp:wrapNone/>
                  <wp:docPr id="499" name="Picture_21_SpCnt_14"/>
                  <wp:cNvGraphicFramePr/>
                  <a:graphic xmlns:a="http://schemas.openxmlformats.org/drawingml/2006/main">
                    <a:graphicData uri="http://schemas.openxmlformats.org/drawingml/2006/picture">
                      <pic:pic xmlns:pic="http://schemas.openxmlformats.org/drawingml/2006/picture">
                        <pic:nvPicPr>
                          <pic:cNvPr id="499" name="Picture_21_SpCnt_14"/>
                          <pic:cNvPicPr/>
                        </pic:nvPicPr>
                        <pic:blipFill>
                          <a:blip r:embed="rId15"/>
                          <a:stretch>
                            <a:fillRect/>
                          </a:stretch>
                        </pic:blipFill>
                        <pic:spPr>
                          <a:xfrm>
                            <a:off x="0" y="0"/>
                            <a:ext cx="86995"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62255"/>
                  <wp:effectExtent l="0" t="0" r="0" b="0"/>
                  <wp:wrapNone/>
                  <wp:docPr id="513" name="Picture_121_SpCnt_5"/>
                  <wp:cNvGraphicFramePr/>
                  <a:graphic xmlns:a="http://schemas.openxmlformats.org/drawingml/2006/main">
                    <a:graphicData uri="http://schemas.openxmlformats.org/drawingml/2006/picture">
                      <pic:pic xmlns:pic="http://schemas.openxmlformats.org/drawingml/2006/picture">
                        <pic:nvPicPr>
                          <pic:cNvPr id="513" name="Picture_121_SpCnt_5"/>
                          <pic:cNvPicPr/>
                        </pic:nvPicPr>
                        <pic:blipFill>
                          <a:blip r:embed="rId15"/>
                          <a:stretch>
                            <a:fillRect/>
                          </a:stretch>
                        </pic:blipFill>
                        <pic:spPr>
                          <a:xfrm>
                            <a:off x="0" y="0"/>
                            <a:ext cx="31750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47650"/>
                  <wp:effectExtent l="0" t="0" r="0" b="0"/>
                  <wp:wrapNone/>
                  <wp:docPr id="496" name="Picture_22_SpCnt_7"/>
                  <wp:cNvGraphicFramePr/>
                  <a:graphic xmlns:a="http://schemas.openxmlformats.org/drawingml/2006/main">
                    <a:graphicData uri="http://schemas.openxmlformats.org/drawingml/2006/picture">
                      <pic:pic xmlns:pic="http://schemas.openxmlformats.org/drawingml/2006/picture">
                        <pic:nvPicPr>
                          <pic:cNvPr id="496" name="Picture_22_SpCnt_7"/>
                          <pic:cNvPicPr/>
                        </pic:nvPicPr>
                        <pic:blipFill>
                          <a:blip r:embed="rId15"/>
                          <a:stretch>
                            <a:fillRect/>
                          </a:stretch>
                        </pic:blipFill>
                        <pic:spPr>
                          <a:xfrm>
                            <a:off x="0" y="0"/>
                            <a:ext cx="8382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47650"/>
                  <wp:effectExtent l="0" t="0" r="0" b="0"/>
                  <wp:wrapNone/>
                  <wp:docPr id="517" name="Picture_121_SpCnt_6"/>
                  <wp:cNvGraphicFramePr/>
                  <a:graphic xmlns:a="http://schemas.openxmlformats.org/drawingml/2006/main">
                    <a:graphicData uri="http://schemas.openxmlformats.org/drawingml/2006/picture">
                      <pic:pic xmlns:pic="http://schemas.openxmlformats.org/drawingml/2006/picture">
                        <pic:nvPicPr>
                          <pic:cNvPr id="517" name="Picture_121_SpCnt_6"/>
                          <pic:cNvPicPr/>
                        </pic:nvPicPr>
                        <pic:blipFill>
                          <a:blip r:embed="rId15"/>
                          <a:stretch>
                            <a:fillRect/>
                          </a:stretch>
                        </pic:blipFill>
                        <pic:spPr>
                          <a:xfrm>
                            <a:off x="0" y="0"/>
                            <a:ext cx="31305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60350"/>
                  <wp:effectExtent l="0" t="0" r="0" b="0"/>
                  <wp:wrapNone/>
                  <wp:docPr id="491" name="Picture_22_SpCnt_8"/>
                  <wp:cNvGraphicFramePr/>
                  <a:graphic xmlns:a="http://schemas.openxmlformats.org/drawingml/2006/main">
                    <a:graphicData uri="http://schemas.openxmlformats.org/drawingml/2006/picture">
                      <pic:pic xmlns:pic="http://schemas.openxmlformats.org/drawingml/2006/picture">
                        <pic:nvPicPr>
                          <pic:cNvPr id="491" name="Picture_22_SpCnt_8"/>
                          <pic:cNvPicPr/>
                        </pic:nvPicPr>
                        <pic:blipFill>
                          <a:blip r:embed="rId15"/>
                          <a:stretch>
                            <a:fillRect/>
                          </a:stretch>
                        </pic:blipFill>
                        <pic:spPr>
                          <a:xfrm>
                            <a:off x="0" y="0"/>
                            <a:ext cx="78740"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73050"/>
                  <wp:effectExtent l="0" t="0" r="0" b="0"/>
                  <wp:wrapNone/>
                  <wp:docPr id="495" name="Picture_21_SpCnt_15"/>
                  <wp:cNvGraphicFramePr/>
                  <a:graphic xmlns:a="http://schemas.openxmlformats.org/drawingml/2006/main">
                    <a:graphicData uri="http://schemas.openxmlformats.org/drawingml/2006/picture">
                      <pic:pic xmlns:pic="http://schemas.openxmlformats.org/drawingml/2006/picture">
                        <pic:nvPicPr>
                          <pic:cNvPr id="495" name="Picture_21_SpCnt_15"/>
                          <pic:cNvPicPr/>
                        </pic:nvPicPr>
                        <pic:blipFill>
                          <a:blip r:embed="rId15"/>
                          <a:stretch>
                            <a:fillRect/>
                          </a:stretch>
                        </pic:blipFill>
                        <pic:spPr>
                          <a:xfrm>
                            <a:off x="0" y="0"/>
                            <a:ext cx="86995" cy="2730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81305"/>
                  <wp:effectExtent l="0" t="0" r="0" b="0"/>
                  <wp:wrapNone/>
                  <wp:docPr id="490" name="Picture_21_SpCnt_16"/>
                  <wp:cNvGraphicFramePr/>
                  <a:graphic xmlns:a="http://schemas.openxmlformats.org/drawingml/2006/main">
                    <a:graphicData uri="http://schemas.openxmlformats.org/drawingml/2006/picture">
                      <pic:pic xmlns:pic="http://schemas.openxmlformats.org/drawingml/2006/picture">
                        <pic:nvPicPr>
                          <pic:cNvPr id="490" name="Picture_21_SpCnt_16"/>
                          <pic:cNvPicPr/>
                        </pic:nvPicPr>
                        <pic:blipFill>
                          <a:blip r:embed="rId15"/>
                          <a:stretch>
                            <a:fillRect/>
                          </a:stretch>
                        </pic:blipFill>
                        <pic:spPr>
                          <a:xfrm>
                            <a:off x="0" y="0"/>
                            <a:ext cx="8699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71145"/>
                  <wp:effectExtent l="0" t="0" r="0" b="0"/>
                  <wp:wrapNone/>
                  <wp:docPr id="494" name="Picture_121_SpCnt_7"/>
                  <wp:cNvGraphicFramePr/>
                  <a:graphic xmlns:a="http://schemas.openxmlformats.org/drawingml/2006/main">
                    <a:graphicData uri="http://schemas.openxmlformats.org/drawingml/2006/picture">
                      <pic:pic xmlns:pic="http://schemas.openxmlformats.org/drawingml/2006/picture">
                        <pic:nvPicPr>
                          <pic:cNvPr id="494" name="Picture_121_SpCnt_7"/>
                          <pic:cNvPicPr/>
                        </pic:nvPicPr>
                        <pic:blipFill>
                          <a:blip r:embed="rId15"/>
                          <a:stretch>
                            <a:fillRect/>
                          </a:stretch>
                        </pic:blipFill>
                        <pic:spPr>
                          <a:xfrm>
                            <a:off x="0" y="0"/>
                            <a:ext cx="31305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45745"/>
                  <wp:effectExtent l="0" t="0" r="0" b="0"/>
                  <wp:wrapNone/>
                  <wp:docPr id="534" name="Picture_121_SpCnt_8"/>
                  <wp:cNvGraphicFramePr/>
                  <a:graphic xmlns:a="http://schemas.openxmlformats.org/drawingml/2006/main">
                    <a:graphicData uri="http://schemas.openxmlformats.org/drawingml/2006/picture">
                      <pic:pic xmlns:pic="http://schemas.openxmlformats.org/drawingml/2006/picture">
                        <pic:nvPicPr>
                          <pic:cNvPr id="534" name="Picture_121_SpCnt_8"/>
                          <pic:cNvPicPr/>
                        </pic:nvPicPr>
                        <pic:blipFill>
                          <a:blip r:embed="rId15"/>
                          <a:stretch>
                            <a:fillRect/>
                          </a:stretch>
                        </pic:blipFill>
                        <pic:spPr>
                          <a:xfrm>
                            <a:off x="0" y="0"/>
                            <a:ext cx="31305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5115" cy="268605"/>
                  <wp:effectExtent l="0" t="0" r="0" b="0"/>
                  <wp:wrapNone/>
                  <wp:docPr id="547" name="Picture_121_SpCnt_9"/>
                  <wp:cNvGraphicFramePr/>
                  <a:graphic xmlns:a="http://schemas.openxmlformats.org/drawingml/2006/main">
                    <a:graphicData uri="http://schemas.openxmlformats.org/drawingml/2006/picture">
                      <pic:pic xmlns:pic="http://schemas.openxmlformats.org/drawingml/2006/picture">
                        <pic:nvPicPr>
                          <pic:cNvPr id="547" name="Picture_121_SpCnt_9"/>
                          <pic:cNvPicPr/>
                        </pic:nvPicPr>
                        <pic:blipFill>
                          <a:blip r:embed="rId15"/>
                          <a:stretch>
                            <a:fillRect/>
                          </a:stretch>
                        </pic:blipFill>
                        <pic:spPr>
                          <a:xfrm>
                            <a:off x="0" y="0"/>
                            <a:ext cx="285115"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62255"/>
                  <wp:effectExtent l="0" t="0" r="0" b="0"/>
                  <wp:wrapNone/>
                  <wp:docPr id="527" name="Picture_21_SpCnt_17"/>
                  <wp:cNvGraphicFramePr/>
                  <a:graphic xmlns:a="http://schemas.openxmlformats.org/drawingml/2006/main">
                    <a:graphicData uri="http://schemas.openxmlformats.org/drawingml/2006/picture">
                      <pic:pic xmlns:pic="http://schemas.openxmlformats.org/drawingml/2006/picture">
                        <pic:nvPicPr>
                          <pic:cNvPr id="527" name="Picture_21_SpCnt_17"/>
                          <pic:cNvPicPr/>
                        </pic:nvPicPr>
                        <pic:blipFill>
                          <a:blip r:embed="rId15"/>
                          <a:stretch>
                            <a:fillRect/>
                          </a:stretch>
                        </pic:blipFill>
                        <pic:spPr>
                          <a:xfrm>
                            <a:off x="0" y="0"/>
                            <a:ext cx="8699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2575" cy="247650"/>
                  <wp:effectExtent l="0" t="0" r="0" b="0"/>
                  <wp:wrapNone/>
                  <wp:docPr id="530" name="Picture_121_SpCnt_10"/>
                  <wp:cNvGraphicFramePr/>
                  <a:graphic xmlns:a="http://schemas.openxmlformats.org/drawingml/2006/main">
                    <a:graphicData uri="http://schemas.openxmlformats.org/drawingml/2006/picture">
                      <pic:pic xmlns:pic="http://schemas.openxmlformats.org/drawingml/2006/picture">
                        <pic:nvPicPr>
                          <pic:cNvPr id="530" name="Picture_121_SpCnt_10"/>
                          <pic:cNvPicPr/>
                        </pic:nvPicPr>
                        <pic:blipFill>
                          <a:blip r:embed="rId15"/>
                          <a:stretch>
                            <a:fillRect/>
                          </a:stretch>
                        </pic:blipFill>
                        <pic:spPr>
                          <a:xfrm>
                            <a:off x="0" y="0"/>
                            <a:ext cx="28257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47650"/>
                  <wp:effectExtent l="0" t="0" r="0" b="0"/>
                  <wp:wrapNone/>
                  <wp:docPr id="536" name="Picture_21_SpCnt_18"/>
                  <wp:cNvGraphicFramePr/>
                  <a:graphic xmlns:a="http://schemas.openxmlformats.org/drawingml/2006/main">
                    <a:graphicData uri="http://schemas.openxmlformats.org/drawingml/2006/picture">
                      <pic:pic xmlns:pic="http://schemas.openxmlformats.org/drawingml/2006/picture">
                        <pic:nvPicPr>
                          <pic:cNvPr id="536" name="Picture_21_SpCnt_18"/>
                          <pic:cNvPicPr/>
                        </pic:nvPicPr>
                        <pic:blipFill>
                          <a:blip r:embed="rId15"/>
                          <a:stretch>
                            <a:fillRect/>
                          </a:stretch>
                        </pic:blipFill>
                        <pic:spPr>
                          <a:xfrm>
                            <a:off x="0" y="0"/>
                            <a:ext cx="86995"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71145"/>
                  <wp:effectExtent l="0" t="0" r="0" b="0"/>
                  <wp:wrapNone/>
                  <wp:docPr id="535" name="Picture_21_SpCnt_19"/>
                  <wp:cNvGraphicFramePr/>
                  <a:graphic xmlns:a="http://schemas.openxmlformats.org/drawingml/2006/main">
                    <a:graphicData uri="http://schemas.openxmlformats.org/drawingml/2006/picture">
                      <pic:pic xmlns:pic="http://schemas.openxmlformats.org/drawingml/2006/picture">
                        <pic:nvPicPr>
                          <pic:cNvPr id="535" name="Picture_21_SpCnt_19"/>
                          <pic:cNvPicPr/>
                        </pic:nvPicPr>
                        <pic:blipFill>
                          <a:blip r:embed="rId15"/>
                          <a:stretch>
                            <a:fillRect/>
                          </a:stretch>
                        </pic:blipFill>
                        <pic:spPr>
                          <a:xfrm>
                            <a:off x="0" y="0"/>
                            <a:ext cx="86995"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45745"/>
                  <wp:effectExtent l="0" t="0" r="0" b="0"/>
                  <wp:wrapNone/>
                  <wp:docPr id="522" name="Picture_22_SpCnt_9"/>
                  <wp:cNvGraphicFramePr/>
                  <a:graphic xmlns:a="http://schemas.openxmlformats.org/drawingml/2006/main">
                    <a:graphicData uri="http://schemas.openxmlformats.org/drawingml/2006/picture">
                      <pic:pic xmlns:pic="http://schemas.openxmlformats.org/drawingml/2006/picture">
                        <pic:nvPicPr>
                          <pic:cNvPr id="522" name="Picture_22_SpCnt_9"/>
                          <pic:cNvPicPr/>
                        </pic:nvPicPr>
                        <pic:blipFill>
                          <a:blip r:embed="rId15"/>
                          <a:stretch>
                            <a:fillRect/>
                          </a:stretch>
                        </pic:blipFill>
                        <pic:spPr>
                          <a:xfrm>
                            <a:off x="0" y="0"/>
                            <a:ext cx="78740"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74955"/>
                  <wp:effectExtent l="0" t="0" r="0" b="0"/>
                  <wp:wrapNone/>
                  <wp:docPr id="548" name="Picture_121_SpCnt_11"/>
                  <wp:cNvGraphicFramePr/>
                  <a:graphic xmlns:a="http://schemas.openxmlformats.org/drawingml/2006/main">
                    <a:graphicData uri="http://schemas.openxmlformats.org/drawingml/2006/picture">
                      <pic:pic xmlns:pic="http://schemas.openxmlformats.org/drawingml/2006/picture">
                        <pic:nvPicPr>
                          <pic:cNvPr id="548" name="Picture_121_SpCnt_11"/>
                          <pic:cNvPicPr/>
                        </pic:nvPicPr>
                        <pic:blipFill>
                          <a:blip r:embed="rId15"/>
                          <a:stretch>
                            <a:fillRect/>
                          </a:stretch>
                        </pic:blipFill>
                        <pic:spPr>
                          <a:xfrm>
                            <a:off x="0" y="0"/>
                            <a:ext cx="31305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74955"/>
                  <wp:effectExtent l="0" t="0" r="0" b="0"/>
                  <wp:wrapNone/>
                  <wp:docPr id="545" name="Picture_21_SpCnt_20"/>
                  <wp:cNvGraphicFramePr/>
                  <a:graphic xmlns:a="http://schemas.openxmlformats.org/drawingml/2006/main">
                    <a:graphicData uri="http://schemas.openxmlformats.org/drawingml/2006/picture">
                      <pic:pic xmlns:pic="http://schemas.openxmlformats.org/drawingml/2006/picture">
                        <pic:nvPicPr>
                          <pic:cNvPr id="545" name="Picture_21_SpCnt_20"/>
                          <pic:cNvPicPr/>
                        </pic:nvPicPr>
                        <pic:blipFill>
                          <a:blip r:embed="rId15"/>
                          <a:stretch>
                            <a:fillRect/>
                          </a:stretch>
                        </pic:blipFill>
                        <pic:spPr>
                          <a:xfrm>
                            <a:off x="0" y="0"/>
                            <a:ext cx="86995" cy="2749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185" cy="258445"/>
                  <wp:effectExtent l="0" t="0" r="0" b="0"/>
                  <wp:wrapNone/>
                  <wp:docPr id="546" name="Picture_21_SpCnt_21"/>
                  <wp:cNvGraphicFramePr/>
                  <a:graphic xmlns:a="http://schemas.openxmlformats.org/drawingml/2006/main">
                    <a:graphicData uri="http://schemas.openxmlformats.org/drawingml/2006/picture">
                      <pic:pic xmlns:pic="http://schemas.openxmlformats.org/drawingml/2006/picture">
                        <pic:nvPicPr>
                          <pic:cNvPr id="546" name="Picture_21_SpCnt_21"/>
                          <pic:cNvPicPr/>
                        </pic:nvPicPr>
                        <pic:blipFill>
                          <a:blip r:embed="rId15"/>
                          <a:stretch>
                            <a:fillRect/>
                          </a:stretch>
                        </pic:blipFill>
                        <pic:spPr>
                          <a:xfrm>
                            <a:off x="0" y="0"/>
                            <a:ext cx="83185"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62255"/>
                  <wp:effectExtent l="0" t="0" r="0" b="0"/>
                  <wp:wrapNone/>
                  <wp:docPr id="528" name="Picture_121_SpCnt_12"/>
                  <wp:cNvGraphicFramePr/>
                  <a:graphic xmlns:a="http://schemas.openxmlformats.org/drawingml/2006/main">
                    <a:graphicData uri="http://schemas.openxmlformats.org/drawingml/2006/picture">
                      <pic:pic xmlns:pic="http://schemas.openxmlformats.org/drawingml/2006/picture">
                        <pic:nvPicPr>
                          <pic:cNvPr id="528" name="Picture_121_SpCnt_12"/>
                          <pic:cNvPicPr/>
                        </pic:nvPicPr>
                        <pic:blipFill>
                          <a:blip r:embed="rId15"/>
                          <a:stretch>
                            <a:fillRect/>
                          </a:stretch>
                        </pic:blipFill>
                        <pic:spPr>
                          <a:xfrm>
                            <a:off x="0" y="0"/>
                            <a:ext cx="313055"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41935"/>
                  <wp:effectExtent l="0" t="0" r="0" b="0"/>
                  <wp:wrapNone/>
                  <wp:docPr id="529" name="Picture_121_SpCnt_13"/>
                  <wp:cNvGraphicFramePr/>
                  <a:graphic xmlns:a="http://schemas.openxmlformats.org/drawingml/2006/main">
                    <a:graphicData uri="http://schemas.openxmlformats.org/drawingml/2006/picture">
                      <pic:pic xmlns:pic="http://schemas.openxmlformats.org/drawingml/2006/picture">
                        <pic:nvPicPr>
                          <pic:cNvPr id="529" name="Picture_121_SpCnt_13"/>
                          <pic:cNvPicPr/>
                        </pic:nvPicPr>
                        <pic:blipFill>
                          <a:blip r:embed="rId15"/>
                          <a:stretch>
                            <a:fillRect/>
                          </a:stretch>
                        </pic:blipFill>
                        <pic:spPr>
                          <a:xfrm>
                            <a:off x="0" y="0"/>
                            <a:ext cx="317500"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5115" cy="241935"/>
                  <wp:effectExtent l="0" t="0" r="0" b="0"/>
                  <wp:wrapNone/>
                  <wp:docPr id="538" name="Picture_121_SpCnt_14"/>
                  <wp:cNvGraphicFramePr/>
                  <a:graphic xmlns:a="http://schemas.openxmlformats.org/drawingml/2006/main">
                    <a:graphicData uri="http://schemas.openxmlformats.org/drawingml/2006/picture">
                      <pic:pic xmlns:pic="http://schemas.openxmlformats.org/drawingml/2006/picture">
                        <pic:nvPicPr>
                          <pic:cNvPr id="538" name="Picture_121_SpCnt_14"/>
                          <pic:cNvPicPr/>
                        </pic:nvPicPr>
                        <pic:blipFill>
                          <a:blip r:embed="rId15"/>
                          <a:stretch>
                            <a:fillRect/>
                          </a:stretch>
                        </pic:blipFill>
                        <pic:spPr>
                          <a:xfrm>
                            <a:off x="0" y="0"/>
                            <a:ext cx="28511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185" cy="245745"/>
                  <wp:effectExtent l="0" t="0" r="0" b="0"/>
                  <wp:wrapNone/>
                  <wp:docPr id="539" name="Picture_21_SpCnt_22"/>
                  <wp:cNvGraphicFramePr/>
                  <a:graphic xmlns:a="http://schemas.openxmlformats.org/drawingml/2006/main">
                    <a:graphicData uri="http://schemas.openxmlformats.org/drawingml/2006/picture">
                      <pic:pic xmlns:pic="http://schemas.openxmlformats.org/drawingml/2006/picture">
                        <pic:nvPicPr>
                          <pic:cNvPr id="539" name="Picture_21_SpCnt_22"/>
                          <pic:cNvPicPr/>
                        </pic:nvPicPr>
                        <pic:blipFill>
                          <a:blip r:embed="rId15"/>
                          <a:stretch>
                            <a:fillRect/>
                          </a:stretch>
                        </pic:blipFill>
                        <pic:spPr>
                          <a:xfrm>
                            <a:off x="0" y="0"/>
                            <a:ext cx="8318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282575" cy="260350"/>
                  <wp:effectExtent l="0" t="0" r="0" b="0"/>
                  <wp:wrapNone/>
                  <wp:docPr id="549" name="Picture_121_SpCnt_15"/>
                  <wp:cNvGraphicFramePr/>
                  <a:graphic xmlns:a="http://schemas.openxmlformats.org/drawingml/2006/main">
                    <a:graphicData uri="http://schemas.openxmlformats.org/drawingml/2006/picture">
                      <pic:pic xmlns:pic="http://schemas.openxmlformats.org/drawingml/2006/picture">
                        <pic:nvPicPr>
                          <pic:cNvPr id="549" name="Picture_121_SpCnt_15"/>
                          <pic:cNvPicPr/>
                        </pic:nvPicPr>
                        <pic:blipFill>
                          <a:blip r:embed="rId15"/>
                          <a:stretch>
                            <a:fillRect/>
                          </a:stretch>
                        </pic:blipFill>
                        <pic:spPr>
                          <a:xfrm>
                            <a:off x="0" y="0"/>
                            <a:ext cx="282575"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360" cy="316865"/>
                  <wp:effectExtent l="0" t="0" r="0" b="0"/>
                  <wp:wrapNone/>
                  <wp:docPr id="531" name="Picture_6_SpCnt_11"/>
                  <wp:cNvGraphicFramePr/>
                  <a:graphic xmlns:a="http://schemas.openxmlformats.org/drawingml/2006/main">
                    <a:graphicData uri="http://schemas.openxmlformats.org/drawingml/2006/picture">
                      <pic:pic xmlns:pic="http://schemas.openxmlformats.org/drawingml/2006/picture">
                        <pic:nvPicPr>
                          <pic:cNvPr id="531" name="Picture_6_SpCnt_11"/>
                          <pic:cNvPicPr/>
                        </pic:nvPicPr>
                        <pic:blipFill>
                          <a:blip r:embed="rId82"/>
                          <a:stretch>
                            <a:fillRect/>
                          </a:stretch>
                        </pic:blipFill>
                        <pic:spPr>
                          <a:xfrm>
                            <a:off x="0" y="0"/>
                            <a:ext cx="86360" cy="31686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60350"/>
                  <wp:effectExtent l="0" t="0" r="0" b="0"/>
                  <wp:wrapNone/>
                  <wp:docPr id="537" name="Picture_121_SpCnt_16"/>
                  <wp:cNvGraphicFramePr/>
                  <a:graphic xmlns:a="http://schemas.openxmlformats.org/drawingml/2006/main">
                    <a:graphicData uri="http://schemas.openxmlformats.org/drawingml/2006/picture">
                      <pic:pic xmlns:pic="http://schemas.openxmlformats.org/drawingml/2006/picture">
                        <pic:nvPicPr>
                          <pic:cNvPr id="537" name="Picture_121_SpCnt_16"/>
                          <pic:cNvPicPr/>
                        </pic:nvPicPr>
                        <pic:blipFill>
                          <a:blip r:embed="rId15"/>
                          <a:stretch>
                            <a:fillRect/>
                          </a:stretch>
                        </pic:blipFill>
                        <pic:spPr>
                          <a:xfrm>
                            <a:off x="0" y="0"/>
                            <a:ext cx="313055" cy="2603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71145"/>
                  <wp:effectExtent l="0" t="0" r="0" b="0"/>
                  <wp:wrapNone/>
                  <wp:docPr id="550" name="Picture_121_SpCnt_17"/>
                  <wp:cNvGraphicFramePr/>
                  <a:graphic xmlns:a="http://schemas.openxmlformats.org/drawingml/2006/main">
                    <a:graphicData uri="http://schemas.openxmlformats.org/drawingml/2006/picture">
                      <pic:pic xmlns:pic="http://schemas.openxmlformats.org/drawingml/2006/picture">
                        <pic:nvPicPr>
                          <pic:cNvPr id="550" name="Picture_121_SpCnt_17"/>
                          <pic:cNvPicPr/>
                        </pic:nvPicPr>
                        <pic:blipFill>
                          <a:blip r:embed="rId15"/>
                          <a:stretch>
                            <a:fillRect/>
                          </a:stretch>
                        </pic:blipFill>
                        <pic:spPr>
                          <a:xfrm>
                            <a:off x="0" y="0"/>
                            <a:ext cx="31750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58445"/>
                  <wp:effectExtent l="0" t="0" r="0" b="0"/>
                  <wp:wrapNone/>
                  <wp:docPr id="521" name="Picture_22_SpCnt_10"/>
                  <wp:cNvGraphicFramePr/>
                  <a:graphic xmlns:a="http://schemas.openxmlformats.org/drawingml/2006/main">
                    <a:graphicData uri="http://schemas.openxmlformats.org/drawingml/2006/picture">
                      <pic:pic xmlns:pic="http://schemas.openxmlformats.org/drawingml/2006/picture">
                        <pic:nvPicPr>
                          <pic:cNvPr id="521" name="Picture_22_SpCnt_10"/>
                          <pic:cNvPicPr/>
                        </pic:nvPicPr>
                        <pic:blipFill>
                          <a:blip r:embed="rId15"/>
                          <a:stretch>
                            <a:fillRect/>
                          </a:stretch>
                        </pic:blipFill>
                        <pic:spPr>
                          <a:xfrm>
                            <a:off x="0" y="0"/>
                            <a:ext cx="83820" cy="2584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62255"/>
                  <wp:effectExtent l="0" t="0" r="0" b="0"/>
                  <wp:wrapNone/>
                  <wp:docPr id="541" name="Picture_22_SpCnt_11"/>
                  <wp:cNvGraphicFramePr/>
                  <a:graphic xmlns:a="http://schemas.openxmlformats.org/drawingml/2006/main">
                    <a:graphicData uri="http://schemas.openxmlformats.org/drawingml/2006/picture">
                      <pic:pic xmlns:pic="http://schemas.openxmlformats.org/drawingml/2006/picture">
                        <pic:nvPicPr>
                          <pic:cNvPr id="541" name="Picture_22_SpCnt_11"/>
                          <pic:cNvPicPr/>
                        </pic:nvPicPr>
                        <pic:blipFill>
                          <a:blip r:embed="rId15"/>
                          <a:stretch>
                            <a:fillRect/>
                          </a:stretch>
                        </pic:blipFill>
                        <pic:spPr>
                          <a:xfrm>
                            <a:off x="0" y="0"/>
                            <a:ext cx="83820" cy="26225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41935"/>
                  <wp:effectExtent l="0" t="0" r="0" b="0"/>
                  <wp:wrapNone/>
                  <wp:docPr id="525" name="Picture_121_SpCnt_18"/>
                  <wp:cNvGraphicFramePr/>
                  <a:graphic xmlns:a="http://schemas.openxmlformats.org/drawingml/2006/main">
                    <a:graphicData uri="http://schemas.openxmlformats.org/drawingml/2006/picture">
                      <pic:pic xmlns:pic="http://schemas.openxmlformats.org/drawingml/2006/picture">
                        <pic:nvPicPr>
                          <pic:cNvPr id="525" name="Picture_121_SpCnt_18"/>
                          <pic:cNvPicPr/>
                        </pic:nvPicPr>
                        <pic:blipFill>
                          <a:blip r:embed="rId15"/>
                          <a:stretch>
                            <a:fillRect/>
                          </a:stretch>
                        </pic:blipFill>
                        <pic:spPr>
                          <a:xfrm>
                            <a:off x="0" y="0"/>
                            <a:ext cx="313055" cy="24193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81305"/>
                  <wp:effectExtent l="0" t="0" r="0" b="0"/>
                  <wp:wrapNone/>
                  <wp:docPr id="551" name="Picture_121_SpCnt_19"/>
                  <wp:cNvGraphicFramePr/>
                  <a:graphic xmlns:a="http://schemas.openxmlformats.org/drawingml/2006/main">
                    <a:graphicData uri="http://schemas.openxmlformats.org/drawingml/2006/picture">
                      <pic:pic xmlns:pic="http://schemas.openxmlformats.org/drawingml/2006/picture">
                        <pic:nvPicPr>
                          <pic:cNvPr id="551" name="Picture_121_SpCnt_19"/>
                          <pic:cNvPicPr/>
                        </pic:nvPicPr>
                        <pic:blipFill>
                          <a:blip r:embed="rId15"/>
                          <a:stretch>
                            <a:fillRect/>
                          </a:stretch>
                        </pic:blipFill>
                        <pic:spPr>
                          <a:xfrm>
                            <a:off x="0" y="0"/>
                            <a:ext cx="313055" cy="2813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45745"/>
                  <wp:effectExtent l="0" t="0" r="0" b="0"/>
                  <wp:wrapNone/>
                  <wp:docPr id="540" name="Picture_22_SpCnt_12"/>
                  <wp:cNvGraphicFramePr/>
                  <a:graphic xmlns:a="http://schemas.openxmlformats.org/drawingml/2006/main">
                    <a:graphicData uri="http://schemas.openxmlformats.org/drawingml/2006/picture">
                      <pic:pic xmlns:pic="http://schemas.openxmlformats.org/drawingml/2006/picture">
                        <pic:nvPicPr>
                          <pic:cNvPr id="540" name="Picture_22_SpCnt_12"/>
                          <pic:cNvPicPr/>
                        </pic:nvPicPr>
                        <pic:blipFill>
                          <a:blip r:embed="rId15"/>
                          <a:stretch>
                            <a:fillRect/>
                          </a:stretch>
                        </pic:blipFill>
                        <pic:spPr>
                          <a:xfrm>
                            <a:off x="0" y="0"/>
                            <a:ext cx="86995" cy="2457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71145"/>
                  <wp:effectExtent l="0" t="0" r="0" b="0"/>
                  <wp:wrapNone/>
                  <wp:docPr id="523" name="Picture_22_SpCnt_13"/>
                  <wp:cNvGraphicFramePr/>
                  <a:graphic xmlns:a="http://schemas.openxmlformats.org/drawingml/2006/main">
                    <a:graphicData uri="http://schemas.openxmlformats.org/drawingml/2006/picture">
                      <pic:pic xmlns:pic="http://schemas.openxmlformats.org/drawingml/2006/picture">
                        <pic:nvPicPr>
                          <pic:cNvPr id="523" name="Picture_22_SpCnt_13"/>
                          <pic:cNvPicPr/>
                        </pic:nvPicPr>
                        <pic:blipFill>
                          <a:blip r:embed="rId15"/>
                          <a:stretch>
                            <a:fillRect/>
                          </a:stretch>
                        </pic:blipFill>
                        <pic:spPr>
                          <a:xfrm>
                            <a:off x="0" y="0"/>
                            <a:ext cx="83820" cy="27114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7500" cy="247650"/>
                  <wp:effectExtent l="0" t="0" r="0" b="0"/>
                  <wp:wrapNone/>
                  <wp:docPr id="542" name="Picture_121_SpCnt_20"/>
                  <wp:cNvGraphicFramePr/>
                  <a:graphic xmlns:a="http://schemas.openxmlformats.org/drawingml/2006/main">
                    <a:graphicData uri="http://schemas.openxmlformats.org/drawingml/2006/picture">
                      <pic:pic xmlns:pic="http://schemas.openxmlformats.org/drawingml/2006/picture">
                        <pic:nvPicPr>
                          <pic:cNvPr id="542" name="Picture_121_SpCnt_20"/>
                          <pic:cNvPicPr/>
                        </pic:nvPicPr>
                        <pic:blipFill>
                          <a:blip r:embed="rId15"/>
                          <a:stretch>
                            <a:fillRect/>
                          </a:stretch>
                        </pic:blipFill>
                        <pic:spPr>
                          <a:xfrm>
                            <a:off x="0" y="0"/>
                            <a:ext cx="317500" cy="2476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4930" cy="256540"/>
                  <wp:effectExtent l="0" t="0" r="0" b="0"/>
                  <wp:wrapNone/>
                  <wp:docPr id="543" name="Picture_22_SpCnt_14"/>
                  <wp:cNvGraphicFramePr/>
                  <a:graphic xmlns:a="http://schemas.openxmlformats.org/drawingml/2006/main">
                    <a:graphicData uri="http://schemas.openxmlformats.org/drawingml/2006/picture">
                      <pic:pic xmlns:pic="http://schemas.openxmlformats.org/drawingml/2006/picture">
                        <pic:nvPicPr>
                          <pic:cNvPr id="543" name="Picture_22_SpCnt_14"/>
                          <pic:cNvPicPr/>
                        </pic:nvPicPr>
                        <pic:blipFill>
                          <a:blip r:embed="rId15"/>
                          <a:stretch>
                            <a:fillRect/>
                          </a:stretch>
                        </pic:blipFill>
                        <pic:spPr>
                          <a:xfrm>
                            <a:off x="0" y="0"/>
                            <a:ext cx="74930" cy="25654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78740" cy="268605"/>
                  <wp:effectExtent l="0" t="0" r="0" b="0"/>
                  <wp:wrapNone/>
                  <wp:docPr id="533" name="Picture_22_SpCnt_15"/>
                  <wp:cNvGraphicFramePr/>
                  <a:graphic xmlns:a="http://schemas.openxmlformats.org/drawingml/2006/main">
                    <a:graphicData uri="http://schemas.openxmlformats.org/drawingml/2006/picture">
                      <pic:pic xmlns:pic="http://schemas.openxmlformats.org/drawingml/2006/picture">
                        <pic:nvPicPr>
                          <pic:cNvPr id="533" name="Picture_22_SpCnt_15"/>
                          <pic:cNvPicPr/>
                        </pic:nvPicPr>
                        <pic:blipFill>
                          <a:blip r:embed="rId15"/>
                          <a:stretch>
                            <a:fillRect/>
                          </a:stretch>
                        </pic:blipFill>
                        <pic:spPr>
                          <a:xfrm>
                            <a:off x="0" y="0"/>
                            <a:ext cx="78740" cy="268605"/>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820" cy="254000"/>
                  <wp:effectExtent l="0" t="0" r="0" b="0"/>
                  <wp:wrapNone/>
                  <wp:docPr id="532" name="Picture_22_SpCnt_16"/>
                  <wp:cNvGraphicFramePr/>
                  <a:graphic xmlns:a="http://schemas.openxmlformats.org/drawingml/2006/main">
                    <a:graphicData uri="http://schemas.openxmlformats.org/drawingml/2006/picture">
                      <pic:pic xmlns:pic="http://schemas.openxmlformats.org/drawingml/2006/picture">
                        <pic:nvPicPr>
                          <pic:cNvPr id="532" name="Picture_22_SpCnt_16"/>
                          <pic:cNvPicPr/>
                        </pic:nvPicPr>
                        <pic:blipFill>
                          <a:blip r:embed="rId15"/>
                          <a:stretch>
                            <a:fillRect/>
                          </a:stretch>
                        </pic:blipFill>
                        <pic:spPr>
                          <a:xfrm>
                            <a:off x="0" y="0"/>
                            <a:ext cx="83820"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313055" cy="254000"/>
                  <wp:effectExtent l="0" t="0" r="0" b="0"/>
                  <wp:wrapNone/>
                  <wp:docPr id="520" name="Picture_121_SpCnt_21"/>
                  <wp:cNvGraphicFramePr/>
                  <a:graphic xmlns:a="http://schemas.openxmlformats.org/drawingml/2006/main">
                    <a:graphicData uri="http://schemas.openxmlformats.org/drawingml/2006/picture">
                      <pic:pic xmlns:pic="http://schemas.openxmlformats.org/drawingml/2006/picture">
                        <pic:nvPicPr>
                          <pic:cNvPr id="520" name="Picture_121_SpCnt_21"/>
                          <pic:cNvPicPr/>
                        </pic:nvPicPr>
                        <pic:blipFill>
                          <a:blip r:embed="rId15"/>
                          <a:stretch>
                            <a:fillRect/>
                          </a:stretch>
                        </pic:blipFill>
                        <pic:spPr>
                          <a:xfrm>
                            <a:off x="0" y="0"/>
                            <a:ext cx="313055"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3185" cy="254000"/>
                  <wp:effectExtent l="0" t="0" r="0" b="0"/>
                  <wp:wrapNone/>
                  <wp:docPr id="544" name="Picture_21_SpCnt_23"/>
                  <wp:cNvGraphicFramePr/>
                  <a:graphic xmlns:a="http://schemas.openxmlformats.org/drawingml/2006/main">
                    <a:graphicData uri="http://schemas.openxmlformats.org/drawingml/2006/picture">
                      <pic:pic xmlns:pic="http://schemas.openxmlformats.org/drawingml/2006/picture">
                        <pic:nvPicPr>
                          <pic:cNvPr id="544" name="Picture_21_SpCnt_23"/>
                          <pic:cNvPicPr/>
                        </pic:nvPicPr>
                        <pic:blipFill>
                          <a:blip r:embed="rId15"/>
                          <a:stretch>
                            <a:fillRect/>
                          </a:stretch>
                        </pic:blipFill>
                        <pic:spPr>
                          <a:xfrm>
                            <a:off x="0" y="0"/>
                            <a:ext cx="83185" cy="25400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523875</wp:posOffset>
                  </wp:positionH>
                  <wp:positionV relativeFrom="paragraph">
                    <wp:posOffset>0</wp:posOffset>
                  </wp:positionV>
                  <wp:extent cx="86995" cy="285750"/>
                  <wp:effectExtent l="0" t="0" r="0" b="0"/>
                  <wp:wrapNone/>
                  <wp:docPr id="524" name="Picture_21_SpCnt_24"/>
                  <wp:cNvGraphicFramePr/>
                  <a:graphic xmlns:a="http://schemas.openxmlformats.org/drawingml/2006/main">
                    <a:graphicData uri="http://schemas.openxmlformats.org/drawingml/2006/picture">
                      <pic:pic xmlns:pic="http://schemas.openxmlformats.org/drawingml/2006/picture">
                        <pic:nvPicPr>
                          <pic:cNvPr id="524" name="Picture_21_SpCnt_24"/>
                          <pic:cNvPicPr/>
                        </pic:nvPicPr>
                        <pic:blipFill>
                          <a:blip r:embed="rId15"/>
                          <a:stretch>
                            <a:fillRect/>
                          </a:stretch>
                        </pic:blipFill>
                        <pic:spPr>
                          <a:xfrm>
                            <a:off x="0" y="0"/>
                            <a:ext cx="86995" cy="28575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t>建设</w:t>
            </w:r>
            <w:r>
              <w:rPr>
                <w:rFonts w:hint="default" w:ascii="Times New Roman" w:hAnsi="Times New Roman" w:cs="Times New Roman"/>
                <w:b/>
                <w:bCs/>
                <w:sz w:val="21"/>
                <w:szCs w:val="16"/>
                <w:lang w:val="en-US" w:eastAsia="zh-CN"/>
              </w:rPr>
              <w:br w:type="textWrapping"/>
            </w:r>
            <w:r>
              <w:rPr>
                <w:rFonts w:hint="default" w:ascii="Times New Roman" w:hAnsi="Times New Roman" w:cs="Times New Roman"/>
                <w:b/>
                <w:bCs/>
                <w:sz w:val="21"/>
                <w:szCs w:val="16"/>
                <w:lang w:val="en-US" w:eastAsia="zh-CN"/>
              </w:rPr>
              <w:t>地点</w:t>
            </w:r>
          </w:p>
        </w:tc>
        <w:tc>
          <w:tcPr>
            <w:tcW w:w="3805" w:type="dxa"/>
            <w:shd w:val="clear" w:color="auto" w:fill="auto"/>
            <w:vAlign w:val="center"/>
          </w:tcPr>
          <w:p w14:paraId="0F930489">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主要建设内容及规模</w:t>
            </w:r>
          </w:p>
        </w:tc>
        <w:tc>
          <w:tcPr>
            <w:tcW w:w="2855" w:type="dxa"/>
            <w:shd w:val="clear" w:color="auto" w:fill="auto"/>
            <w:vAlign w:val="center"/>
          </w:tcPr>
          <w:p w14:paraId="1896F11B">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工作进展</w:t>
            </w:r>
          </w:p>
        </w:tc>
        <w:tc>
          <w:tcPr>
            <w:tcW w:w="711" w:type="dxa"/>
            <w:shd w:val="clear" w:color="auto" w:fill="auto"/>
            <w:vAlign w:val="center"/>
          </w:tcPr>
          <w:p w14:paraId="25C5A297">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开工年份</w:t>
            </w:r>
          </w:p>
        </w:tc>
        <w:tc>
          <w:tcPr>
            <w:tcW w:w="742" w:type="dxa"/>
            <w:shd w:val="clear" w:color="auto" w:fill="auto"/>
            <w:vAlign w:val="center"/>
          </w:tcPr>
          <w:p w14:paraId="6B4D267E">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建成年份</w:t>
            </w:r>
          </w:p>
        </w:tc>
        <w:tc>
          <w:tcPr>
            <w:tcW w:w="967" w:type="dxa"/>
            <w:shd w:val="clear" w:color="auto" w:fill="auto"/>
            <w:vAlign w:val="center"/>
          </w:tcPr>
          <w:p w14:paraId="58D08D10">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总投资</w:t>
            </w:r>
          </w:p>
          <w:p w14:paraId="2BF6F0C2">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t>（亿元）</w:t>
            </w:r>
          </w:p>
        </w:tc>
        <w:tc>
          <w:tcPr>
            <w:tcW w:w="1506" w:type="dxa"/>
            <w:shd w:val="clear" w:color="auto" w:fill="auto"/>
            <w:vAlign w:val="center"/>
          </w:tcPr>
          <w:p w14:paraId="1112D239">
            <w:pPr>
              <w:snapToGrid w:val="0"/>
              <w:spacing w:line="240" w:lineRule="auto"/>
              <w:ind w:left="0" w:leftChars="0" w:right="0" w:rightChars="0" w:firstLine="0" w:firstLineChars="0"/>
              <w:jc w:val="center"/>
              <w:rPr>
                <w:rFonts w:hint="default" w:ascii="Times New Roman" w:hAnsi="Times New Roman" w:cs="Times New Roman"/>
                <w:b/>
                <w:bCs/>
                <w:sz w:val="21"/>
                <w:szCs w:val="16"/>
                <w:lang w:val="en-US" w:eastAsia="zh-CN"/>
              </w:rPr>
            </w:pPr>
            <w:r>
              <w:rPr>
                <w:rFonts w:hint="default" w:ascii="Times New Roman" w:hAnsi="Times New Roman" w:cs="Times New Roman"/>
                <w:b/>
                <w:bCs/>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1915" cy="491490"/>
                  <wp:effectExtent l="0" t="0" r="0" b="0"/>
                  <wp:wrapNone/>
                  <wp:docPr id="526" name="图片_63_SpCnt_28"/>
                  <wp:cNvGraphicFramePr/>
                  <a:graphic xmlns:a="http://schemas.openxmlformats.org/drawingml/2006/main">
                    <a:graphicData uri="http://schemas.openxmlformats.org/drawingml/2006/picture">
                      <pic:pic xmlns:pic="http://schemas.openxmlformats.org/drawingml/2006/picture">
                        <pic:nvPicPr>
                          <pic:cNvPr id="526" name="图片_63_SpCnt_28"/>
                          <pic:cNvPicPr/>
                        </pic:nvPicPr>
                        <pic:blipFill>
                          <a:blip r:embed="rId83"/>
                          <a:stretch>
                            <a:fillRect/>
                          </a:stretch>
                        </pic:blipFill>
                        <pic:spPr>
                          <a:xfrm>
                            <a:off x="0" y="0"/>
                            <a:ext cx="81915" cy="491490"/>
                          </a:xfrm>
                          <a:prstGeom prst="rect">
                            <a:avLst/>
                          </a:prstGeom>
                          <a:noFill/>
                          <a:ln>
                            <a:noFill/>
                          </a:ln>
                        </pic:spPr>
                      </pic:pic>
                    </a:graphicData>
                  </a:graphic>
                </wp:anchor>
              </w:drawing>
            </w:r>
            <w:r>
              <w:rPr>
                <w:rFonts w:hint="default" w:ascii="Times New Roman" w:hAnsi="Times New Roman" w:cs="Times New Roman"/>
                <w:b/>
                <w:bCs/>
                <w:sz w:val="21"/>
                <w:szCs w:val="16"/>
                <w:lang w:val="en-US" w:eastAsia="zh-CN"/>
              </w:rPr>
              <w:t>项目单位</w:t>
            </w:r>
          </w:p>
        </w:tc>
      </w:tr>
      <w:tr w14:paraId="1EF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3D41B14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核电</w:t>
            </w:r>
          </w:p>
        </w:tc>
        <w:tc>
          <w:tcPr>
            <w:tcW w:w="3805" w:type="dxa"/>
            <w:shd w:val="clear" w:color="auto" w:fill="auto"/>
            <w:noWrap/>
            <w:vAlign w:val="center"/>
          </w:tcPr>
          <w:p w14:paraId="0809650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2个</w:t>
            </w:r>
          </w:p>
        </w:tc>
        <w:tc>
          <w:tcPr>
            <w:tcW w:w="2855" w:type="dxa"/>
            <w:shd w:val="clear" w:color="auto" w:fill="auto"/>
            <w:noWrap/>
            <w:vAlign w:val="center"/>
          </w:tcPr>
          <w:p w14:paraId="6F9A5CB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711" w:type="dxa"/>
            <w:shd w:val="clear" w:color="auto" w:fill="auto"/>
            <w:noWrap/>
            <w:vAlign w:val="center"/>
          </w:tcPr>
          <w:p w14:paraId="2C16279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742" w:type="dxa"/>
            <w:shd w:val="clear" w:color="auto" w:fill="auto"/>
            <w:noWrap/>
            <w:vAlign w:val="center"/>
          </w:tcPr>
          <w:p w14:paraId="04FF1A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586FFF2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1000</w:t>
            </w:r>
          </w:p>
        </w:tc>
        <w:tc>
          <w:tcPr>
            <w:tcW w:w="1506" w:type="dxa"/>
            <w:shd w:val="clear" w:color="auto" w:fill="auto"/>
            <w:noWrap/>
            <w:vAlign w:val="center"/>
          </w:tcPr>
          <w:p w14:paraId="7E32C76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2D03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BABAE4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w:t>
            </w:r>
          </w:p>
        </w:tc>
        <w:tc>
          <w:tcPr>
            <w:tcW w:w="1538" w:type="dxa"/>
            <w:shd w:val="clear" w:color="auto" w:fill="auto"/>
            <w:vAlign w:val="center"/>
          </w:tcPr>
          <w:p w14:paraId="3AD6CDF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咸宁大畈核电站</w:t>
            </w:r>
          </w:p>
        </w:tc>
        <w:tc>
          <w:tcPr>
            <w:tcW w:w="645" w:type="dxa"/>
            <w:shd w:val="clear" w:color="auto" w:fill="auto"/>
            <w:vAlign w:val="center"/>
          </w:tcPr>
          <w:p w14:paraId="42EF6D2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C6F951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8244B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拟采用世界上最先进的第三代非能动核电技术路线，规划建设四台百万千瓦级压水堆核电机组，分期建设，总投资估算近1000亿元。</w:t>
            </w:r>
          </w:p>
        </w:tc>
        <w:tc>
          <w:tcPr>
            <w:tcW w:w="2855" w:type="dxa"/>
            <w:shd w:val="clear" w:color="auto" w:fill="auto"/>
            <w:vAlign w:val="center"/>
          </w:tcPr>
          <w:p w14:paraId="67E8CC7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执照申请、工程设计、现场准备、主设备采购、公众沟通、关键性技术论证等前期工作均已完成。已完成投资54亿元、税收5400万元。</w:t>
            </w:r>
          </w:p>
        </w:tc>
        <w:tc>
          <w:tcPr>
            <w:tcW w:w="711" w:type="dxa"/>
            <w:shd w:val="clear" w:color="auto" w:fill="auto"/>
            <w:vAlign w:val="center"/>
          </w:tcPr>
          <w:p w14:paraId="3F2032C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6E31CE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2D4044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1000</w:t>
            </w:r>
          </w:p>
        </w:tc>
        <w:tc>
          <w:tcPr>
            <w:tcW w:w="1506" w:type="dxa"/>
            <w:shd w:val="clear" w:color="auto" w:fill="auto"/>
            <w:vAlign w:val="center"/>
          </w:tcPr>
          <w:p w14:paraId="4547EE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中广核集团</w:t>
            </w:r>
          </w:p>
        </w:tc>
      </w:tr>
      <w:tr w14:paraId="75A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673B2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w:t>
            </w:r>
          </w:p>
        </w:tc>
        <w:tc>
          <w:tcPr>
            <w:tcW w:w="1538" w:type="dxa"/>
            <w:shd w:val="clear" w:color="auto" w:fill="auto"/>
            <w:vAlign w:val="center"/>
          </w:tcPr>
          <w:p w14:paraId="6C8350A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中广核铅铋高通量研究堆项目</w:t>
            </w:r>
          </w:p>
        </w:tc>
        <w:tc>
          <w:tcPr>
            <w:tcW w:w="645" w:type="dxa"/>
            <w:shd w:val="clear" w:color="auto" w:fill="auto"/>
            <w:vAlign w:val="center"/>
          </w:tcPr>
          <w:p w14:paraId="70E2B60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76F8E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659C542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采用中广核成熟的第四代铅铋堆技术，该研究堆设计电功率约100MWe，主要功能是材料辐照实验、同位素生产（含医用和工业）、中子应用研究和工业无损检测等，总占地面积约180亩。</w:t>
            </w:r>
          </w:p>
        </w:tc>
        <w:tc>
          <w:tcPr>
            <w:tcW w:w="2855" w:type="dxa"/>
            <w:shd w:val="clear" w:color="auto" w:fill="auto"/>
            <w:vAlign w:val="center"/>
          </w:tcPr>
          <w:p w14:paraId="220918B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2026年1月14日中广核集团研究院到大畈核电厂址考察该项目，通山初步在大畈核电厂址旁（白泥出口）选取研究堆厂址，供中广核集团参考。</w:t>
            </w:r>
          </w:p>
        </w:tc>
        <w:tc>
          <w:tcPr>
            <w:tcW w:w="711" w:type="dxa"/>
            <w:shd w:val="clear" w:color="auto" w:fill="auto"/>
            <w:vAlign w:val="center"/>
          </w:tcPr>
          <w:p w14:paraId="5CC29AD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4BDDB0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6D0AD1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c>
          <w:tcPr>
            <w:tcW w:w="1506" w:type="dxa"/>
            <w:shd w:val="clear" w:color="auto" w:fill="auto"/>
            <w:vAlign w:val="center"/>
          </w:tcPr>
          <w:p w14:paraId="3BFC41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中广核集团</w:t>
            </w:r>
          </w:p>
        </w:tc>
      </w:tr>
      <w:tr w14:paraId="622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3B75EA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抽水蓄能</w:t>
            </w:r>
          </w:p>
        </w:tc>
        <w:tc>
          <w:tcPr>
            <w:tcW w:w="3805" w:type="dxa"/>
            <w:shd w:val="clear" w:color="auto" w:fill="auto"/>
            <w:noWrap/>
            <w:vAlign w:val="center"/>
          </w:tcPr>
          <w:p w14:paraId="4609EB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5个</w:t>
            </w:r>
          </w:p>
        </w:tc>
        <w:tc>
          <w:tcPr>
            <w:tcW w:w="2855" w:type="dxa"/>
            <w:shd w:val="clear" w:color="auto" w:fill="auto"/>
            <w:noWrap/>
            <w:vAlign w:val="center"/>
          </w:tcPr>
          <w:p w14:paraId="6A19E7A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711" w:type="dxa"/>
            <w:shd w:val="clear" w:color="auto" w:fill="auto"/>
            <w:noWrap/>
            <w:vAlign w:val="center"/>
          </w:tcPr>
          <w:p w14:paraId="08F471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742" w:type="dxa"/>
            <w:shd w:val="clear" w:color="auto" w:fill="auto"/>
            <w:noWrap/>
            <w:vAlign w:val="center"/>
          </w:tcPr>
          <w:p w14:paraId="0C20918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05EFCFA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533.5</w:t>
            </w:r>
          </w:p>
        </w:tc>
        <w:tc>
          <w:tcPr>
            <w:tcW w:w="1506" w:type="dxa"/>
            <w:shd w:val="clear" w:color="auto" w:fill="auto"/>
            <w:noWrap/>
            <w:vAlign w:val="center"/>
          </w:tcPr>
          <w:p w14:paraId="1BA9BA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5A1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8CAC1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38" w:type="dxa"/>
            <w:shd w:val="clear" w:color="auto" w:fill="auto"/>
            <w:vAlign w:val="center"/>
          </w:tcPr>
          <w:p w14:paraId="4F2DF2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湖北通山（大幕山）抽水蓄能电站</w:t>
            </w:r>
          </w:p>
        </w:tc>
        <w:tc>
          <w:tcPr>
            <w:tcW w:w="645" w:type="dxa"/>
            <w:shd w:val="clear" w:color="auto" w:fill="auto"/>
            <w:vAlign w:val="center"/>
          </w:tcPr>
          <w:p w14:paraId="737389A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5D0CBC6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03371B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项目建设周期76个月，计划总投资102亿元，电站装机容量1400兆瓦，装机4台单机容量为350兆瓦的可逆式水泵水轮发电机组，新建上水库、输水系统、厂房系统和下水库等。</w:t>
            </w:r>
          </w:p>
        </w:tc>
        <w:tc>
          <w:tcPr>
            <w:tcW w:w="2855" w:type="dxa"/>
            <w:shd w:val="clear" w:color="auto" w:fill="auto"/>
            <w:vAlign w:val="center"/>
          </w:tcPr>
          <w:p w14:paraId="7F2E73D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已完成所有审批手续，于2023年2月开工，累计完成投资18.09亿元，计划2032年全部建成投产。</w:t>
            </w:r>
          </w:p>
        </w:tc>
        <w:tc>
          <w:tcPr>
            <w:tcW w:w="711" w:type="dxa"/>
            <w:shd w:val="clear" w:color="auto" w:fill="auto"/>
            <w:vAlign w:val="center"/>
          </w:tcPr>
          <w:p w14:paraId="6618F1A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2023</w:t>
            </w:r>
          </w:p>
        </w:tc>
        <w:tc>
          <w:tcPr>
            <w:tcW w:w="742" w:type="dxa"/>
            <w:shd w:val="clear" w:color="auto" w:fill="auto"/>
            <w:vAlign w:val="center"/>
          </w:tcPr>
          <w:p w14:paraId="5941FE0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2032</w:t>
            </w:r>
          </w:p>
        </w:tc>
        <w:tc>
          <w:tcPr>
            <w:tcW w:w="967" w:type="dxa"/>
            <w:shd w:val="clear" w:color="auto" w:fill="auto"/>
            <w:vAlign w:val="center"/>
          </w:tcPr>
          <w:p w14:paraId="3532CD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93.5</w:t>
            </w:r>
          </w:p>
        </w:tc>
        <w:tc>
          <w:tcPr>
            <w:tcW w:w="1506" w:type="dxa"/>
            <w:shd w:val="clear" w:color="auto" w:fill="auto"/>
            <w:vAlign w:val="center"/>
          </w:tcPr>
          <w:p w14:paraId="759A18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国网新源控股有限公司</w:t>
            </w:r>
          </w:p>
        </w:tc>
      </w:tr>
      <w:tr w14:paraId="05FD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310F3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w:t>
            </w:r>
          </w:p>
        </w:tc>
        <w:tc>
          <w:tcPr>
            <w:tcW w:w="1538" w:type="dxa"/>
            <w:shd w:val="clear" w:color="auto" w:fill="auto"/>
            <w:vAlign w:val="center"/>
          </w:tcPr>
          <w:p w14:paraId="4F62BC2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通山洪港抽水蓄能电站</w:t>
            </w:r>
          </w:p>
        </w:tc>
        <w:tc>
          <w:tcPr>
            <w:tcW w:w="645" w:type="dxa"/>
            <w:shd w:val="clear" w:color="auto" w:fill="auto"/>
            <w:vAlign w:val="center"/>
          </w:tcPr>
          <w:p w14:paraId="70B258E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89E2D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29549F2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洪港抽水蓄能电站项目总投资约79亿元，总装机容量1200MW，项目建成后可承担华中地区电力系统调峰、填谷、调频、调相、紧急事故备用等任务。</w:t>
            </w:r>
          </w:p>
        </w:tc>
        <w:tc>
          <w:tcPr>
            <w:tcW w:w="2855" w:type="dxa"/>
            <w:shd w:val="clear" w:color="auto" w:fill="auto"/>
            <w:vAlign w:val="center"/>
          </w:tcPr>
          <w:p w14:paraId="3D5457C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2021年，该项目列入国家能源局《抽水蓄能中长期发展规划（2020—2035年）》“十六五”重点实施项目。</w:t>
            </w:r>
          </w:p>
        </w:tc>
        <w:tc>
          <w:tcPr>
            <w:tcW w:w="711" w:type="dxa"/>
            <w:shd w:val="clear" w:color="auto" w:fill="auto"/>
            <w:vAlign w:val="center"/>
          </w:tcPr>
          <w:p w14:paraId="704EE2C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548C40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2035</w:t>
            </w:r>
          </w:p>
        </w:tc>
        <w:tc>
          <w:tcPr>
            <w:tcW w:w="967" w:type="dxa"/>
            <w:shd w:val="clear" w:color="auto" w:fill="auto"/>
            <w:vAlign w:val="center"/>
          </w:tcPr>
          <w:p w14:paraId="6F6941C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79</w:t>
            </w:r>
          </w:p>
        </w:tc>
        <w:tc>
          <w:tcPr>
            <w:tcW w:w="1506" w:type="dxa"/>
            <w:shd w:val="clear" w:color="auto" w:fill="auto"/>
            <w:vAlign w:val="center"/>
          </w:tcPr>
          <w:p w14:paraId="231ADD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国网新源控股有限公司</w:t>
            </w:r>
          </w:p>
        </w:tc>
      </w:tr>
      <w:tr w14:paraId="761F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F7C667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38" w:type="dxa"/>
            <w:shd w:val="clear" w:color="auto" w:fill="auto"/>
            <w:vAlign w:val="center"/>
          </w:tcPr>
          <w:p w14:paraId="3D43E2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咸宁土桥抽水蓄能电站项目</w:t>
            </w:r>
          </w:p>
        </w:tc>
        <w:tc>
          <w:tcPr>
            <w:tcW w:w="645" w:type="dxa"/>
            <w:shd w:val="clear" w:color="auto" w:fill="auto"/>
            <w:vAlign w:val="center"/>
          </w:tcPr>
          <w:p w14:paraId="1A6C457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A16B4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223A14B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125730</wp:posOffset>
                  </wp:positionH>
                  <wp:positionV relativeFrom="paragraph">
                    <wp:posOffset>93980</wp:posOffset>
                  </wp:positionV>
                  <wp:extent cx="86360" cy="267970"/>
                  <wp:effectExtent l="0" t="0" r="0" b="0"/>
                  <wp:wrapNone/>
                  <wp:docPr id="557" name="Picture_7_SpCnt_34"/>
                  <wp:cNvGraphicFramePr/>
                  <a:graphic xmlns:a="http://schemas.openxmlformats.org/drawingml/2006/main">
                    <a:graphicData uri="http://schemas.openxmlformats.org/drawingml/2006/picture">
                      <pic:pic xmlns:pic="http://schemas.openxmlformats.org/drawingml/2006/picture">
                        <pic:nvPicPr>
                          <pic:cNvPr id="557" name="Picture_7_SpCnt_34"/>
                          <pic:cNvPicPr/>
                        </pic:nvPicPr>
                        <pic:blipFill>
                          <a:blip r:embed="rId84"/>
                          <a:stretch>
                            <a:fillRect/>
                          </a:stretch>
                        </pic:blipFill>
                        <pic:spPr>
                          <a:xfrm>
                            <a:off x="0" y="0"/>
                            <a:ext cx="86360" cy="267970"/>
                          </a:xfrm>
                          <a:prstGeom prst="rect">
                            <a:avLst/>
                          </a:prstGeom>
                          <a:noFill/>
                          <a:ln>
                            <a:noFill/>
                          </a:ln>
                        </pic:spPr>
                      </pic:pic>
                    </a:graphicData>
                  </a:graphic>
                </wp:anchor>
              </w:drawing>
            </w:r>
            <w:r>
              <w:rPr>
                <w:rFonts w:hint="default" w:ascii="Times New Roman" w:hAnsi="Times New Roman" w:cs="Times New Roman"/>
                <w:sz w:val="21"/>
                <w:szCs w:val="16"/>
                <w:lang w:val="en-US" w:eastAsia="zh-CN"/>
              </w:rPr>
              <w:t>建设装机容量120万千瓦抽水蓄能电站一座，设计4台单机容量300MW发电机组</w:t>
            </w:r>
          </w:p>
        </w:tc>
        <w:tc>
          <w:tcPr>
            <w:tcW w:w="2855" w:type="dxa"/>
            <w:shd w:val="clear" w:color="auto" w:fill="auto"/>
            <w:vAlign w:val="center"/>
          </w:tcPr>
          <w:p w14:paraId="2DA5232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34F9676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54D8AB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503685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120</w:t>
            </w:r>
          </w:p>
        </w:tc>
        <w:tc>
          <w:tcPr>
            <w:tcW w:w="1506" w:type="dxa"/>
            <w:shd w:val="clear" w:color="auto" w:fill="auto"/>
            <w:vAlign w:val="center"/>
          </w:tcPr>
          <w:p w14:paraId="40271D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中国华能集团有限公司华中分公司</w:t>
            </w:r>
          </w:p>
        </w:tc>
      </w:tr>
      <w:tr w14:paraId="4C38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01827A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38" w:type="dxa"/>
            <w:shd w:val="clear" w:color="auto" w:fill="auto"/>
            <w:vAlign w:val="center"/>
          </w:tcPr>
          <w:p w14:paraId="4A8941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通城平等抽水蓄能电站</w:t>
            </w:r>
          </w:p>
        </w:tc>
        <w:tc>
          <w:tcPr>
            <w:tcW w:w="645" w:type="dxa"/>
            <w:shd w:val="clear" w:color="auto" w:fill="auto"/>
            <w:vAlign w:val="center"/>
          </w:tcPr>
          <w:p w14:paraId="6406A59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B7DE9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5B9F29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装机容量700MW，上水库初拟正常蓄水位820m，对应库容481万m3，死水位790m，对应库容50万m3，上水库调节库容431万m3，天然库容123万m3。初拟采用混凝土面板堆石坝，局部防渗，最大坝高71m，坝长313m。下水库初拟正常蓄水位350m，对应库容720万m3，死水位320m，对应库容165万m3，下水库调节库容556万m3，对应坝高为69m，坝长为201m。输水发电系统采用“一洞两机”形式布置，长2339m，距高比4.98。</w:t>
            </w:r>
          </w:p>
        </w:tc>
        <w:tc>
          <w:tcPr>
            <w:tcW w:w="2855" w:type="dxa"/>
            <w:shd w:val="clear" w:color="auto" w:fill="auto"/>
            <w:vAlign w:val="center"/>
          </w:tcPr>
          <w:p w14:paraId="6B806BC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已和政府签订合作协议，正在向国家能源局申报纳入“十五五”能源规划</w:t>
            </w:r>
          </w:p>
        </w:tc>
        <w:tc>
          <w:tcPr>
            <w:tcW w:w="711" w:type="dxa"/>
            <w:shd w:val="clear" w:color="auto" w:fill="auto"/>
            <w:vAlign w:val="center"/>
          </w:tcPr>
          <w:p w14:paraId="2508F89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4CD306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2033</w:t>
            </w:r>
          </w:p>
        </w:tc>
        <w:tc>
          <w:tcPr>
            <w:tcW w:w="967" w:type="dxa"/>
            <w:shd w:val="clear" w:color="auto" w:fill="auto"/>
            <w:vAlign w:val="center"/>
          </w:tcPr>
          <w:p w14:paraId="56BEDC5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112</w:t>
            </w:r>
          </w:p>
        </w:tc>
        <w:tc>
          <w:tcPr>
            <w:tcW w:w="1506" w:type="dxa"/>
            <w:shd w:val="clear" w:color="auto" w:fill="auto"/>
            <w:vAlign w:val="center"/>
          </w:tcPr>
          <w:p w14:paraId="6FC409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中广核新能源湖北有限公司</w:t>
            </w:r>
          </w:p>
        </w:tc>
      </w:tr>
      <w:tr w14:paraId="0FAB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1A5F4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w:t>
            </w:r>
          </w:p>
        </w:tc>
        <w:tc>
          <w:tcPr>
            <w:tcW w:w="1538" w:type="dxa"/>
            <w:shd w:val="clear" w:color="auto" w:fill="auto"/>
            <w:vAlign w:val="center"/>
          </w:tcPr>
          <w:p w14:paraId="7956A6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洪源抽水蓄能电站</w:t>
            </w:r>
          </w:p>
        </w:tc>
        <w:tc>
          <w:tcPr>
            <w:tcW w:w="645" w:type="dxa"/>
            <w:shd w:val="clear" w:color="auto" w:fill="auto"/>
            <w:vAlign w:val="center"/>
          </w:tcPr>
          <w:p w14:paraId="2697549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46AD8D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625FCA5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下水库位于通城县红石村附近，上水库位于国仲屋附近。初拟电站装机容量1800MW，上水库正常蓄水位680. 00m，调节库容1126万</w:t>
            </w:r>
            <w:r>
              <w:rPr>
                <w:rFonts w:hint="eastAsia" w:ascii="Times New Roman" w:hAnsi="Times New Roman" w:cs="Times New Roman"/>
                <w:sz w:val="21"/>
                <w:szCs w:val="16"/>
                <w:lang w:val="en-US" w:eastAsia="zh-CN"/>
              </w:rPr>
              <w:t>m³</w:t>
            </w:r>
            <w:r>
              <w:rPr>
                <w:rFonts w:hint="default" w:ascii="Times New Roman" w:hAnsi="Times New Roman" w:cs="Times New Roman"/>
                <w:sz w:val="21"/>
                <w:szCs w:val="16"/>
                <w:lang w:val="en-US" w:eastAsia="zh-CN"/>
              </w:rPr>
              <w:t>，下水库正常蓄水位225. 00m，调节库容1176万m3.电站平均水头442m，距高比约5. 2。</w:t>
            </w:r>
          </w:p>
        </w:tc>
        <w:tc>
          <w:tcPr>
            <w:tcW w:w="2855" w:type="dxa"/>
            <w:shd w:val="clear" w:color="auto" w:fill="auto"/>
            <w:noWrap/>
            <w:vAlign w:val="center"/>
          </w:tcPr>
          <w:p w14:paraId="206F171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正在储备阶段</w:t>
            </w:r>
          </w:p>
        </w:tc>
        <w:tc>
          <w:tcPr>
            <w:tcW w:w="711" w:type="dxa"/>
            <w:shd w:val="clear" w:color="auto" w:fill="auto"/>
            <w:noWrap/>
            <w:vAlign w:val="center"/>
          </w:tcPr>
          <w:p w14:paraId="36E6B95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noWrap/>
            <w:vAlign w:val="center"/>
          </w:tcPr>
          <w:p w14:paraId="77CE3F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2033</w:t>
            </w:r>
          </w:p>
        </w:tc>
        <w:tc>
          <w:tcPr>
            <w:tcW w:w="967" w:type="dxa"/>
            <w:shd w:val="clear" w:color="auto" w:fill="auto"/>
            <w:noWrap/>
            <w:vAlign w:val="center"/>
          </w:tcPr>
          <w:p w14:paraId="6651A6B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129</w:t>
            </w:r>
          </w:p>
        </w:tc>
        <w:tc>
          <w:tcPr>
            <w:tcW w:w="1506" w:type="dxa"/>
            <w:shd w:val="clear" w:color="auto" w:fill="auto"/>
            <w:vAlign w:val="center"/>
          </w:tcPr>
          <w:p w14:paraId="399845F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国网新源集团有限公司</w:t>
            </w:r>
          </w:p>
        </w:tc>
      </w:tr>
      <w:tr w14:paraId="5919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7EC661D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风电</w:t>
            </w:r>
          </w:p>
        </w:tc>
        <w:tc>
          <w:tcPr>
            <w:tcW w:w="3805" w:type="dxa"/>
            <w:shd w:val="clear" w:color="auto" w:fill="auto"/>
            <w:noWrap/>
            <w:vAlign w:val="center"/>
          </w:tcPr>
          <w:p w14:paraId="56D7FD4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26个</w:t>
            </w:r>
          </w:p>
        </w:tc>
        <w:tc>
          <w:tcPr>
            <w:tcW w:w="2855" w:type="dxa"/>
            <w:shd w:val="clear" w:color="auto" w:fill="auto"/>
            <w:noWrap/>
            <w:vAlign w:val="center"/>
          </w:tcPr>
          <w:p w14:paraId="11F5317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38D2BEF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5F812EF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79446D6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185</w:t>
            </w:r>
          </w:p>
        </w:tc>
        <w:tc>
          <w:tcPr>
            <w:tcW w:w="1506" w:type="dxa"/>
            <w:shd w:val="clear" w:color="auto" w:fill="auto"/>
            <w:noWrap/>
            <w:vAlign w:val="center"/>
          </w:tcPr>
          <w:p w14:paraId="684239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7FF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8ECA68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w:t>
            </w:r>
          </w:p>
        </w:tc>
        <w:tc>
          <w:tcPr>
            <w:tcW w:w="1538" w:type="dxa"/>
            <w:shd w:val="clear" w:color="auto" w:fill="auto"/>
            <w:vAlign w:val="center"/>
          </w:tcPr>
          <w:p w14:paraId="0432F3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长能咸安贺胜桥100MW风力发电项目</w:t>
            </w:r>
          </w:p>
        </w:tc>
        <w:tc>
          <w:tcPr>
            <w:tcW w:w="645" w:type="dxa"/>
            <w:shd w:val="clear" w:color="auto" w:fill="auto"/>
            <w:noWrap/>
            <w:vAlign w:val="center"/>
          </w:tcPr>
          <w:p w14:paraId="7E3A2F3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738ACFD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01DDE2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3E67709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E7EBCE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8BFE20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4EE768B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4B33BE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3DA4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C63DE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w:t>
            </w:r>
          </w:p>
        </w:tc>
        <w:tc>
          <w:tcPr>
            <w:tcW w:w="1538" w:type="dxa"/>
            <w:shd w:val="clear" w:color="auto" w:fill="auto"/>
            <w:vAlign w:val="center"/>
          </w:tcPr>
          <w:p w14:paraId="2639D2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咸安驭风行动</w:t>
            </w:r>
          </w:p>
        </w:tc>
        <w:tc>
          <w:tcPr>
            <w:tcW w:w="645" w:type="dxa"/>
            <w:shd w:val="clear" w:color="auto" w:fill="auto"/>
            <w:noWrap/>
            <w:vAlign w:val="center"/>
          </w:tcPr>
          <w:p w14:paraId="6522968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40422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293E4A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6C9144D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4ECE011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7B616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756B27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1C85064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67B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F6A3B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38" w:type="dxa"/>
            <w:shd w:val="clear" w:color="auto" w:fill="auto"/>
            <w:vAlign w:val="center"/>
          </w:tcPr>
          <w:p w14:paraId="114A0F2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咸宁市咸安区300MW集中式风电发电项目</w:t>
            </w:r>
          </w:p>
        </w:tc>
        <w:tc>
          <w:tcPr>
            <w:tcW w:w="645" w:type="dxa"/>
            <w:shd w:val="clear" w:color="auto" w:fill="auto"/>
            <w:noWrap/>
            <w:vAlign w:val="center"/>
          </w:tcPr>
          <w:p w14:paraId="48001A0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5B497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318EDF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拟建设300MW风力发电项目。</w:t>
            </w:r>
          </w:p>
        </w:tc>
        <w:tc>
          <w:tcPr>
            <w:tcW w:w="2855" w:type="dxa"/>
            <w:shd w:val="clear" w:color="auto" w:fill="auto"/>
            <w:vAlign w:val="center"/>
          </w:tcPr>
          <w:p w14:paraId="0B62754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29D540D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6A90B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4F46B85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vAlign w:val="center"/>
          </w:tcPr>
          <w:p w14:paraId="51CB0B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国能长源湖北新能源有限公司</w:t>
            </w:r>
          </w:p>
        </w:tc>
      </w:tr>
      <w:tr w14:paraId="4134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A87352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11</w:t>
            </w:r>
          </w:p>
        </w:tc>
        <w:tc>
          <w:tcPr>
            <w:tcW w:w="1538" w:type="dxa"/>
            <w:shd w:val="clear" w:color="auto" w:fill="auto"/>
            <w:vAlign w:val="center"/>
          </w:tcPr>
          <w:p w14:paraId="3BF4B0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长能咸安桂花100MW风力发电项目</w:t>
            </w:r>
          </w:p>
        </w:tc>
        <w:tc>
          <w:tcPr>
            <w:tcW w:w="645" w:type="dxa"/>
            <w:shd w:val="clear" w:color="auto" w:fill="auto"/>
            <w:noWrap/>
            <w:vAlign w:val="center"/>
          </w:tcPr>
          <w:p w14:paraId="3C66B4F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75030E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0DE43D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70B2251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已进行立塔测风，正在开展前期工作。</w:t>
            </w:r>
          </w:p>
        </w:tc>
        <w:tc>
          <w:tcPr>
            <w:tcW w:w="711" w:type="dxa"/>
            <w:shd w:val="clear" w:color="auto" w:fill="auto"/>
            <w:vAlign w:val="center"/>
          </w:tcPr>
          <w:p w14:paraId="3EE3065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C790C7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013D1E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7CF5472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5EB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1FDAD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w:t>
            </w:r>
          </w:p>
        </w:tc>
        <w:tc>
          <w:tcPr>
            <w:tcW w:w="1538" w:type="dxa"/>
            <w:shd w:val="clear" w:color="auto" w:fill="auto"/>
            <w:vAlign w:val="center"/>
          </w:tcPr>
          <w:p w14:paraId="65B6A4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长能咸安大幕100MW风力发电项目</w:t>
            </w:r>
          </w:p>
        </w:tc>
        <w:tc>
          <w:tcPr>
            <w:tcW w:w="645" w:type="dxa"/>
            <w:shd w:val="clear" w:color="auto" w:fill="auto"/>
            <w:noWrap/>
            <w:vAlign w:val="center"/>
          </w:tcPr>
          <w:p w14:paraId="3E8F026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48FE4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75B1902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7E8CAB0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该项目已进行申报，并推送至省能源局审核</w:t>
            </w:r>
          </w:p>
        </w:tc>
        <w:tc>
          <w:tcPr>
            <w:tcW w:w="711" w:type="dxa"/>
            <w:shd w:val="clear" w:color="auto" w:fill="auto"/>
            <w:vAlign w:val="center"/>
          </w:tcPr>
          <w:p w14:paraId="7AD0503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42B56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01A8CC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6D31CF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2B96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EEB66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13</w:t>
            </w:r>
          </w:p>
        </w:tc>
        <w:tc>
          <w:tcPr>
            <w:tcW w:w="1538" w:type="dxa"/>
            <w:shd w:val="clear" w:color="auto" w:fill="auto"/>
            <w:vAlign w:val="center"/>
          </w:tcPr>
          <w:p w14:paraId="5247C7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华润赤壁市中伙铺镇、官塘镇100MW风电项目</w:t>
            </w:r>
          </w:p>
        </w:tc>
        <w:tc>
          <w:tcPr>
            <w:tcW w:w="645" w:type="dxa"/>
            <w:shd w:val="clear" w:color="auto" w:fill="auto"/>
            <w:noWrap/>
            <w:vAlign w:val="center"/>
          </w:tcPr>
          <w:p w14:paraId="32E9CBC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374887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49F554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市中伙铺镇、官塘镇100MW风电项目位于赤壁市，装机容量合计100MW，初步规划在中伙铺镇、官塘镇。项目拟选用6.25MW风机机型，规划机位点20个（其中主选机位点16个；备用机位点4个），配套建设1座220kV升压站，拟选机位点和升压站的土地性质为坑塘水面和园地，</w:t>
            </w:r>
          </w:p>
        </w:tc>
        <w:tc>
          <w:tcPr>
            <w:tcW w:w="2855" w:type="dxa"/>
            <w:shd w:val="clear" w:color="auto" w:fill="auto"/>
            <w:vAlign w:val="center"/>
          </w:tcPr>
          <w:p w14:paraId="20BD737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根据限制性因素，初步选定初选机位点，拟进一步开展项目前期准备工作</w:t>
            </w:r>
          </w:p>
        </w:tc>
        <w:tc>
          <w:tcPr>
            <w:tcW w:w="711" w:type="dxa"/>
            <w:shd w:val="clear" w:color="auto" w:fill="auto"/>
            <w:vAlign w:val="center"/>
          </w:tcPr>
          <w:p w14:paraId="210B5BD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3215F23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DE25A2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7.2</w:t>
            </w:r>
          </w:p>
        </w:tc>
        <w:tc>
          <w:tcPr>
            <w:tcW w:w="1506" w:type="dxa"/>
            <w:shd w:val="clear" w:color="auto" w:fill="auto"/>
            <w:vAlign w:val="center"/>
          </w:tcPr>
          <w:p w14:paraId="052722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263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38251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14</w:t>
            </w:r>
          </w:p>
        </w:tc>
        <w:tc>
          <w:tcPr>
            <w:tcW w:w="1538" w:type="dxa"/>
            <w:shd w:val="clear" w:color="auto" w:fill="auto"/>
            <w:vAlign w:val="center"/>
          </w:tcPr>
          <w:p w14:paraId="4BA1E32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华润赤壁赵李桥 100MW风电项目</w:t>
            </w:r>
          </w:p>
        </w:tc>
        <w:tc>
          <w:tcPr>
            <w:tcW w:w="645" w:type="dxa"/>
            <w:shd w:val="clear" w:color="auto" w:fill="auto"/>
            <w:noWrap/>
            <w:vAlign w:val="center"/>
          </w:tcPr>
          <w:p w14:paraId="783A1A0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4F4032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2063B0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规划容量10万千瓦，位于赵李桥镇羊楼洞村、羊楼司村、柳林村、蓼坪村一带山地，拟安装18台单机容量为5560kW，轮毂高度为120m的风力发电机组，配套建设安装18台箱变、1座110kV升压站（含运行管理中心）、1条110kV送出线路、1座30MW/60MWh集中式（共享式）储能。</w:t>
            </w:r>
          </w:p>
        </w:tc>
        <w:tc>
          <w:tcPr>
            <w:tcW w:w="2855" w:type="dxa"/>
            <w:shd w:val="clear" w:color="auto" w:fill="auto"/>
            <w:vAlign w:val="center"/>
          </w:tcPr>
          <w:p w14:paraId="2A722A7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项目目前可行性研究报告已编制完成。已通过咸宁电网公司接入校核，各个局的支持性意见函已取得，项目测风方案已修编完成，两座增补测风塔已完成立塔，正在进行测风。</w:t>
            </w:r>
          </w:p>
        </w:tc>
        <w:tc>
          <w:tcPr>
            <w:tcW w:w="711" w:type="dxa"/>
            <w:shd w:val="clear" w:color="auto" w:fill="auto"/>
            <w:vAlign w:val="center"/>
          </w:tcPr>
          <w:p w14:paraId="6247BC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4811FA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6D278C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7.5</w:t>
            </w:r>
          </w:p>
        </w:tc>
        <w:tc>
          <w:tcPr>
            <w:tcW w:w="1506" w:type="dxa"/>
            <w:shd w:val="clear" w:color="auto" w:fill="auto"/>
            <w:vAlign w:val="center"/>
          </w:tcPr>
          <w:p w14:paraId="114486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375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A7FBFE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38" w:type="dxa"/>
            <w:shd w:val="clear" w:color="auto" w:fill="auto"/>
            <w:vAlign w:val="center"/>
          </w:tcPr>
          <w:p w14:paraId="1AC38F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华润赤壁市官塘100MW风电项目</w:t>
            </w:r>
          </w:p>
        </w:tc>
        <w:tc>
          <w:tcPr>
            <w:tcW w:w="645" w:type="dxa"/>
            <w:shd w:val="clear" w:color="auto" w:fill="auto"/>
            <w:noWrap/>
            <w:vAlign w:val="center"/>
          </w:tcPr>
          <w:p w14:paraId="7D0972D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92127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384BB5F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项目占地面积20.53亩，拟安装16台单机容量为6250kW的风力发电机组及箱变，新建1座220kV升压站，配套建设办公楼、生活楼、配电楼及其他相关配套设施。</w:t>
            </w:r>
          </w:p>
        </w:tc>
        <w:tc>
          <w:tcPr>
            <w:tcW w:w="2855" w:type="dxa"/>
            <w:shd w:val="clear" w:color="auto" w:fill="auto"/>
            <w:vAlign w:val="center"/>
          </w:tcPr>
          <w:p w14:paraId="0518826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1639C3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C5E20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C58304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0C9D7A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0F78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766FA2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16</w:t>
            </w:r>
          </w:p>
        </w:tc>
        <w:tc>
          <w:tcPr>
            <w:tcW w:w="1538" w:type="dxa"/>
            <w:shd w:val="clear" w:color="auto" w:fill="auto"/>
            <w:vAlign w:val="center"/>
          </w:tcPr>
          <w:p w14:paraId="5B62DD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华润赤壁新店100MW风力发电项目</w:t>
            </w:r>
          </w:p>
        </w:tc>
        <w:tc>
          <w:tcPr>
            <w:tcW w:w="645" w:type="dxa"/>
            <w:shd w:val="clear" w:color="auto" w:fill="auto"/>
            <w:noWrap/>
            <w:vAlign w:val="center"/>
          </w:tcPr>
          <w:p w14:paraId="45CD799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2DDCCB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336798E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项目占地面积20.53亩，拟安装16台单机容量为6250kW的风力发电机组及箱变，新建1座220kV升压站，配套建设办公楼、生活楼、配电楼及其他相关配套设施。</w:t>
            </w:r>
          </w:p>
        </w:tc>
        <w:tc>
          <w:tcPr>
            <w:tcW w:w="2855" w:type="dxa"/>
            <w:shd w:val="clear" w:color="auto" w:fill="auto"/>
            <w:vAlign w:val="center"/>
          </w:tcPr>
          <w:p w14:paraId="7811008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E6890E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C549DB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535A9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23A6369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6A68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6E97E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17</w:t>
            </w:r>
          </w:p>
        </w:tc>
        <w:tc>
          <w:tcPr>
            <w:tcW w:w="1538" w:type="dxa"/>
            <w:shd w:val="clear" w:color="auto" w:fill="auto"/>
            <w:vAlign w:val="center"/>
          </w:tcPr>
          <w:p w14:paraId="28B9D2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中电咸宁通城300MW风力发电项目</w:t>
            </w:r>
          </w:p>
        </w:tc>
        <w:tc>
          <w:tcPr>
            <w:tcW w:w="645" w:type="dxa"/>
            <w:shd w:val="clear" w:color="auto" w:fill="auto"/>
            <w:noWrap/>
            <w:vAlign w:val="center"/>
          </w:tcPr>
          <w:p w14:paraId="37A546B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75D768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62AE12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拟建设300MW风力发电项目。配置50MW/100MWh网侧新型独立储能</w:t>
            </w:r>
            <w:r>
              <w:rPr>
                <w:rFonts w:hint="eastAsia" w:ascii="Times New Roman" w:hAnsi="Times New Roman" w:cs="Times New Roman"/>
                <w:sz w:val="21"/>
                <w:szCs w:val="16"/>
                <w:lang w:val="en-US" w:eastAsia="zh-CN"/>
              </w:rPr>
              <w:t>电站</w:t>
            </w:r>
            <w:r>
              <w:rPr>
                <w:rFonts w:hint="default" w:ascii="Times New Roman" w:hAnsi="Times New Roman" w:cs="Times New Roman"/>
                <w:sz w:val="21"/>
                <w:szCs w:val="16"/>
                <w:lang w:val="en-US" w:eastAsia="zh-CN"/>
              </w:rPr>
              <w:t>。</w:t>
            </w:r>
          </w:p>
        </w:tc>
        <w:tc>
          <w:tcPr>
            <w:tcW w:w="2855" w:type="dxa"/>
            <w:shd w:val="clear" w:color="auto" w:fill="auto"/>
            <w:vAlign w:val="center"/>
          </w:tcPr>
          <w:p w14:paraId="6065C14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3C1AC6B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8BFDD6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0BDF744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vAlign w:val="center"/>
          </w:tcPr>
          <w:p w14:paraId="3750B6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中电大别山（湖北）电力有限公司</w:t>
            </w:r>
          </w:p>
        </w:tc>
      </w:tr>
      <w:tr w14:paraId="7BFB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C13E07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18</w:t>
            </w:r>
          </w:p>
        </w:tc>
        <w:tc>
          <w:tcPr>
            <w:tcW w:w="1538" w:type="dxa"/>
            <w:shd w:val="clear" w:color="auto" w:fill="auto"/>
            <w:vAlign w:val="center"/>
          </w:tcPr>
          <w:p w14:paraId="0C9698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通城县分散式风电项目</w:t>
            </w:r>
          </w:p>
        </w:tc>
        <w:tc>
          <w:tcPr>
            <w:tcW w:w="645" w:type="dxa"/>
            <w:shd w:val="clear" w:color="auto" w:fill="auto"/>
            <w:noWrap/>
            <w:vAlign w:val="center"/>
          </w:tcPr>
          <w:p w14:paraId="15885AF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767DD0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55740D4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通城县粤风新能源有限公司拟开发建设通城县分散式风电项目。该项目总装机191.5MW，总投资14.5亿元，分二期建设。</w:t>
            </w:r>
          </w:p>
        </w:tc>
        <w:tc>
          <w:tcPr>
            <w:tcW w:w="2855" w:type="dxa"/>
            <w:shd w:val="clear" w:color="auto" w:fill="auto"/>
            <w:vAlign w:val="center"/>
          </w:tcPr>
          <w:p w14:paraId="18C82D9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已和政府签订合作协议，正在申报上网指标</w:t>
            </w:r>
          </w:p>
        </w:tc>
        <w:tc>
          <w:tcPr>
            <w:tcW w:w="711" w:type="dxa"/>
            <w:shd w:val="clear" w:color="auto" w:fill="auto"/>
            <w:vAlign w:val="center"/>
          </w:tcPr>
          <w:p w14:paraId="5FF7052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516E1E4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4B6550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14.5</w:t>
            </w:r>
          </w:p>
        </w:tc>
        <w:tc>
          <w:tcPr>
            <w:tcW w:w="1506" w:type="dxa"/>
            <w:shd w:val="clear" w:color="auto" w:fill="auto"/>
            <w:vAlign w:val="center"/>
          </w:tcPr>
          <w:p w14:paraId="15E623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粤风新能源有限公司</w:t>
            </w:r>
          </w:p>
        </w:tc>
      </w:tr>
      <w:tr w14:paraId="46D5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2EB657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19</w:t>
            </w:r>
          </w:p>
        </w:tc>
        <w:tc>
          <w:tcPr>
            <w:tcW w:w="1538" w:type="dxa"/>
            <w:shd w:val="clear" w:color="auto" w:fill="auto"/>
            <w:vAlign w:val="center"/>
          </w:tcPr>
          <w:p w14:paraId="6A3C5C4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五里镇路灯风力发电暨助力乡村振兴项目</w:t>
            </w:r>
          </w:p>
        </w:tc>
        <w:tc>
          <w:tcPr>
            <w:tcW w:w="645" w:type="dxa"/>
            <w:shd w:val="clear" w:color="auto" w:fill="auto"/>
            <w:noWrap/>
            <w:vAlign w:val="center"/>
          </w:tcPr>
          <w:p w14:paraId="29F56E8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7E82C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D324C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计划总装机容量20兆瓦，单台机组30千瓦，约660根，总投资约2.5亿元，项目建成后满负荷年发电量约1.2亿度。项目建设1期装机容量为5兆瓦，建设165台，投资约6270万元，1期建设并网后，</w:t>
            </w:r>
            <w:r>
              <w:rPr>
                <w:rFonts w:hint="eastAsia" w:ascii="Times New Roman" w:hAnsi="Times New Roman" w:cs="Times New Roman"/>
                <w:sz w:val="21"/>
                <w:szCs w:val="16"/>
                <w:lang w:val="en-US" w:eastAsia="zh-CN"/>
              </w:rPr>
              <w:t>再逐期推进建设</w:t>
            </w:r>
            <w:r>
              <w:rPr>
                <w:rFonts w:hint="default" w:ascii="Times New Roman" w:hAnsi="Times New Roman" w:cs="Times New Roman"/>
                <w:sz w:val="21"/>
                <w:szCs w:val="16"/>
                <w:lang w:val="en-US" w:eastAsia="zh-CN"/>
              </w:rPr>
              <w:t>。</w:t>
            </w:r>
          </w:p>
        </w:tc>
        <w:tc>
          <w:tcPr>
            <w:tcW w:w="2855" w:type="dxa"/>
            <w:shd w:val="clear" w:color="auto" w:fill="auto"/>
            <w:vAlign w:val="center"/>
          </w:tcPr>
          <w:p w14:paraId="7020672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1E950CF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649AB3A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2919C28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2.5</w:t>
            </w:r>
          </w:p>
        </w:tc>
        <w:tc>
          <w:tcPr>
            <w:tcW w:w="1506" w:type="dxa"/>
            <w:shd w:val="clear" w:color="auto" w:fill="auto"/>
            <w:vAlign w:val="center"/>
          </w:tcPr>
          <w:p w14:paraId="4E8942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574B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E2AE16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w:t>
            </w:r>
          </w:p>
        </w:tc>
        <w:tc>
          <w:tcPr>
            <w:tcW w:w="1538" w:type="dxa"/>
            <w:shd w:val="clear" w:color="auto" w:fill="auto"/>
            <w:vAlign w:val="center"/>
          </w:tcPr>
          <w:p w14:paraId="1D8CFD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北港镇路灯风力发电暨助力乡村振兴项目</w:t>
            </w:r>
          </w:p>
        </w:tc>
        <w:tc>
          <w:tcPr>
            <w:tcW w:w="645" w:type="dxa"/>
            <w:shd w:val="clear" w:color="auto" w:fill="auto"/>
            <w:noWrap/>
            <w:vAlign w:val="center"/>
          </w:tcPr>
          <w:p w14:paraId="69D9E22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1A4FD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10994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计划总装机容量50兆瓦，单台机组30千瓦，约5000根，总投资约6亿元，项目建成后满负荷年发电量约3亿度。</w:t>
            </w:r>
          </w:p>
        </w:tc>
        <w:tc>
          <w:tcPr>
            <w:tcW w:w="2855" w:type="dxa"/>
            <w:shd w:val="clear" w:color="auto" w:fill="auto"/>
            <w:vAlign w:val="center"/>
          </w:tcPr>
          <w:p w14:paraId="1F21B6D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344F91A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D4CEC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8B2611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76EDD2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2880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A6365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21</w:t>
            </w:r>
          </w:p>
        </w:tc>
        <w:tc>
          <w:tcPr>
            <w:tcW w:w="1538" w:type="dxa"/>
            <w:shd w:val="clear" w:color="auto" w:fill="auto"/>
            <w:vAlign w:val="center"/>
          </w:tcPr>
          <w:p w14:paraId="5394A2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塘湖镇路灯风力发电暨助力乡村振兴项目</w:t>
            </w:r>
          </w:p>
        </w:tc>
        <w:tc>
          <w:tcPr>
            <w:tcW w:w="645" w:type="dxa"/>
            <w:shd w:val="clear" w:color="auto" w:fill="auto"/>
            <w:noWrap/>
            <w:vAlign w:val="center"/>
          </w:tcPr>
          <w:p w14:paraId="1F1FCD8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98AE9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1EA3DC8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计划总装机容量50兆瓦，单台机组30千瓦，约5000根，总投资约6亿元，项目建成后满负荷年发电量约3亿度。</w:t>
            </w:r>
          </w:p>
        </w:tc>
        <w:tc>
          <w:tcPr>
            <w:tcW w:w="2855" w:type="dxa"/>
            <w:shd w:val="clear" w:color="auto" w:fill="auto"/>
            <w:vAlign w:val="center"/>
          </w:tcPr>
          <w:p w14:paraId="7AE01BE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911BA8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414F033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6730B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713E77D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1F72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F53202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22</w:t>
            </w:r>
          </w:p>
        </w:tc>
        <w:tc>
          <w:tcPr>
            <w:tcW w:w="1538" w:type="dxa"/>
            <w:shd w:val="clear" w:color="auto" w:fill="auto"/>
            <w:vAlign w:val="center"/>
          </w:tcPr>
          <w:p w14:paraId="67420F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运达能源300MW风电项目</w:t>
            </w:r>
          </w:p>
        </w:tc>
        <w:tc>
          <w:tcPr>
            <w:tcW w:w="645" w:type="dxa"/>
            <w:shd w:val="clear" w:color="auto" w:fill="auto"/>
            <w:noWrap/>
            <w:vAlign w:val="center"/>
          </w:tcPr>
          <w:p w14:paraId="01463A5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3D56E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AF798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建设装机容量400MW的集中式风电，总投资24亿元，分二期建设，一期项目静态总投资估算暂定为18亿元，主要建设300MW集中式风电项目；二期项目静态总投资估算暂定为6亿元，主要建设100MW集中式风电项目。</w:t>
            </w:r>
          </w:p>
        </w:tc>
        <w:tc>
          <w:tcPr>
            <w:tcW w:w="2855" w:type="dxa"/>
            <w:shd w:val="clear" w:color="auto" w:fill="auto"/>
            <w:vAlign w:val="center"/>
          </w:tcPr>
          <w:p w14:paraId="4A70CAB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01F2678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6FBAF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5543E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18</w:t>
            </w:r>
          </w:p>
        </w:tc>
        <w:tc>
          <w:tcPr>
            <w:tcW w:w="1506" w:type="dxa"/>
            <w:shd w:val="clear" w:color="auto" w:fill="auto"/>
            <w:vAlign w:val="center"/>
          </w:tcPr>
          <w:p w14:paraId="71447E6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运达能源科技集团股份有限公司</w:t>
            </w:r>
          </w:p>
        </w:tc>
      </w:tr>
      <w:tr w14:paraId="6B72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84B9FF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23</w:t>
            </w:r>
          </w:p>
        </w:tc>
        <w:tc>
          <w:tcPr>
            <w:tcW w:w="1538" w:type="dxa"/>
            <w:shd w:val="clear" w:color="auto" w:fill="auto"/>
            <w:vAlign w:val="center"/>
          </w:tcPr>
          <w:p w14:paraId="133FC60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崇阳县“千乡万村驭风行动”70MW风电项目</w:t>
            </w:r>
          </w:p>
        </w:tc>
        <w:tc>
          <w:tcPr>
            <w:tcW w:w="645" w:type="dxa"/>
            <w:shd w:val="clear" w:color="auto" w:fill="auto"/>
            <w:noWrap/>
            <w:vAlign w:val="center"/>
          </w:tcPr>
          <w:p w14:paraId="4F4735B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2DB5B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63D197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新建一座70MW风电项目，配套建设相关设备设施</w:t>
            </w:r>
          </w:p>
        </w:tc>
        <w:tc>
          <w:tcPr>
            <w:tcW w:w="2855" w:type="dxa"/>
            <w:shd w:val="clear" w:color="auto" w:fill="auto"/>
            <w:vAlign w:val="center"/>
          </w:tcPr>
          <w:p w14:paraId="010FE87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49A751F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0DEA3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7D1DF0D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5.3</w:t>
            </w:r>
          </w:p>
        </w:tc>
        <w:tc>
          <w:tcPr>
            <w:tcW w:w="1506" w:type="dxa"/>
            <w:shd w:val="clear" w:color="auto" w:fill="auto"/>
            <w:vAlign w:val="center"/>
          </w:tcPr>
          <w:p w14:paraId="7C5362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中广核新能源湖北有限公司</w:t>
            </w:r>
          </w:p>
        </w:tc>
      </w:tr>
      <w:tr w14:paraId="40D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349CE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24</w:t>
            </w:r>
          </w:p>
        </w:tc>
        <w:tc>
          <w:tcPr>
            <w:tcW w:w="1538" w:type="dxa"/>
            <w:shd w:val="clear" w:color="auto" w:fill="auto"/>
            <w:vAlign w:val="center"/>
          </w:tcPr>
          <w:p w14:paraId="3B9A11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崇阳路口75MW风电项目</w:t>
            </w:r>
          </w:p>
        </w:tc>
        <w:tc>
          <w:tcPr>
            <w:tcW w:w="645" w:type="dxa"/>
            <w:shd w:val="clear" w:color="auto" w:fill="auto"/>
            <w:noWrap/>
            <w:vAlign w:val="center"/>
          </w:tcPr>
          <w:p w14:paraId="0D9A63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D46B3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585C42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拟建设15台单机容量5MW风电机组，配套建设</w:t>
            </w:r>
            <w:r>
              <w:rPr>
                <w:rFonts w:hint="eastAsia" w:ascii="Times New Roman" w:hAnsi="Times New Roman" w:cs="Times New Roman"/>
                <w:sz w:val="21"/>
                <w:szCs w:val="16"/>
                <w:lang w:val="en-US" w:eastAsia="zh-CN"/>
              </w:rPr>
              <w:t>110kV</w:t>
            </w:r>
            <w:r>
              <w:rPr>
                <w:rFonts w:hint="default" w:ascii="Times New Roman" w:hAnsi="Times New Roman" w:cs="Times New Roman"/>
                <w:sz w:val="21"/>
                <w:szCs w:val="16"/>
                <w:lang w:val="en-US" w:eastAsia="zh-CN"/>
              </w:rPr>
              <w:t>升压站及</w:t>
            </w:r>
            <w:r>
              <w:rPr>
                <w:rFonts w:hint="eastAsia" w:ascii="Times New Roman" w:hAnsi="Times New Roman" w:cs="Times New Roman"/>
                <w:sz w:val="21"/>
                <w:szCs w:val="16"/>
                <w:lang w:val="en-US" w:eastAsia="zh-CN"/>
              </w:rPr>
              <w:t>接入</w:t>
            </w:r>
            <w:r>
              <w:rPr>
                <w:rFonts w:hint="default" w:ascii="Times New Roman" w:hAnsi="Times New Roman" w:cs="Times New Roman"/>
                <w:sz w:val="21"/>
                <w:szCs w:val="16"/>
                <w:lang w:val="en-US" w:eastAsia="zh-CN"/>
              </w:rPr>
              <w:t>线路。</w:t>
            </w:r>
          </w:p>
        </w:tc>
        <w:tc>
          <w:tcPr>
            <w:tcW w:w="2855" w:type="dxa"/>
            <w:shd w:val="clear" w:color="auto" w:fill="auto"/>
            <w:vAlign w:val="center"/>
          </w:tcPr>
          <w:p w14:paraId="37A31DF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6DC64C0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11409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F1C11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w:t>
            </w:r>
          </w:p>
        </w:tc>
        <w:tc>
          <w:tcPr>
            <w:tcW w:w="1506" w:type="dxa"/>
            <w:shd w:val="clear" w:color="auto" w:fill="auto"/>
            <w:vAlign w:val="center"/>
          </w:tcPr>
          <w:p w14:paraId="5014635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大唐湖北能源开发有限公司</w:t>
            </w:r>
          </w:p>
        </w:tc>
      </w:tr>
      <w:tr w14:paraId="1EBF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D0034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25</w:t>
            </w:r>
          </w:p>
        </w:tc>
        <w:tc>
          <w:tcPr>
            <w:tcW w:w="1538" w:type="dxa"/>
            <w:shd w:val="clear" w:color="auto" w:fill="auto"/>
            <w:vAlign w:val="center"/>
          </w:tcPr>
          <w:p w14:paraId="40E803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崇阳桂花-天城55MW风电项目</w:t>
            </w:r>
          </w:p>
        </w:tc>
        <w:tc>
          <w:tcPr>
            <w:tcW w:w="645" w:type="dxa"/>
            <w:shd w:val="clear" w:color="auto" w:fill="auto"/>
            <w:noWrap/>
            <w:vAlign w:val="center"/>
          </w:tcPr>
          <w:p w14:paraId="7F08908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DDF61A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1A887A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拟建设8台单机容量6.25MW、1台5MW风电机组，配套建设</w:t>
            </w:r>
            <w:r>
              <w:rPr>
                <w:rFonts w:hint="eastAsia" w:ascii="Times New Roman" w:hAnsi="Times New Roman" w:cs="Times New Roman"/>
                <w:sz w:val="21"/>
                <w:szCs w:val="16"/>
                <w:lang w:val="en-US" w:eastAsia="zh-CN"/>
              </w:rPr>
              <w:t>110kV</w:t>
            </w:r>
            <w:r>
              <w:rPr>
                <w:rFonts w:hint="default" w:ascii="Times New Roman" w:hAnsi="Times New Roman" w:cs="Times New Roman"/>
                <w:sz w:val="21"/>
                <w:szCs w:val="16"/>
                <w:lang w:val="en-US" w:eastAsia="zh-CN"/>
              </w:rPr>
              <w:t>升压站及</w:t>
            </w:r>
            <w:r>
              <w:rPr>
                <w:rFonts w:hint="eastAsia" w:ascii="Times New Roman" w:hAnsi="Times New Roman" w:cs="Times New Roman"/>
                <w:sz w:val="21"/>
                <w:szCs w:val="16"/>
                <w:lang w:val="en-US" w:eastAsia="zh-CN"/>
              </w:rPr>
              <w:t>接入</w:t>
            </w:r>
            <w:r>
              <w:rPr>
                <w:rFonts w:hint="default" w:ascii="Times New Roman" w:hAnsi="Times New Roman" w:cs="Times New Roman"/>
                <w:sz w:val="21"/>
                <w:szCs w:val="16"/>
                <w:lang w:val="en-US" w:eastAsia="zh-CN"/>
              </w:rPr>
              <w:t>线路。</w:t>
            </w:r>
          </w:p>
        </w:tc>
        <w:tc>
          <w:tcPr>
            <w:tcW w:w="2855" w:type="dxa"/>
            <w:shd w:val="clear" w:color="auto" w:fill="auto"/>
            <w:vAlign w:val="center"/>
          </w:tcPr>
          <w:p w14:paraId="7D924BB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28764B5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49850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6008C2A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06" w:type="dxa"/>
            <w:shd w:val="clear" w:color="auto" w:fill="auto"/>
            <w:vAlign w:val="center"/>
          </w:tcPr>
          <w:p w14:paraId="0E0F5C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大唐湖北能源开发有限公司</w:t>
            </w:r>
          </w:p>
        </w:tc>
      </w:tr>
      <w:tr w14:paraId="22AE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E3BC0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26</w:t>
            </w:r>
          </w:p>
        </w:tc>
        <w:tc>
          <w:tcPr>
            <w:tcW w:w="1538" w:type="dxa"/>
            <w:shd w:val="clear" w:color="auto" w:fill="auto"/>
            <w:vAlign w:val="center"/>
          </w:tcPr>
          <w:p w14:paraId="71C9BA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运达能源100MW分散式风电项目</w:t>
            </w:r>
          </w:p>
        </w:tc>
        <w:tc>
          <w:tcPr>
            <w:tcW w:w="645" w:type="dxa"/>
            <w:shd w:val="clear" w:color="auto" w:fill="auto"/>
            <w:noWrap/>
            <w:vAlign w:val="center"/>
          </w:tcPr>
          <w:p w14:paraId="41344C4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DA707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4400C9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建设装机容量100MW的分散式风电项目</w:t>
            </w:r>
          </w:p>
        </w:tc>
        <w:tc>
          <w:tcPr>
            <w:tcW w:w="2855" w:type="dxa"/>
            <w:shd w:val="clear" w:color="auto" w:fill="auto"/>
            <w:vAlign w:val="center"/>
          </w:tcPr>
          <w:p w14:paraId="70C9400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488A9F7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9E60D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67E9FD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45C9C17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运达能源科技集团股份有限公司</w:t>
            </w:r>
          </w:p>
        </w:tc>
      </w:tr>
      <w:tr w14:paraId="6002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2F0B5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27</w:t>
            </w:r>
          </w:p>
        </w:tc>
        <w:tc>
          <w:tcPr>
            <w:tcW w:w="1538" w:type="dxa"/>
            <w:shd w:val="clear" w:color="auto" w:fill="auto"/>
            <w:vAlign w:val="center"/>
          </w:tcPr>
          <w:p w14:paraId="739955B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崇阳沙坪100MW风电项目</w:t>
            </w:r>
          </w:p>
        </w:tc>
        <w:tc>
          <w:tcPr>
            <w:tcW w:w="645" w:type="dxa"/>
            <w:shd w:val="clear" w:color="auto" w:fill="auto"/>
            <w:noWrap/>
            <w:vAlign w:val="center"/>
          </w:tcPr>
          <w:p w14:paraId="0D71D52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24EF3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36996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拟建设16台单机容量6.25MW风电机组，配套建设</w:t>
            </w:r>
            <w:r>
              <w:rPr>
                <w:rFonts w:hint="eastAsia" w:ascii="Times New Roman" w:hAnsi="Times New Roman" w:cs="Times New Roman"/>
                <w:sz w:val="21"/>
                <w:szCs w:val="16"/>
                <w:lang w:val="en-US" w:eastAsia="zh-CN"/>
              </w:rPr>
              <w:t>110kV</w:t>
            </w:r>
            <w:r>
              <w:rPr>
                <w:rFonts w:hint="default" w:ascii="Times New Roman" w:hAnsi="Times New Roman" w:cs="Times New Roman"/>
                <w:sz w:val="21"/>
                <w:szCs w:val="16"/>
                <w:lang w:val="en-US" w:eastAsia="zh-CN"/>
              </w:rPr>
              <w:t>升压站及</w:t>
            </w:r>
            <w:r>
              <w:rPr>
                <w:rFonts w:hint="eastAsia" w:ascii="Times New Roman" w:hAnsi="Times New Roman" w:cs="Times New Roman"/>
                <w:sz w:val="21"/>
                <w:szCs w:val="16"/>
                <w:lang w:val="en-US" w:eastAsia="zh-CN"/>
              </w:rPr>
              <w:t>接入</w:t>
            </w:r>
            <w:r>
              <w:rPr>
                <w:rFonts w:hint="default" w:ascii="Times New Roman" w:hAnsi="Times New Roman" w:cs="Times New Roman"/>
                <w:sz w:val="21"/>
                <w:szCs w:val="16"/>
                <w:lang w:val="en-US" w:eastAsia="zh-CN"/>
              </w:rPr>
              <w:t>线路。</w:t>
            </w:r>
          </w:p>
        </w:tc>
        <w:tc>
          <w:tcPr>
            <w:tcW w:w="2855" w:type="dxa"/>
            <w:shd w:val="clear" w:color="auto" w:fill="auto"/>
            <w:vAlign w:val="center"/>
          </w:tcPr>
          <w:p w14:paraId="52229C5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32725FE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02DABE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0E350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w:t>
            </w:r>
          </w:p>
        </w:tc>
        <w:tc>
          <w:tcPr>
            <w:tcW w:w="1506" w:type="dxa"/>
            <w:shd w:val="clear" w:color="auto" w:fill="auto"/>
            <w:vAlign w:val="center"/>
          </w:tcPr>
          <w:p w14:paraId="55F82E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崇阳县发改局</w:t>
            </w:r>
          </w:p>
        </w:tc>
      </w:tr>
      <w:tr w14:paraId="3D15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AAE5E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28</w:t>
            </w:r>
          </w:p>
        </w:tc>
        <w:tc>
          <w:tcPr>
            <w:tcW w:w="1538" w:type="dxa"/>
            <w:shd w:val="clear" w:color="auto" w:fill="auto"/>
            <w:vAlign w:val="center"/>
          </w:tcPr>
          <w:p w14:paraId="62AE43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崇阳石城塔坳100MW风电项目</w:t>
            </w:r>
          </w:p>
        </w:tc>
        <w:tc>
          <w:tcPr>
            <w:tcW w:w="645" w:type="dxa"/>
            <w:shd w:val="clear" w:color="auto" w:fill="auto"/>
            <w:noWrap/>
            <w:vAlign w:val="center"/>
          </w:tcPr>
          <w:p w14:paraId="4B066AF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63A65BD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49DDBC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拟建设16台单机容量6.25MW风电机组，配套建设</w:t>
            </w:r>
            <w:r>
              <w:rPr>
                <w:rFonts w:hint="eastAsia" w:ascii="Times New Roman" w:hAnsi="Times New Roman" w:cs="Times New Roman"/>
                <w:sz w:val="21"/>
                <w:szCs w:val="16"/>
                <w:lang w:val="en-US" w:eastAsia="zh-CN"/>
              </w:rPr>
              <w:t>110kV</w:t>
            </w:r>
            <w:r>
              <w:rPr>
                <w:rFonts w:hint="default" w:ascii="Times New Roman" w:hAnsi="Times New Roman" w:cs="Times New Roman"/>
                <w:sz w:val="21"/>
                <w:szCs w:val="16"/>
                <w:lang w:val="en-US" w:eastAsia="zh-CN"/>
              </w:rPr>
              <w:t>升压站及</w:t>
            </w:r>
            <w:r>
              <w:rPr>
                <w:rFonts w:hint="eastAsia" w:ascii="Times New Roman" w:hAnsi="Times New Roman" w:cs="Times New Roman"/>
                <w:sz w:val="21"/>
                <w:szCs w:val="16"/>
                <w:lang w:val="en-US" w:eastAsia="zh-CN"/>
              </w:rPr>
              <w:t>接入</w:t>
            </w:r>
            <w:r>
              <w:rPr>
                <w:rFonts w:hint="default" w:ascii="Times New Roman" w:hAnsi="Times New Roman" w:cs="Times New Roman"/>
                <w:sz w:val="21"/>
                <w:szCs w:val="16"/>
                <w:lang w:val="en-US" w:eastAsia="zh-CN"/>
              </w:rPr>
              <w:t>线路。</w:t>
            </w:r>
          </w:p>
        </w:tc>
        <w:tc>
          <w:tcPr>
            <w:tcW w:w="2855" w:type="dxa"/>
            <w:shd w:val="clear" w:color="auto" w:fill="auto"/>
            <w:vAlign w:val="center"/>
          </w:tcPr>
          <w:p w14:paraId="4CA85BC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52C96D0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2ECD5D4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28B21A3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2A6FB46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崇阳县发改局</w:t>
            </w:r>
          </w:p>
        </w:tc>
      </w:tr>
      <w:tr w14:paraId="3247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7ED3F9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29</w:t>
            </w:r>
          </w:p>
        </w:tc>
        <w:tc>
          <w:tcPr>
            <w:tcW w:w="1538" w:type="dxa"/>
            <w:shd w:val="clear" w:color="auto" w:fill="auto"/>
            <w:vAlign w:val="center"/>
          </w:tcPr>
          <w:p w14:paraId="3BE1B1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通山黄沙二期100MW风力发电项目</w:t>
            </w:r>
          </w:p>
        </w:tc>
        <w:tc>
          <w:tcPr>
            <w:tcW w:w="645" w:type="dxa"/>
            <w:shd w:val="clear" w:color="auto" w:fill="auto"/>
            <w:noWrap/>
            <w:vAlign w:val="center"/>
          </w:tcPr>
          <w:p w14:paraId="3B27E0C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625BB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61C9C53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7DE788F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已完成项目建议书、机位点选址踏勘、测风方案报告等。</w:t>
            </w:r>
          </w:p>
        </w:tc>
        <w:tc>
          <w:tcPr>
            <w:tcW w:w="711" w:type="dxa"/>
            <w:shd w:val="clear" w:color="auto" w:fill="auto"/>
            <w:vAlign w:val="center"/>
          </w:tcPr>
          <w:p w14:paraId="564812D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FA1EA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C27BA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06" w:type="dxa"/>
            <w:shd w:val="clear" w:color="auto" w:fill="auto"/>
            <w:vAlign w:val="center"/>
          </w:tcPr>
          <w:p w14:paraId="2FE6B9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067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D0CA3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30</w:t>
            </w:r>
          </w:p>
        </w:tc>
        <w:tc>
          <w:tcPr>
            <w:tcW w:w="1538" w:type="dxa"/>
            <w:shd w:val="clear" w:color="auto" w:fill="auto"/>
            <w:vAlign w:val="center"/>
          </w:tcPr>
          <w:p w14:paraId="465062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华能星泽通山县100MW风电项目</w:t>
            </w:r>
          </w:p>
        </w:tc>
        <w:tc>
          <w:tcPr>
            <w:tcW w:w="645" w:type="dxa"/>
            <w:shd w:val="clear" w:color="auto" w:fill="auto"/>
            <w:noWrap/>
            <w:vAlign w:val="center"/>
          </w:tcPr>
          <w:p w14:paraId="0731070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0DEB91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4EF2A6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2B4D0A9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正在编制可研报告，办理核准手续</w:t>
            </w:r>
          </w:p>
        </w:tc>
        <w:tc>
          <w:tcPr>
            <w:tcW w:w="711" w:type="dxa"/>
            <w:shd w:val="clear" w:color="auto" w:fill="auto"/>
            <w:noWrap/>
            <w:vAlign w:val="center"/>
          </w:tcPr>
          <w:p w14:paraId="0551B09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2CF68F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noWrap/>
            <w:vAlign w:val="center"/>
          </w:tcPr>
          <w:p w14:paraId="7A669B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1BF47B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华能（通山县）新能源科技有限公司</w:t>
            </w:r>
          </w:p>
        </w:tc>
      </w:tr>
      <w:tr w14:paraId="4CE2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3DAB6F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31</w:t>
            </w:r>
          </w:p>
        </w:tc>
        <w:tc>
          <w:tcPr>
            <w:tcW w:w="1538" w:type="dxa"/>
            <w:shd w:val="clear" w:color="auto" w:fill="auto"/>
            <w:vAlign w:val="center"/>
          </w:tcPr>
          <w:p w14:paraId="52A838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太平山50MW风电场项目</w:t>
            </w:r>
          </w:p>
        </w:tc>
        <w:tc>
          <w:tcPr>
            <w:tcW w:w="645" w:type="dxa"/>
            <w:shd w:val="clear" w:color="auto" w:fill="auto"/>
            <w:noWrap/>
            <w:vAlign w:val="center"/>
          </w:tcPr>
          <w:p w14:paraId="7C358A5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31CD2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67D14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拟建设50MW风力发电项目。</w:t>
            </w:r>
          </w:p>
        </w:tc>
        <w:tc>
          <w:tcPr>
            <w:tcW w:w="2855" w:type="dxa"/>
            <w:shd w:val="clear" w:color="auto" w:fill="auto"/>
            <w:vAlign w:val="center"/>
          </w:tcPr>
          <w:p w14:paraId="154798A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2018年由中广核完成项目核准、地质勘察，地形图测绘、可研报告等。</w:t>
            </w:r>
          </w:p>
        </w:tc>
        <w:tc>
          <w:tcPr>
            <w:tcW w:w="711" w:type="dxa"/>
            <w:shd w:val="clear" w:color="auto" w:fill="auto"/>
            <w:vAlign w:val="center"/>
          </w:tcPr>
          <w:p w14:paraId="125B748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F9F797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3E574B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3.5</w:t>
            </w:r>
          </w:p>
        </w:tc>
        <w:tc>
          <w:tcPr>
            <w:tcW w:w="1506" w:type="dxa"/>
            <w:shd w:val="clear" w:color="auto" w:fill="auto"/>
            <w:vAlign w:val="center"/>
          </w:tcPr>
          <w:p w14:paraId="19932F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6D49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6EBD4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32</w:t>
            </w:r>
          </w:p>
        </w:tc>
        <w:tc>
          <w:tcPr>
            <w:tcW w:w="1538" w:type="dxa"/>
            <w:shd w:val="clear" w:color="auto" w:fill="auto"/>
            <w:vAlign w:val="center"/>
          </w:tcPr>
          <w:p w14:paraId="5CC937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白岩山50MW风电场项目</w:t>
            </w:r>
          </w:p>
        </w:tc>
        <w:tc>
          <w:tcPr>
            <w:tcW w:w="645" w:type="dxa"/>
            <w:shd w:val="clear" w:color="auto" w:fill="auto"/>
            <w:noWrap/>
            <w:vAlign w:val="center"/>
          </w:tcPr>
          <w:p w14:paraId="508A442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9D98A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7427DB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拟建设50MW风力发电项目。</w:t>
            </w:r>
          </w:p>
        </w:tc>
        <w:tc>
          <w:tcPr>
            <w:tcW w:w="2855" w:type="dxa"/>
            <w:shd w:val="clear" w:color="auto" w:fill="auto"/>
            <w:vAlign w:val="center"/>
          </w:tcPr>
          <w:p w14:paraId="03AD379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2018年由中广核完成项目核准、地质勘察，地形图测绘、可研报告等。</w:t>
            </w:r>
          </w:p>
        </w:tc>
        <w:tc>
          <w:tcPr>
            <w:tcW w:w="711" w:type="dxa"/>
            <w:shd w:val="clear" w:color="auto" w:fill="auto"/>
            <w:vAlign w:val="center"/>
          </w:tcPr>
          <w:p w14:paraId="438ABA5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59D9CD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123F63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2.5</w:t>
            </w:r>
          </w:p>
        </w:tc>
        <w:tc>
          <w:tcPr>
            <w:tcW w:w="1506" w:type="dxa"/>
            <w:shd w:val="clear" w:color="auto" w:fill="auto"/>
            <w:vAlign w:val="center"/>
          </w:tcPr>
          <w:p w14:paraId="3CCB180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27C6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FDEEE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33</w:t>
            </w:r>
          </w:p>
        </w:tc>
        <w:tc>
          <w:tcPr>
            <w:tcW w:w="1538" w:type="dxa"/>
            <w:shd w:val="clear" w:color="auto" w:fill="auto"/>
            <w:vAlign w:val="center"/>
          </w:tcPr>
          <w:p w14:paraId="701F57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通山山界风电项目</w:t>
            </w:r>
          </w:p>
        </w:tc>
        <w:tc>
          <w:tcPr>
            <w:tcW w:w="645" w:type="dxa"/>
            <w:shd w:val="clear" w:color="auto" w:fill="auto"/>
            <w:noWrap/>
            <w:vAlign w:val="center"/>
          </w:tcPr>
          <w:p w14:paraId="49D7CFF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43923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2EB43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拟建设100MW风力发电项目。</w:t>
            </w:r>
          </w:p>
        </w:tc>
        <w:tc>
          <w:tcPr>
            <w:tcW w:w="2855" w:type="dxa"/>
            <w:shd w:val="clear" w:color="auto" w:fill="auto"/>
            <w:vAlign w:val="center"/>
          </w:tcPr>
          <w:p w14:paraId="48DF6B3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谋划项目</w:t>
            </w:r>
          </w:p>
        </w:tc>
        <w:tc>
          <w:tcPr>
            <w:tcW w:w="711" w:type="dxa"/>
            <w:shd w:val="clear" w:color="auto" w:fill="auto"/>
            <w:vAlign w:val="center"/>
          </w:tcPr>
          <w:p w14:paraId="1DFE83C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7585BB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5AC149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22987DA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待定</w:t>
            </w:r>
          </w:p>
        </w:tc>
      </w:tr>
      <w:tr w14:paraId="7A50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3178BF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光伏</w:t>
            </w:r>
          </w:p>
        </w:tc>
        <w:tc>
          <w:tcPr>
            <w:tcW w:w="3805" w:type="dxa"/>
            <w:shd w:val="clear" w:color="auto" w:fill="auto"/>
            <w:noWrap/>
            <w:vAlign w:val="center"/>
          </w:tcPr>
          <w:p w14:paraId="7E93DF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21个</w:t>
            </w:r>
          </w:p>
        </w:tc>
        <w:tc>
          <w:tcPr>
            <w:tcW w:w="2855" w:type="dxa"/>
            <w:shd w:val="clear" w:color="auto" w:fill="auto"/>
            <w:noWrap/>
            <w:vAlign w:val="center"/>
          </w:tcPr>
          <w:p w14:paraId="483EF45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0A4CE26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7C6024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2507EF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121.3</w:t>
            </w:r>
          </w:p>
        </w:tc>
        <w:tc>
          <w:tcPr>
            <w:tcW w:w="1506" w:type="dxa"/>
            <w:shd w:val="clear" w:color="auto" w:fill="auto"/>
            <w:noWrap/>
            <w:vAlign w:val="center"/>
          </w:tcPr>
          <w:p w14:paraId="2CA886C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0CFC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8D2488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34</w:t>
            </w:r>
          </w:p>
        </w:tc>
        <w:tc>
          <w:tcPr>
            <w:tcW w:w="1538" w:type="dxa"/>
            <w:shd w:val="clear" w:color="auto" w:fill="auto"/>
            <w:vAlign w:val="center"/>
          </w:tcPr>
          <w:p w14:paraId="173AB73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咸安横沟、高桥光伏发电项目</w:t>
            </w:r>
          </w:p>
        </w:tc>
        <w:tc>
          <w:tcPr>
            <w:tcW w:w="645" w:type="dxa"/>
            <w:shd w:val="clear" w:color="auto" w:fill="auto"/>
            <w:vAlign w:val="center"/>
          </w:tcPr>
          <w:p w14:paraId="78781C8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8E86D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7FECB0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拟建设400MW集中式光伏发电项目。</w:t>
            </w:r>
          </w:p>
        </w:tc>
        <w:tc>
          <w:tcPr>
            <w:tcW w:w="2855" w:type="dxa"/>
            <w:shd w:val="clear" w:color="auto" w:fill="auto"/>
            <w:vAlign w:val="center"/>
          </w:tcPr>
          <w:p w14:paraId="34560E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7460445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5ED452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AB834F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w:t>
            </w:r>
          </w:p>
        </w:tc>
        <w:tc>
          <w:tcPr>
            <w:tcW w:w="1506" w:type="dxa"/>
            <w:shd w:val="clear" w:color="auto" w:fill="auto"/>
            <w:vAlign w:val="center"/>
          </w:tcPr>
          <w:p w14:paraId="40F7AB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688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69B30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35</w:t>
            </w:r>
          </w:p>
        </w:tc>
        <w:tc>
          <w:tcPr>
            <w:tcW w:w="1538" w:type="dxa"/>
            <w:shd w:val="clear" w:color="auto" w:fill="auto"/>
            <w:vAlign w:val="center"/>
          </w:tcPr>
          <w:p w14:paraId="2B3B2E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华能星泽咸宁黄荆塘150MW渔光互补光伏项目（续建）</w:t>
            </w:r>
          </w:p>
        </w:tc>
        <w:tc>
          <w:tcPr>
            <w:tcW w:w="645" w:type="dxa"/>
            <w:shd w:val="clear" w:color="auto" w:fill="auto"/>
            <w:vAlign w:val="center"/>
          </w:tcPr>
          <w:p w14:paraId="515B41A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24E7C8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5691194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拟装机容量为150MW，拟建一座110kV升压站，拟采用渔光互补模式，配套建设50MW/100MWh独立储能电站，安装太阳能光伏组件及相关配套设施。</w:t>
            </w:r>
          </w:p>
        </w:tc>
        <w:tc>
          <w:tcPr>
            <w:tcW w:w="2855" w:type="dxa"/>
            <w:shd w:val="clear" w:color="auto" w:fill="auto"/>
            <w:vAlign w:val="center"/>
          </w:tcPr>
          <w:p w14:paraId="78637C4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vAlign w:val="center"/>
          </w:tcPr>
          <w:p w14:paraId="4A57ADC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2022</w:t>
            </w:r>
          </w:p>
        </w:tc>
        <w:tc>
          <w:tcPr>
            <w:tcW w:w="742" w:type="dxa"/>
            <w:shd w:val="clear" w:color="auto" w:fill="auto"/>
            <w:vAlign w:val="center"/>
          </w:tcPr>
          <w:p w14:paraId="35A370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FD24F0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8.5</w:t>
            </w:r>
          </w:p>
        </w:tc>
        <w:tc>
          <w:tcPr>
            <w:tcW w:w="1506" w:type="dxa"/>
            <w:shd w:val="clear" w:color="auto" w:fill="auto"/>
            <w:vAlign w:val="center"/>
          </w:tcPr>
          <w:p w14:paraId="271AD07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华能星泽（咸宁）新能源有限公司</w:t>
            </w:r>
          </w:p>
        </w:tc>
      </w:tr>
      <w:tr w14:paraId="675B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67A97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36</w:t>
            </w:r>
          </w:p>
        </w:tc>
        <w:tc>
          <w:tcPr>
            <w:tcW w:w="1538" w:type="dxa"/>
            <w:shd w:val="clear" w:color="auto" w:fill="auto"/>
            <w:vAlign w:val="center"/>
          </w:tcPr>
          <w:p w14:paraId="398276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咸安区整区推进分布式光伏发电项目</w:t>
            </w:r>
          </w:p>
        </w:tc>
        <w:tc>
          <w:tcPr>
            <w:tcW w:w="645" w:type="dxa"/>
            <w:shd w:val="clear" w:color="auto" w:fill="auto"/>
            <w:vAlign w:val="center"/>
          </w:tcPr>
          <w:p w14:paraId="25FC01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DE457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7849E94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整区推进，依托全区机关企事业单位屋顶建设150MW分布式光伏电站。</w:t>
            </w:r>
          </w:p>
        </w:tc>
        <w:tc>
          <w:tcPr>
            <w:tcW w:w="2855" w:type="dxa"/>
            <w:shd w:val="clear" w:color="auto" w:fill="auto"/>
            <w:vAlign w:val="center"/>
          </w:tcPr>
          <w:p w14:paraId="7909130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3462BB3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D6E2A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54B021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w:t>
            </w:r>
          </w:p>
        </w:tc>
        <w:tc>
          <w:tcPr>
            <w:tcW w:w="1506" w:type="dxa"/>
            <w:shd w:val="clear" w:color="auto" w:fill="auto"/>
            <w:vAlign w:val="center"/>
          </w:tcPr>
          <w:p w14:paraId="5C25DA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7A66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1A5349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37</w:t>
            </w:r>
          </w:p>
        </w:tc>
        <w:tc>
          <w:tcPr>
            <w:tcW w:w="1538" w:type="dxa"/>
            <w:shd w:val="clear" w:color="auto" w:fill="auto"/>
            <w:vAlign w:val="center"/>
          </w:tcPr>
          <w:p w14:paraId="48AFBA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陆溪镇5G智慧路灯项目</w:t>
            </w:r>
          </w:p>
        </w:tc>
        <w:tc>
          <w:tcPr>
            <w:tcW w:w="645" w:type="dxa"/>
            <w:shd w:val="clear" w:color="auto" w:fill="auto"/>
            <w:noWrap/>
            <w:vAlign w:val="center"/>
          </w:tcPr>
          <w:p w14:paraId="05066AF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C37E5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2D3279A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在陆</w:t>
            </w:r>
            <w:r>
              <w:rPr>
                <w:rFonts w:hint="default" w:ascii="Times New Roman" w:hAnsi="Times New Roman" w:cs="Times New Roman"/>
                <w:sz w:val="21"/>
                <w:szCs w:val="16"/>
                <w:lang w:val="en-US" w:eastAsia="zh-CN"/>
              </w:rPr>
              <w:t>溪镇道路旁，建设约4500根5G光风一体新能源智慧路灯，每根路灯杆高约12米，每根占地面积约1平方米。单个路灯式标准杆配套装机容量10kW的微风及光伏发电机组，所产电量供路灯照明，多余电量接入电网。项目总用地面积4500平方米。</w:t>
            </w:r>
          </w:p>
        </w:tc>
        <w:tc>
          <w:tcPr>
            <w:tcW w:w="2855" w:type="dxa"/>
            <w:shd w:val="clear" w:color="auto" w:fill="auto"/>
            <w:vAlign w:val="center"/>
          </w:tcPr>
          <w:p w14:paraId="45D2AF8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2025年7月23日与金盛兰签订了购电协议，目前正在向省能源局申请绿电证书，正在注册公司。</w:t>
            </w:r>
          </w:p>
        </w:tc>
        <w:tc>
          <w:tcPr>
            <w:tcW w:w="711" w:type="dxa"/>
            <w:shd w:val="clear" w:color="auto" w:fill="auto"/>
            <w:vAlign w:val="center"/>
          </w:tcPr>
          <w:p w14:paraId="6709959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7C5EF8E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933EC7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w:t>
            </w:r>
          </w:p>
        </w:tc>
        <w:tc>
          <w:tcPr>
            <w:tcW w:w="1506" w:type="dxa"/>
            <w:shd w:val="clear" w:color="auto" w:fill="auto"/>
            <w:vAlign w:val="center"/>
          </w:tcPr>
          <w:p w14:paraId="69EC7B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中应建新能源科技（湖北）有限公司</w:t>
            </w:r>
          </w:p>
        </w:tc>
      </w:tr>
      <w:tr w14:paraId="6B23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9A231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38</w:t>
            </w:r>
          </w:p>
        </w:tc>
        <w:tc>
          <w:tcPr>
            <w:tcW w:w="1538" w:type="dxa"/>
            <w:shd w:val="clear" w:color="auto" w:fill="auto"/>
            <w:vAlign w:val="center"/>
          </w:tcPr>
          <w:p w14:paraId="1DC3E37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柳山湖100MW复合光伏发电项目</w:t>
            </w:r>
          </w:p>
        </w:tc>
        <w:tc>
          <w:tcPr>
            <w:tcW w:w="645" w:type="dxa"/>
            <w:shd w:val="clear" w:color="auto" w:fill="auto"/>
            <w:vAlign w:val="center"/>
          </w:tcPr>
          <w:p w14:paraId="581A23C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179092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5AF0CF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利用赤壁市柳山湖镇坑塘水面和园地，新建华润赤壁柳山湖100MW复合光伏发电项目。</w:t>
            </w:r>
          </w:p>
        </w:tc>
        <w:tc>
          <w:tcPr>
            <w:tcW w:w="2855" w:type="dxa"/>
            <w:shd w:val="clear" w:color="auto" w:fill="auto"/>
            <w:vAlign w:val="center"/>
          </w:tcPr>
          <w:p w14:paraId="1C9C80A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正在开展光伏用地限制性因素筛查</w:t>
            </w:r>
          </w:p>
        </w:tc>
        <w:tc>
          <w:tcPr>
            <w:tcW w:w="711" w:type="dxa"/>
            <w:shd w:val="clear" w:color="auto" w:fill="auto"/>
            <w:vAlign w:val="center"/>
          </w:tcPr>
          <w:p w14:paraId="7DEE316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792A7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30C0D8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w:t>
            </w:r>
          </w:p>
        </w:tc>
        <w:tc>
          <w:tcPr>
            <w:tcW w:w="1506" w:type="dxa"/>
            <w:shd w:val="clear" w:color="auto" w:fill="auto"/>
            <w:vAlign w:val="center"/>
          </w:tcPr>
          <w:p w14:paraId="430275E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02A5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F463A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39</w:t>
            </w:r>
          </w:p>
        </w:tc>
        <w:tc>
          <w:tcPr>
            <w:tcW w:w="1538" w:type="dxa"/>
            <w:shd w:val="clear" w:color="auto" w:fill="auto"/>
            <w:vAlign w:val="center"/>
          </w:tcPr>
          <w:p w14:paraId="625AFB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公共机构屋顶分布式光伏项目</w:t>
            </w:r>
          </w:p>
        </w:tc>
        <w:tc>
          <w:tcPr>
            <w:tcW w:w="645" w:type="dxa"/>
            <w:shd w:val="clear" w:color="auto" w:fill="auto"/>
            <w:vAlign w:val="center"/>
          </w:tcPr>
          <w:p w14:paraId="0CD5E3B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4896B9A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5BBE32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利用赤壁市党政机关、医院、学校和体育馆等公共机构及其附属场所建设屋顶分布式光伏，配套建设充电桩，降低公共机构的用电成本。</w:t>
            </w:r>
          </w:p>
        </w:tc>
        <w:tc>
          <w:tcPr>
            <w:tcW w:w="2855" w:type="dxa"/>
            <w:shd w:val="clear" w:color="auto" w:fill="auto"/>
            <w:vAlign w:val="center"/>
          </w:tcPr>
          <w:p w14:paraId="1AE3654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29AE072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731AF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06A8E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1506" w:type="dxa"/>
            <w:shd w:val="clear" w:color="auto" w:fill="auto"/>
            <w:vAlign w:val="center"/>
          </w:tcPr>
          <w:p w14:paraId="7069AA7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赤壁城发智慧停车运营管理有限公司</w:t>
            </w:r>
          </w:p>
        </w:tc>
      </w:tr>
      <w:tr w14:paraId="193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4164D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40</w:t>
            </w:r>
          </w:p>
        </w:tc>
        <w:tc>
          <w:tcPr>
            <w:tcW w:w="1538" w:type="dxa"/>
            <w:shd w:val="clear" w:color="auto" w:fill="auto"/>
            <w:vAlign w:val="center"/>
          </w:tcPr>
          <w:p w14:paraId="47053A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通城县工业园区厂房屋顶光伏50兆瓦项目</w:t>
            </w:r>
          </w:p>
        </w:tc>
        <w:tc>
          <w:tcPr>
            <w:tcW w:w="645" w:type="dxa"/>
            <w:shd w:val="clear" w:color="auto" w:fill="auto"/>
            <w:vAlign w:val="center"/>
          </w:tcPr>
          <w:p w14:paraId="1B47B2C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2901A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13BD3B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利用坪山工业园区、研磨产业园、药姑山产业园、关刀工业园、宝塔光电信息产业园等园区厂房屋顶建设50MW光伏自发自用项目，余电上网，项目计划总投资5.8亿元。</w:t>
            </w:r>
          </w:p>
        </w:tc>
        <w:tc>
          <w:tcPr>
            <w:tcW w:w="2855" w:type="dxa"/>
            <w:shd w:val="clear" w:color="auto" w:fill="auto"/>
            <w:vAlign w:val="center"/>
          </w:tcPr>
          <w:p w14:paraId="60DC39A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w:t>
            </w:r>
          </w:p>
        </w:tc>
        <w:tc>
          <w:tcPr>
            <w:tcW w:w="711" w:type="dxa"/>
            <w:shd w:val="clear" w:color="auto" w:fill="auto"/>
            <w:vAlign w:val="center"/>
          </w:tcPr>
          <w:p w14:paraId="00B59C5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50E618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15E86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5.8</w:t>
            </w:r>
          </w:p>
        </w:tc>
        <w:tc>
          <w:tcPr>
            <w:tcW w:w="1506" w:type="dxa"/>
            <w:shd w:val="clear" w:color="auto" w:fill="auto"/>
            <w:vAlign w:val="center"/>
          </w:tcPr>
          <w:p w14:paraId="3FDE97C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县经开投集团</w:t>
            </w:r>
          </w:p>
        </w:tc>
      </w:tr>
      <w:tr w14:paraId="56AD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C51AA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41</w:t>
            </w:r>
          </w:p>
        </w:tc>
        <w:tc>
          <w:tcPr>
            <w:tcW w:w="1538" w:type="dxa"/>
            <w:shd w:val="clear" w:color="auto" w:fill="auto"/>
            <w:vAlign w:val="center"/>
          </w:tcPr>
          <w:p w14:paraId="4F68E79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崇阳石城300MW复合光伏电站项目</w:t>
            </w:r>
          </w:p>
        </w:tc>
        <w:tc>
          <w:tcPr>
            <w:tcW w:w="645" w:type="dxa"/>
            <w:shd w:val="clear" w:color="auto" w:fill="auto"/>
            <w:vAlign w:val="center"/>
          </w:tcPr>
          <w:p w14:paraId="1E5709D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34CFD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F6E03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125730</wp:posOffset>
                  </wp:positionH>
                  <wp:positionV relativeFrom="paragraph">
                    <wp:posOffset>0</wp:posOffset>
                  </wp:positionV>
                  <wp:extent cx="86360" cy="267970"/>
                  <wp:effectExtent l="0" t="0" r="0" b="0"/>
                  <wp:wrapNone/>
                  <wp:docPr id="554" name="Picture_7_SpCnt_35"/>
                  <wp:cNvGraphicFramePr/>
                  <a:graphic xmlns:a="http://schemas.openxmlformats.org/drawingml/2006/main">
                    <a:graphicData uri="http://schemas.openxmlformats.org/drawingml/2006/picture">
                      <pic:pic xmlns:pic="http://schemas.openxmlformats.org/drawingml/2006/picture">
                        <pic:nvPicPr>
                          <pic:cNvPr id="554" name="Picture_7_SpCnt_35"/>
                          <pic:cNvPicPr/>
                        </pic:nvPicPr>
                        <pic:blipFill>
                          <a:blip r:embed="rId85"/>
                          <a:stretch>
                            <a:fillRect/>
                          </a:stretch>
                        </pic:blipFill>
                        <pic:spPr>
                          <a:xfrm>
                            <a:off x="0" y="0"/>
                            <a:ext cx="86360" cy="267970"/>
                          </a:xfrm>
                          <a:prstGeom prst="rect">
                            <a:avLst/>
                          </a:prstGeom>
                          <a:noFill/>
                          <a:ln>
                            <a:noFill/>
                          </a:ln>
                        </pic:spPr>
                      </pic:pic>
                    </a:graphicData>
                  </a:graphic>
                </wp:anchor>
              </w:drawing>
            </w:r>
            <w:r>
              <w:rPr>
                <w:rFonts w:hint="default" w:ascii="Times New Roman" w:hAnsi="Times New Roman" w:cs="Times New Roman"/>
                <w:sz w:val="21"/>
                <w:szCs w:val="16"/>
                <w:lang w:val="en-US" w:eastAsia="zh-CN"/>
              </w:rPr>
              <w:t>利用鱼塘等资源新建一座300MW光伏电站，配套建设相关设备设施。</w:t>
            </w:r>
          </w:p>
        </w:tc>
        <w:tc>
          <w:tcPr>
            <w:tcW w:w="2855" w:type="dxa"/>
            <w:shd w:val="clear" w:color="auto" w:fill="auto"/>
            <w:vAlign w:val="center"/>
          </w:tcPr>
          <w:p w14:paraId="1361C4A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7D5BEB8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78E987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646F6D2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vAlign w:val="center"/>
          </w:tcPr>
          <w:p w14:paraId="696506B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1532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D4E9A4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42</w:t>
            </w:r>
          </w:p>
        </w:tc>
        <w:tc>
          <w:tcPr>
            <w:tcW w:w="1538" w:type="dxa"/>
            <w:shd w:val="clear" w:color="auto" w:fill="auto"/>
            <w:vAlign w:val="center"/>
          </w:tcPr>
          <w:p w14:paraId="2D6EBD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崇阳港口畈上200MW光伏发电项目</w:t>
            </w:r>
          </w:p>
        </w:tc>
        <w:tc>
          <w:tcPr>
            <w:tcW w:w="645" w:type="dxa"/>
            <w:shd w:val="clear" w:color="auto" w:fill="auto"/>
            <w:vAlign w:val="center"/>
          </w:tcPr>
          <w:p w14:paraId="3E00BAA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8DB98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E0139D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新建一座200MW光伏电站，配套建设相关设备设施</w:t>
            </w:r>
          </w:p>
        </w:tc>
        <w:tc>
          <w:tcPr>
            <w:tcW w:w="2855" w:type="dxa"/>
            <w:shd w:val="clear" w:color="auto" w:fill="auto"/>
            <w:vAlign w:val="center"/>
          </w:tcPr>
          <w:p w14:paraId="0BA16F5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220E84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9B901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4C7A65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3591103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2707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25D47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43</w:t>
            </w:r>
          </w:p>
        </w:tc>
        <w:tc>
          <w:tcPr>
            <w:tcW w:w="1538" w:type="dxa"/>
            <w:shd w:val="clear" w:color="auto" w:fill="auto"/>
            <w:vAlign w:val="center"/>
          </w:tcPr>
          <w:p w14:paraId="03EF895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崇阳路口200MW复合光伏发电项目</w:t>
            </w:r>
          </w:p>
        </w:tc>
        <w:tc>
          <w:tcPr>
            <w:tcW w:w="645" w:type="dxa"/>
            <w:shd w:val="clear" w:color="auto" w:fill="auto"/>
            <w:vAlign w:val="center"/>
          </w:tcPr>
          <w:p w14:paraId="788B9E2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CECCDE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000EE7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新建一座200MW光伏电站，配套建设相关设备设施</w:t>
            </w:r>
          </w:p>
        </w:tc>
        <w:tc>
          <w:tcPr>
            <w:tcW w:w="2855" w:type="dxa"/>
            <w:shd w:val="clear" w:color="auto" w:fill="auto"/>
            <w:vAlign w:val="center"/>
          </w:tcPr>
          <w:p w14:paraId="681175C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01F03F4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6C970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3686977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w:t>
            </w:r>
          </w:p>
        </w:tc>
        <w:tc>
          <w:tcPr>
            <w:tcW w:w="1506" w:type="dxa"/>
            <w:shd w:val="clear" w:color="auto" w:fill="auto"/>
            <w:vAlign w:val="center"/>
          </w:tcPr>
          <w:p w14:paraId="09D961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5520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B8281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44</w:t>
            </w:r>
          </w:p>
        </w:tc>
        <w:tc>
          <w:tcPr>
            <w:tcW w:w="1538" w:type="dxa"/>
            <w:shd w:val="clear" w:color="auto" w:fill="auto"/>
            <w:vAlign w:val="center"/>
          </w:tcPr>
          <w:p w14:paraId="2A31DF2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崇阳沙墩100MW复合光伏发电项目</w:t>
            </w:r>
          </w:p>
        </w:tc>
        <w:tc>
          <w:tcPr>
            <w:tcW w:w="645" w:type="dxa"/>
            <w:shd w:val="clear" w:color="auto" w:fill="auto"/>
            <w:vAlign w:val="center"/>
          </w:tcPr>
          <w:p w14:paraId="13AAF34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DCED3D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F25A8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新建一座100MW光伏电站，配套建设相关设备设施。</w:t>
            </w:r>
          </w:p>
        </w:tc>
        <w:tc>
          <w:tcPr>
            <w:tcW w:w="2855" w:type="dxa"/>
            <w:shd w:val="clear" w:color="auto" w:fill="auto"/>
            <w:vAlign w:val="center"/>
          </w:tcPr>
          <w:p w14:paraId="1AE6FE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4A4DFF5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40B0644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2041F9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4.5</w:t>
            </w:r>
          </w:p>
        </w:tc>
        <w:tc>
          <w:tcPr>
            <w:tcW w:w="1506" w:type="dxa"/>
            <w:shd w:val="clear" w:color="auto" w:fill="auto"/>
            <w:vAlign w:val="center"/>
          </w:tcPr>
          <w:p w14:paraId="074848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5548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D30E71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45</w:t>
            </w:r>
          </w:p>
        </w:tc>
        <w:tc>
          <w:tcPr>
            <w:tcW w:w="1538" w:type="dxa"/>
            <w:shd w:val="clear" w:color="auto" w:fill="auto"/>
            <w:vAlign w:val="center"/>
          </w:tcPr>
          <w:p w14:paraId="72A1FF1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崇阳金塘界上100MW光伏发电项目</w:t>
            </w:r>
          </w:p>
        </w:tc>
        <w:tc>
          <w:tcPr>
            <w:tcW w:w="645" w:type="dxa"/>
            <w:shd w:val="clear" w:color="auto" w:fill="auto"/>
            <w:vAlign w:val="center"/>
          </w:tcPr>
          <w:p w14:paraId="1383253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BFD3A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E53E6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新建一座100MW光伏电站，配套建设相关设备设施。</w:t>
            </w:r>
          </w:p>
        </w:tc>
        <w:tc>
          <w:tcPr>
            <w:tcW w:w="2855" w:type="dxa"/>
            <w:shd w:val="clear" w:color="auto" w:fill="auto"/>
            <w:vAlign w:val="center"/>
          </w:tcPr>
          <w:p w14:paraId="31650CB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306B831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5DF886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C0E62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06" w:type="dxa"/>
            <w:shd w:val="clear" w:color="auto" w:fill="auto"/>
            <w:vAlign w:val="center"/>
          </w:tcPr>
          <w:p w14:paraId="3C74E16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04E1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C860A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46</w:t>
            </w:r>
          </w:p>
        </w:tc>
        <w:tc>
          <w:tcPr>
            <w:tcW w:w="1538" w:type="dxa"/>
            <w:shd w:val="clear" w:color="auto" w:fill="auto"/>
            <w:vAlign w:val="center"/>
          </w:tcPr>
          <w:p w14:paraId="485476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崇阳白霓30MW光伏发电项目</w:t>
            </w:r>
          </w:p>
        </w:tc>
        <w:tc>
          <w:tcPr>
            <w:tcW w:w="645" w:type="dxa"/>
            <w:shd w:val="clear" w:color="auto" w:fill="auto"/>
            <w:vAlign w:val="center"/>
          </w:tcPr>
          <w:p w14:paraId="20A7986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3A84D2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2585D0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装机容量为30MW；安装太阳能光伏板49586块；配套建设升压站、箱变、逆变器等相关设备。</w:t>
            </w:r>
          </w:p>
        </w:tc>
        <w:tc>
          <w:tcPr>
            <w:tcW w:w="2855" w:type="dxa"/>
            <w:shd w:val="clear" w:color="auto" w:fill="auto"/>
            <w:vAlign w:val="center"/>
          </w:tcPr>
          <w:p w14:paraId="33E49CC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2F1D431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09795EC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653037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1.4</w:t>
            </w:r>
          </w:p>
        </w:tc>
        <w:tc>
          <w:tcPr>
            <w:tcW w:w="1506" w:type="dxa"/>
            <w:shd w:val="clear" w:color="auto" w:fill="auto"/>
            <w:vAlign w:val="center"/>
          </w:tcPr>
          <w:p w14:paraId="3D3E088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5963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552AB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47</w:t>
            </w:r>
          </w:p>
        </w:tc>
        <w:tc>
          <w:tcPr>
            <w:tcW w:w="1538" w:type="dxa"/>
            <w:shd w:val="clear" w:color="auto" w:fill="auto"/>
            <w:vAlign w:val="center"/>
          </w:tcPr>
          <w:p w14:paraId="5DFA1F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崇阳沙坪95MW光伏发电项目</w:t>
            </w:r>
          </w:p>
        </w:tc>
        <w:tc>
          <w:tcPr>
            <w:tcW w:w="645" w:type="dxa"/>
            <w:shd w:val="clear" w:color="auto" w:fill="auto"/>
            <w:vAlign w:val="center"/>
          </w:tcPr>
          <w:p w14:paraId="170E437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49EDA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1F42AD9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装机容量为95MW；安装太阳能光伏板157032块；配套建设升压站、箱变、逆变器等相关设备。</w:t>
            </w:r>
          </w:p>
        </w:tc>
        <w:tc>
          <w:tcPr>
            <w:tcW w:w="2855" w:type="dxa"/>
            <w:shd w:val="clear" w:color="auto" w:fill="auto"/>
            <w:vAlign w:val="center"/>
          </w:tcPr>
          <w:p w14:paraId="51E11A6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12F4F70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709CA8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263C7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4.4</w:t>
            </w:r>
          </w:p>
        </w:tc>
        <w:tc>
          <w:tcPr>
            <w:tcW w:w="1506" w:type="dxa"/>
            <w:shd w:val="clear" w:color="auto" w:fill="auto"/>
            <w:vAlign w:val="center"/>
          </w:tcPr>
          <w:p w14:paraId="072532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待定</w:t>
            </w:r>
          </w:p>
        </w:tc>
      </w:tr>
      <w:tr w14:paraId="4CBF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5C31CB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48</w:t>
            </w:r>
          </w:p>
        </w:tc>
        <w:tc>
          <w:tcPr>
            <w:tcW w:w="1538" w:type="dxa"/>
            <w:shd w:val="clear" w:color="auto" w:fill="auto"/>
            <w:vAlign w:val="center"/>
          </w:tcPr>
          <w:p w14:paraId="1653B1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崇阳青鲟科技25MW屋顶光伏发电项目</w:t>
            </w:r>
          </w:p>
        </w:tc>
        <w:tc>
          <w:tcPr>
            <w:tcW w:w="645" w:type="dxa"/>
            <w:shd w:val="clear" w:color="auto" w:fill="auto"/>
            <w:vAlign w:val="center"/>
          </w:tcPr>
          <w:p w14:paraId="3C3F5BA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C2330D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D1B94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利用青鲟科技厂房建设装机规模25MW的工商业屋顶光伏电站。</w:t>
            </w:r>
          </w:p>
        </w:tc>
        <w:tc>
          <w:tcPr>
            <w:tcW w:w="2855" w:type="dxa"/>
            <w:shd w:val="clear" w:color="auto" w:fill="auto"/>
            <w:vAlign w:val="center"/>
          </w:tcPr>
          <w:p w14:paraId="1F7FF8E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7EB4D37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797274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08E9E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w:t>
            </w:r>
          </w:p>
        </w:tc>
        <w:tc>
          <w:tcPr>
            <w:tcW w:w="1506" w:type="dxa"/>
            <w:shd w:val="clear" w:color="auto" w:fill="auto"/>
            <w:vAlign w:val="center"/>
          </w:tcPr>
          <w:p w14:paraId="65169C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青鲟科技有限公司</w:t>
            </w:r>
          </w:p>
        </w:tc>
      </w:tr>
      <w:tr w14:paraId="0D22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52EF8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49</w:t>
            </w:r>
          </w:p>
        </w:tc>
        <w:tc>
          <w:tcPr>
            <w:tcW w:w="1538" w:type="dxa"/>
            <w:shd w:val="clear" w:color="auto" w:fill="auto"/>
            <w:vAlign w:val="center"/>
          </w:tcPr>
          <w:p w14:paraId="242C8D7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中广核黄沙200MW光伏发电项目（一期100MW）及配套建设198MW/396MWh集中式储能电站</w:t>
            </w:r>
          </w:p>
        </w:tc>
        <w:tc>
          <w:tcPr>
            <w:tcW w:w="645" w:type="dxa"/>
            <w:shd w:val="clear" w:color="auto" w:fill="auto"/>
            <w:vAlign w:val="center"/>
          </w:tcPr>
          <w:p w14:paraId="4335278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722E0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1D9215F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中广核黄沙200MW光伏发电项目（一期100MW）位于通山县黄沙铺镇孟垅村。项目新建1座220kV升压站及上网线路，配套建设198MW/396MWh集中式储能电站。</w:t>
            </w:r>
          </w:p>
        </w:tc>
        <w:tc>
          <w:tcPr>
            <w:tcW w:w="2855" w:type="dxa"/>
            <w:shd w:val="clear" w:color="auto" w:fill="auto"/>
            <w:vAlign w:val="center"/>
          </w:tcPr>
          <w:p w14:paraId="071ECC0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已完成可研报告、接入系统报告、项目备案，取得省能源局新能源项目建设指标和接入咨询意见。</w:t>
            </w:r>
          </w:p>
        </w:tc>
        <w:tc>
          <w:tcPr>
            <w:tcW w:w="711" w:type="dxa"/>
            <w:shd w:val="clear" w:color="auto" w:fill="auto"/>
            <w:vAlign w:val="center"/>
          </w:tcPr>
          <w:p w14:paraId="724BDC3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3F1F4A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31D73A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w:t>
            </w:r>
          </w:p>
        </w:tc>
        <w:tc>
          <w:tcPr>
            <w:tcW w:w="1506" w:type="dxa"/>
            <w:shd w:val="clear" w:color="auto" w:fill="auto"/>
            <w:vAlign w:val="center"/>
          </w:tcPr>
          <w:p w14:paraId="21D77A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42B6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B21417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50</w:t>
            </w:r>
          </w:p>
        </w:tc>
        <w:tc>
          <w:tcPr>
            <w:tcW w:w="1538" w:type="dxa"/>
            <w:shd w:val="clear" w:color="auto" w:fill="auto"/>
            <w:vAlign w:val="center"/>
          </w:tcPr>
          <w:p w14:paraId="7EC2044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通山慈口200MW光伏项目</w:t>
            </w:r>
          </w:p>
        </w:tc>
        <w:tc>
          <w:tcPr>
            <w:tcW w:w="645" w:type="dxa"/>
            <w:shd w:val="clear" w:color="auto" w:fill="auto"/>
            <w:vAlign w:val="center"/>
          </w:tcPr>
          <w:p w14:paraId="7A2948F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649741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211CFC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中广核通山慈口光伏项目拟装机200MW。</w:t>
            </w:r>
          </w:p>
        </w:tc>
        <w:tc>
          <w:tcPr>
            <w:tcW w:w="2855" w:type="dxa"/>
            <w:shd w:val="clear" w:color="auto" w:fill="auto"/>
            <w:vAlign w:val="center"/>
          </w:tcPr>
          <w:p w14:paraId="2052A4C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目前已完成土地协议签订和项目备案。</w:t>
            </w:r>
          </w:p>
        </w:tc>
        <w:tc>
          <w:tcPr>
            <w:tcW w:w="711" w:type="dxa"/>
            <w:shd w:val="clear" w:color="auto" w:fill="auto"/>
            <w:vAlign w:val="center"/>
          </w:tcPr>
          <w:p w14:paraId="543FF16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5924FF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6D1DFEA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w:t>
            </w:r>
          </w:p>
        </w:tc>
        <w:tc>
          <w:tcPr>
            <w:tcW w:w="1506" w:type="dxa"/>
            <w:shd w:val="clear" w:color="auto" w:fill="auto"/>
            <w:vAlign w:val="center"/>
          </w:tcPr>
          <w:p w14:paraId="713D636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3ED8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0F5FF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51</w:t>
            </w:r>
          </w:p>
        </w:tc>
        <w:tc>
          <w:tcPr>
            <w:tcW w:w="1538" w:type="dxa"/>
            <w:shd w:val="clear" w:color="auto" w:fill="auto"/>
            <w:vAlign w:val="center"/>
          </w:tcPr>
          <w:p w14:paraId="3FBB535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通山闯王100MW光伏项目新能源项目</w:t>
            </w:r>
          </w:p>
        </w:tc>
        <w:tc>
          <w:tcPr>
            <w:tcW w:w="645" w:type="dxa"/>
            <w:shd w:val="clear" w:color="auto" w:fill="auto"/>
            <w:vAlign w:val="center"/>
          </w:tcPr>
          <w:p w14:paraId="5F943BD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7284A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CE4A2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通山闯王光伏项目拟装机100MW，该项目位于湖北省咸宁市通山县闯王镇刘家岭村、汪家畈村，场址利用其他草地进行项目开发，拟占用土地2000余亩。</w:t>
            </w:r>
          </w:p>
        </w:tc>
        <w:tc>
          <w:tcPr>
            <w:tcW w:w="2855" w:type="dxa"/>
            <w:shd w:val="clear" w:color="auto" w:fill="auto"/>
            <w:vAlign w:val="center"/>
          </w:tcPr>
          <w:p w14:paraId="5015644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手续办理情况：完成项目备案、土地协议签订，县政府投资合作协议签订，取得国土、林业、环保、水利、人武、交通、农业和文旅局的支持性意见。</w:t>
            </w:r>
          </w:p>
        </w:tc>
        <w:tc>
          <w:tcPr>
            <w:tcW w:w="711" w:type="dxa"/>
            <w:shd w:val="clear" w:color="auto" w:fill="auto"/>
            <w:vAlign w:val="center"/>
          </w:tcPr>
          <w:p w14:paraId="710E8D9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964F13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2097899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3.5</w:t>
            </w:r>
          </w:p>
        </w:tc>
        <w:tc>
          <w:tcPr>
            <w:tcW w:w="1506" w:type="dxa"/>
            <w:shd w:val="clear" w:color="auto" w:fill="auto"/>
            <w:vAlign w:val="center"/>
          </w:tcPr>
          <w:p w14:paraId="3B11D7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中广核湖北通山风力发电有限公司</w:t>
            </w:r>
          </w:p>
        </w:tc>
      </w:tr>
      <w:tr w14:paraId="4177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51A90A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52</w:t>
            </w:r>
          </w:p>
        </w:tc>
        <w:tc>
          <w:tcPr>
            <w:tcW w:w="1538" w:type="dxa"/>
            <w:shd w:val="clear" w:color="auto" w:fill="auto"/>
            <w:vAlign w:val="center"/>
          </w:tcPr>
          <w:p w14:paraId="2E09D0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北控湖北通山杨芳林100MWp农光互补项目</w:t>
            </w:r>
          </w:p>
        </w:tc>
        <w:tc>
          <w:tcPr>
            <w:tcW w:w="645" w:type="dxa"/>
            <w:shd w:val="clear" w:color="auto" w:fill="auto"/>
            <w:vAlign w:val="center"/>
          </w:tcPr>
          <w:p w14:paraId="250D904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40904DA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12DAA27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项目总装机10万千瓦。</w:t>
            </w:r>
          </w:p>
        </w:tc>
        <w:tc>
          <w:tcPr>
            <w:tcW w:w="2855" w:type="dxa"/>
            <w:vMerge w:val="restart"/>
            <w:shd w:val="clear" w:color="auto" w:fill="auto"/>
            <w:vAlign w:val="center"/>
          </w:tcPr>
          <w:p w14:paraId="2ED5EA8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装机规模205MW，配套建设60MW/120MWh化学储能电站，于2021年10月16日纳规，2021年底开工，2023年11月，受国家环境部长江流域督察局指出项目位于寺口水库饮用水源地二级保护区，存在潜在环境影响，要求停工整改。当前需重点解决环保合规性问题，确保整改方案通过审查并实现复工。</w:t>
            </w:r>
          </w:p>
        </w:tc>
        <w:tc>
          <w:tcPr>
            <w:tcW w:w="711" w:type="dxa"/>
            <w:shd w:val="clear" w:color="auto" w:fill="auto"/>
            <w:vAlign w:val="center"/>
          </w:tcPr>
          <w:p w14:paraId="0DF82F4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2021</w:t>
            </w:r>
          </w:p>
        </w:tc>
        <w:tc>
          <w:tcPr>
            <w:tcW w:w="742" w:type="dxa"/>
            <w:shd w:val="clear" w:color="auto" w:fill="auto"/>
            <w:vAlign w:val="center"/>
          </w:tcPr>
          <w:p w14:paraId="22160AC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635B402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60D69F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通山北控光伏科技有限公司</w:t>
            </w:r>
          </w:p>
        </w:tc>
      </w:tr>
      <w:tr w14:paraId="2E3C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F1045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53</w:t>
            </w:r>
          </w:p>
        </w:tc>
        <w:tc>
          <w:tcPr>
            <w:tcW w:w="1538" w:type="dxa"/>
            <w:shd w:val="clear" w:color="auto" w:fill="auto"/>
            <w:vAlign w:val="center"/>
          </w:tcPr>
          <w:p w14:paraId="54965D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北控湖北通山晓泉105MWp农光互补项目</w:t>
            </w:r>
          </w:p>
        </w:tc>
        <w:tc>
          <w:tcPr>
            <w:tcW w:w="645" w:type="dxa"/>
            <w:shd w:val="clear" w:color="auto" w:fill="auto"/>
            <w:vAlign w:val="center"/>
          </w:tcPr>
          <w:p w14:paraId="6867E62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7ADFACC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2BEF042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165" cy="260985"/>
                  <wp:effectExtent l="0" t="0" r="0" b="0"/>
                  <wp:wrapNone/>
                  <wp:docPr id="558" name="Picture_113"/>
                  <wp:cNvGraphicFramePr/>
                  <a:graphic xmlns:a="http://schemas.openxmlformats.org/drawingml/2006/main">
                    <a:graphicData uri="http://schemas.openxmlformats.org/drawingml/2006/picture">
                      <pic:pic xmlns:pic="http://schemas.openxmlformats.org/drawingml/2006/picture">
                        <pic:nvPicPr>
                          <pic:cNvPr id="558" name="Picture_113"/>
                          <pic:cNvPicPr/>
                        </pic:nvPicPr>
                        <pic:blipFill>
                          <a:blip r:embed="rId86"/>
                          <a:stretch>
                            <a:fillRect/>
                          </a:stretch>
                        </pic:blipFill>
                        <pic:spPr>
                          <a:xfrm>
                            <a:off x="0" y="0"/>
                            <a:ext cx="304165" cy="260985"/>
                          </a:xfrm>
                          <a:prstGeom prst="rect">
                            <a:avLst/>
                          </a:prstGeom>
                          <a:noFill/>
                          <a:ln>
                            <a:noFill/>
                          </a:ln>
                        </pic:spPr>
                      </pic:pic>
                    </a:graphicData>
                  </a:graphic>
                </wp:anchor>
              </w:drawing>
            </w: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165" cy="177800"/>
                  <wp:effectExtent l="0" t="0" r="0" b="0"/>
                  <wp:wrapNone/>
                  <wp:docPr id="555" name="Picture_113_SpCnt_1"/>
                  <wp:cNvGraphicFramePr/>
                  <a:graphic xmlns:a="http://schemas.openxmlformats.org/drawingml/2006/main">
                    <a:graphicData uri="http://schemas.openxmlformats.org/drawingml/2006/picture">
                      <pic:pic xmlns:pic="http://schemas.openxmlformats.org/drawingml/2006/picture">
                        <pic:nvPicPr>
                          <pic:cNvPr id="555" name="Picture_113_SpCnt_1"/>
                          <pic:cNvPicPr/>
                        </pic:nvPicPr>
                        <pic:blipFill>
                          <a:blip r:embed="rId87"/>
                          <a:stretch>
                            <a:fillRect/>
                          </a:stretch>
                        </pic:blipFill>
                        <pic:spPr>
                          <a:xfrm>
                            <a:off x="0" y="0"/>
                            <a:ext cx="304165" cy="177800"/>
                          </a:xfrm>
                          <a:prstGeom prst="rect">
                            <a:avLst/>
                          </a:prstGeom>
                          <a:noFill/>
                          <a:ln>
                            <a:noFill/>
                          </a:ln>
                        </pic:spPr>
                      </pic:pic>
                    </a:graphicData>
                  </a:graphic>
                </wp:anchor>
              </w:drawing>
            </w:r>
            <w:r>
              <w:rPr>
                <w:rFonts w:hint="default" w:ascii="Times New Roman" w:hAnsi="Times New Roman" w:cs="Times New Roman"/>
                <w:sz w:val="21"/>
                <w:szCs w:val="16"/>
                <w:lang w:val="en-US" w:eastAsia="zh-CN"/>
              </w:rPr>
              <w:t>项目总装机10.5万千瓦。</w:t>
            </w:r>
          </w:p>
        </w:tc>
        <w:tc>
          <w:tcPr>
            <w:tcW w:w="2855" w:type="dxa"/>
            <w:vMerge w:val="continue"/>
            <w:shd w:val="clear" w:color="auto" w:fill="auto"/>
            <w:vAlign w:val="center"/>
          </w:tcPr>
          <w:p w14:paraId="79D0B27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vAlign w:val="center"/>
          </w:tcPr>
          <w:p w14:paraId="44F0C5B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2021</w:t>
            </w:r>
          </w:p>
        </w:tc>
        <w:tc>
          <w:tcPr>
            <w:tcW w:w="742" w:type="dxa"/>
            <w:shd w:val="clear" w:color="auto" w:fill="auto"/>
            <w:vAlign w:val="center"/>
          </w:tcPr>
          <w:p w14:paraId="5F5CC0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5ABBDA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0BECE6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通山北控光伏科技有限公司</w:t>
            </w:r>
          </w:p>
        </w:tc>
      </w:tr>
      <w:tr w14:paraId="009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11498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54</w:t>
            </w:r>
          </w:p>
        </w:tc>
        <w:tc>
          <w:tcPr>
            <w:tcW w:w="1538" w:type="dxa"/>
            <w:shd w:val="clear" w:color="auto" w:fill="auto"/>
            <w:vAlign w:val="center"/>
          </w:tcPr>
          <w:p w14:paraId="22A930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通山县整县屋顶分布式光伏项目</w:t>
            </w:r>
          </w:p>
        </w:tc>
        <w:tc>
          <w:tcPr>
            <w:tcW w:w="645" w:type="dxa"/>
            <w:shd w:val="clear" w:color="auto" w:fill="auto"/>
            <w:vAlign w:val="center"/>
          </w:tcPr>
          <w:p w14:paraId="458FBEF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D5C30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429D7A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利用党政机关、学校、南林工业园等国有产权屋顶建设100MW屋顶分布式光伏。</w:t>
            </w:r>
          </w:p>
        </w:tc>
        <w:tc>
          <w:tcPr>
            <w:tcW w:w="2855" w:type="dxa"/>
            <w:shd w:val="clear" w:color="auto" w:fill="auto"/>
            <w:vAlign w:val="center"/>
          </w:tcPr>
          <w:p w14:paraId="2DD89D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受制于我县电网接入能力，该项目目前处于前期谋划项目，待闯王220kv变电站建成，具备接入条件后将迅速启动该项目。</w:t>
            </w:r>
          </w:p>
        </w:tc>
        <w:tc>
          <w:tcPr>
            <w:tcW w:w="711" w:type="dxa"/>
            <w:shd w:val="clear" w:color="auto" w:fill="auto"/>
            <w:vAlign w:val="center"/>
          </w:tcPr>
          <w:p w14:paraId="2D618B1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0F1C7B2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19663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06" w:type="dxa"/>
            <w:shd w:val="clear" w:color="auto" w:fill="auto"/>
            <w:vAlign w:val="center"/>
          </w:tcPr>
          <w:p w14:paraId="0BE57FA5">
            <w:pPr>
              <w:snapToGrid w:val="0"/>
              <w:spacing w:line="240" w:lineRule="auto"/>
              <w:ind w:left="0" w:leftChars="0" w:right="0" w:rightChars="0" w:firstLine="0" w:firstLineChars="0"/>
              <w:jc w:val="center"/>
              <w:rPr>
                <w:rFonts w:hint="default" w:ascii="Times New Roman" w:hAnsi="Times New Roman" w:eastAsia="仿宋_GB2312" w:cs="Times New Roman"/>
                <w:kern w:val="2"/>
                <w:sz w:val="21"/>
                <w:szCs w:val="16"/>
                <w:lang w:val="en-US" w:eastAsia="zh-CN" w:bidi="ar-SA"/>
              </w:rPr>
            </w:pPr>
            <w:r>
              <w:rPr>
                <w:rFonts w:hint="eastAsia" w:ascii="Times New Roman" w:hAnsi="Times New Roman" w:cs="Times New Roman"/>
                <w:sz w:val="21"/>
                <w:szCs w:val="16"/>
                <w:lang w:val="en-US" w:eastAsia="zh-CN"/>
              </w:rPr>
              <w:t>待定</w:t>
            </w:r>
          </w:p>
        </w:tc>
      </w:tr>
      <w:tr w14:paraId="24A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01D99A6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储能</w:t>
            </w:r>
          </w:p>
        </w:tc>
        <w:tc>
          <w:tcPr>
            <w:tcW w:w="3805" w:type="dxa"/>
            <w:shd w:val="clear" w:color="auto" w:fill="auto"/>
            <w:noWrap/>
            <w:vAlign w:val="center"/>
          </w:tcPr>
          <w:p w14:paraId="4DBACA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9个</w:t>
            </w:r>
          </w:p>
        </w:tc>
        <w:tc>
          <w:tcPr>
            <w:tcW w:w="2855" w:type="dxa"/>
            <w:shd w:val="clear" w:color="auto" w:fill="auto"/>
            <w:noWrap/>
            <w:vAlign w:val="center"/>
          </w:tcPr>
          <w:p w14:paraId="7BD397C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3E83ACB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4A6DF96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3FF92E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55.3</w:t>
            </w:r>
          </w:p>
        </w:tc>
        <w:tc>
          <w:tcPr>
            <w:tcW w:w="1506" w:type="dxa"/>
            <w:shd w:val="clear" w:color="auto" w:fill="auto"/>
            <w:noWrap/>
            <w:vAlign w:val="center"/>
          </w:tcPr>
          <w:p w14:paraId="1351F1F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3C87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09DA8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38" w:type="dxa"/>
            <w:shd w:val="clear" w:color="auto" w:fill="auto"/>
            <w:vAlign w:val="center"/>
          </w:tcPr>
          <w:p w14:paraId="5D1FC9D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凤凰工业园50MW/200MWh独立储能项目</w:t>
            </w:r>
          </w:p>
        </w:tc>
        <w:tc>
          <w:tcPr>
            <w:tcW w:w="645" w:type="dxa"/>
            <w:shd w:val="clear" w:color="auto" w:fill="auto"/>
            <w:noWrap/>
            <w:vAlign w:val="center"/>
          </w:tcPr>
          <w:p w14:paraId="3E7AE23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68C9C6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49AD93B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项目占地面积约25亩，建设规模为50MW/200MWh独立储能电站创新示范项目，储能设备采用50MW/200MWh磷酸铁锂储能系统技术，主要建设内容有储能电池组、电气控制系统以及办公楼等基础建设。</w:t>
            </w:r>
          </w:p>
        </w:tc>
        <w:tc>
          <w:tcPr>
            <w:tcW w:w="2855" w:type="dxa"/>
            <w:shd w:val="clear" w:color="auto" w:fill="auto"/>
            <w:vAlign w:val="center"/>
          </w:tcPr>
          <w:p w14:paraId="28A864A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项目已备案并对选址初步选定，已征求10家职能部门意见，国网省公司已完成接入校核，并将本项目纳规入库。</w:t>
            </w:r>
          </w:p>
        </w:tc>
        <w:tc>
          <w:tcPr>
            <w:tcW w:w="711" w:type="dxa"/>
            <w:shd w:val="clear" w:color="auto" w:fill="auto"/>
            <w:noWrap/>
            <w:vAlign w:val="center"/>
          </w:tcPr>
          <w:p w14:paraId="262804F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11D5C4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noWrap/>
            <w:vAlign w:val="center"/>
          </w:tcPr>
          <w:p w14:paraId="66D5C30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2.5</w:t>
            </w:r>
          </w:p>
        </w:tc>
        <w:tc>
          <w:tcPr>
            <w:tcW w:w="1506" w:type="dxa"/>
            <w:shd w:val="clear" w:color="auto" w:fill="auto"/>
            <w:vAlign w:val="center"/>
          </w:tcPr>
          <w:p w14:paraId="0DD3B8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星源能投控股（江苏）有限公司</w:t>
            </w:r>
          </w:p>
        </w:tc>
      </w:tr>
      <w:tr w14:paraId="1769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2BF0D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56</w:t>
            </w:r>
          </w:p>
        </w:tc>
        <w:tc>
          <w:tcPr>
            <w:tcW w:w="1538" w:type="dxa"/>
            <w:shd w:val="clear" w:color="auto" w:fill="auto"/>
            <w:vAlign w:val="center"/>
          </w:tcPr>
          <w:p w14:paraId="6D1D6AB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湖北新能源咸宁市咸安区横沟桥100MW/200MWh电网侧独立储能项目</w:t>
            </w:r>
          </w:p>
        </w:tc>
        <w:tc>
          <w:tcPr>
            <w:tcW w:w="645" w:type="dxa"/>
            <w:shd w:val="clear" w:color="auto" w:fill="auto"/>
            <w:noWrap/>
            <w:vAlign w:val="center"/>
          </w:tcPr>
          <w:p w14:paraId="73D907A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5F433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10B4B3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项目规划占地约20亩，新建规模100MW/200MWh电网侧独立储能项目（含升压站）及配套设施</w:t>
            </w:r>
          </w:p>
        </w:tc>
        <w:tc>
          <w:tcPr>
            <w:tcW w:w="2855" w:type="dxa"/>
            <w:shd w:val="clear" w:color="auto" w:fill="auto"/>
            <w:vAlign w:val="center"/>
          </w:tcPr>
          <w:p w14:paraId="52BD1BD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项目已备案。</w:t>
            </w:r>
          </w:p>
        </w:tc>
        <w:tc>
          <w:tcPr>
            <w:tcW w:w="711" w:type="dxa"/>
            <w:shd w:val="clear" w:color="auto" w:fill="auto"/>
            <w:noWrap/>
            <w:vAlign w:val="center"/>
          </w:tcPr>
          <w:p w14:paraId="6927247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noWrap/>
            <w:vAlign w:val="center"/>
          </w:tcPr>
          <w:p w14:paraId="14411B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noWrap/>
            <w:vAlign w:val="center"/>
          </w:tcPr>
          <w:p w14:paraId="1C26312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1.6</w:t>
            </w:r>
          </w:p>
        </w:tc>
        <w:tc>
          <w:tcPr>
            <w:tcW w:w="1506" w:type="dxa"/>
            <w:shd w:val="clear" w:color="auto" w:fill="auto"/>
            <w:vAlign w:val="center"/>
          </w:tcPr>
          <w:p w14:paraId="41EEF92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湖北省新能源有限公司</w:t>
            </w:r>
          </w:p>
        </w:tc>
      </w:tr>
      <w:tr w14:paraId="02EB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E379C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57</w:t>
            </w:r>
          </w:p>
        </w:tc>
        <w:tc>
          <w:tcPr>
            <w:tcW w:w="1538" w:type="dxa"/>
            <w:shd w:val="clear" w:color="auto" w:fill="auto"/>
            <w:vAlign w:val="center"/>
          </w:tcPr>
          <w:p w14:paraId="3F45CA1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200MW/400MWh储能电站项目</w:t>
            </w:r>
          </w:p>
        </w:tc>
        <w:tc>
          <w:tcPr>
            <w:tcW w:w="645" w:type="dxa"/>
            <w:shd w:val="clear" w:color="auto" w:fill="auto"/>
            <w:noWrap/>
            <w:vAlign w:val="center"/>
          </w:tcPr>
          <w:p w14:paraId="79313EB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noWrap/>
            <w:vAlign w:val="center"/>
          </w:tcPr>
          <w:p w14:paraId="0610D38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0A7369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新建220MW/401MWh（含200MW/400MWh磷酸铁锂电池+20MW/1MWh飞轮储能）的电网侧混合储能电站项目，包括升压站、变电站、储能站及其他配套</w:t>
            </w:r>
            <w:r>
              <w:rPr>
                <w:rFonts w:hint="eastAsia" w:ascii="Times New Roman" w:hAnsi="Times New Roman" w:cs="Times New Roman"/>
                <w:sz w:val="21"/>
                <w:szCs w:val="16"/>
                <w:lang w:val="en-US" w:eastAsia="zh-CN"/>
              </w:rPr>
              <w:t>设施</w:t>
            </w:r>
            <w:r>
              <w:rPr>
                <w:rFonts w:hint="default" w:ascii="Times New Roman" w:hAnsi="Times New Roman" w:cs="Times New Roman"/>
                <w:sz w:val="21"/>
                <w:szCs w:val="16"/>
                <w:lang w:val="en-US" w:eastAsia="zh-CN"/>
              </w:rPr>
              <w:t>。项目总投资6.5亿元，其中固定资产投资6亿元。</w:t>
            </w:r>
          </w:p>
        </w:tc>
        <w:tc>
          <w:tcPr>
            <w:tcW w:w="2855" w:type="dxa"/>
            <w:shd w:val="clear" w:color="auto" w:fill="auto"/>
            <w:vAlign w:val="center"/>
          </w:tcPr>
          <w:p w14:paraId="43B965D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项目已选址</w:t>
            </w:r>
          </w:p>
        </w:tc>
        <w:tc>
          <w:tcPr>
            <w:tcW w:w="711" w:type="dxa"/>
            <w:shd w:val="clear" w:color="auto" w:fill="auto"/>
            <w:vAlign w:val="center"/>
          </w:tcPr>
          <w:p w14:paraId="0B56919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52C911A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0DDB566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6.5</w:t>
            </w:r>
          </w:p>
        </w:tc>
        <w:tc>
          <w:tcPr>
            <w:tcW w:w="1506" w:type="dxa"/>
            <w:shd w:val="clear" w:color="auto" w:fill="auto"/>
            <w:vAlign w:val="center"/>
          </w:tcPr>
          <w:p w14:paraId="1DF82E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鹏辉力赫（天津）能源科技有限公司</w:t>
            </w:r>
          </w:p>
        </w:tc>
      </w:tr>
      <w:tr w14:paraId="4FAA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43864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58</w:t>
            </w:r>
          </w:p>
        </w:tc>
        <w:tc>
          <w:tcPr>
            <w:tcW w:w="1538" w:type="dxa"/>
            <w:shd w:val="clear" w:color="auto" w:fill="auto"/>
            <w:vAlign w:val="center"/>
          </w:tcPr>
          <w:p w14:paraId="1EBB4F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中能新合多能互补储能电站项目</w:t>
            </w:r>
          </w:p>
        </w:tc>
        <w:tc>
          <w:tcPr>
            <w:tcW w:w="645" w:type="dxa"/>
            <w:shd w:val="clear" w:color="auto" w:fill="auto"/>
            <w:noWrap/>
            <w:vAlign w:val="center"/>
          </w:tcPr>
          <w:p w14:paraId="4A16E98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noWrap/>
            <w:vAlign w:val="center"/>
          </w:tcPr>
          <w:p w14:paraId="66572E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15E259A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1套200MW多能互补储能系统。拟建设厂房及综合用房约20000平方米，建筑物及构筑物总用地面积183000平方米。整套系统发电功率为200MW，储能总量为1600MWh。年储发电利用小时数约7920小时，年储发电量约15.84亿度电。</w:t>
            </w:r>
          </w:p>
        </w:tc>
        <w:tc>
          <w:tcPr>
            <w:tcW w:w="2855" w:type="dxa"/>
            <w:shd w:val="clear" w:color="auto" w:fill="auto"/>
            <w:vAlign w:val="center"/>
          </w:tcPr>
          <w:p w14:paraId="2AFEE14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项目已完成公司注册、固定资产投资备案证、税务登记、银行开户等前期工作，目前中能公司正在办理并网接入意见，9月2日，开发区配合提供了相应接入手续</w:t>
            </w:r>
          </w:p>
        </w:tc>
        <w:tc>
          <w:tcPr>
            <w:tcW w:w="711" w:type="dxa"/>
            <w:shd w:val="clear" w:color="auto" w:fill="auto"/>
            <w:vAlign w:val="center"/>
          </w:tcPr>
          <w:p w14:paraId="442523D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6FCD8F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13BFF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16</w:t>
            </w:r>
          </w:p>
        </w:tc>
        <w:tc>
          <w:tcPr>
            <w:tcW w:w="1506" w:type="dxa"/>
            <w:shd w:val="clear" w:color="auto" w:fill="auto"/>
            <w:vAlign w:val="center"/>
          </w:tcPr>
          <w:p w14:paraId="28E50E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中能新合有限公司</w:t>
            </w:r>
          </w:p>
        </w:tc>
      </w:tr>
      <w:tr w14:paraId="167B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07CFA6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59</w:t>
            </w:r>
          </w:p>
        </w:tc>
        <w:tc>
          <w:tcPr>
            <w:tcW w:w="1538" w:type="dxa"/>
            <w:shd w:val="clear" w:color="auto" w:fill="auto"/>
            <w:vAlign w:val="center"/>
          </w:tcPr>
          <w:p w14:paraId="229E22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华润赤壁神山 100MW/200MWh 集中式（共享式）储能电站</w:t>
            </w:r>
          </w:p>
        </w:tc>
        <w:tc>
          <w:tcPr>
            <w:tcW w:w="645" w:type="dxa"/>
            <w:shd w:val="clear" w:color="auto" w:fill="auto"/>
            <w:vAlign w:val="center"/>
          </w:tcPr>
          <w:p w14:paraId="7A88B8B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DA25BC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1F0840E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项目规划容量100MW/200MWh，位于湖北省赤壁市神山镇。拟建设一座集中式（共享式）储能电站，配套安装储能单元、1座110kV升压站（含运行管理中心）及1条110kV送出线路。</w:t>
            </w:r>
          </w:p>
        </w:tc>
        <w:tc>
          <w:tcPr>
            <w:tcW w:w="2855" w:type="dxa"/>
            <w:shd w:val="clear" w:color="auto" w:fill="auto"/>
            <w:vAlign w:val="center"/>
          </w:tcPr>
          <w:p w14:paraId="0032D35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正在开展项目前期技术论证及可行性研究工作</w:t>
            </w:r>
          </w:p>
        </w:tc>
        <w:tc>
          <w:tcPr>
            <w:tcW w:w="711" w:type="dxa"/>
            <w:shd w:val="clear" w:color="auto" w:fill="auto"/>
            <w:vAlign w:val="center"/>
          </w:tcPr>
          <w:p w14:paraId="3A4B5A2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6581D7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FE0EB9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w:t>
            </w:r>
          </w:p>
        </w:tc>
        <w:tc>
          <w:tcPr>
            <w:tcW w:w="1506" w:type="dxa"/>
            <w:shd w:val="clear" w:color="auto" w:fill="auto"/>
            <w:vAlign w:val="center"/>
          </w:tcPr>
          <w:p w14:paraId="206024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2CA6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EB66D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60</w:t>
            </w:r>
          </w:p>
        </w:tc>
        <w:tc>
          <w:tcPr>
            <w:tcW w:w="1538" w:type="dxa"/>
            <w:shd w:val="clear" w:color="auto" w:fill="auto"/>
            <w:vAlign w:val="center"/>
          </w:tcPr>
          <w:p w14:paraId="5A81FE1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电网侧混合储能电站项目</w:t>
            </w:r>
          </w:p>
        </w:tc>
        <w:tc>
          <w:tcPr>
            <w:tcW w:w="645" w:type="dxa"/>
            <w:shd w:val="clear" w:color="auto" w:fill="auto"/>
            <w:vAlign w:val="center"/>
          </w:tcPr>
          <w:p w14:paraId="5FEF25A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A3236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5CB389C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新建220MW/</w:t>
            </w:r>
            <w:r>
              <w:rPr>
                <w:rFonts w:hint="eastAsia" w:ascii="Times New Roman" w:hAnsi="Times New Roman" w:cs="Times New Roman"/>
                <w:sz w:val="21"/>
                <w:szCs w:val="16"/>
                <w:lang w:val="en-US" w:eastAsia="zh-CN"/>
              </w:rPr>
              <w:t>401MWh</w:t>
            </w:r>
            <w:r>
              <w:rPr>
                <w:rFonts w:hint="default" w:ascii="Times New Roman" w:hAnsi="Times New Roman" w:cs="Times New Roman"/>
                <w:sz w:val="21"/>
                <w:szCs w:val="16"/>
                <w:lang w:val="en-US" w:eastAsia="zh-CN"/>
              </w:rPr>
              <w:t>（含200MW/</w:t>
            </w:r>
            <w:r>
              <w:rPr>
                <w:rFonts w:hint="eastAsia" w:ascii="Times New Roman" w:hAnsi="Times New Roman" w:cs="Times New Roman"/>
                <w:sz w:val="21"/>
                <w:szCs w:val="16"/>
                <w:lang w:val="en-US" w:eastAsia="zh-CN"/>
              </w:rPr>
              <w:t>400MWh</w:t>
            </w:r>
            <w:r>
              <w:rPr>
                <w:rFonts w:hint="default" w:ascii="Times New Roman" w:hAnsi="Times New Roman" w:cs="Times New Roman"/>
                <w:sz w:val="21"/>
                <w:szCs w:val="16"/>
                <w:lang w:val="en-US" w:eastAsia="zh-CN"/>
              </w:rPr>
              <w:t>磷酸铁锂电池+20MW/</w:t>
            </w:r>
            <w:r>
              <w:rPr>
                <w:rFonts w:hint="eastAsia" w:ascii="Times New Roman" w:hAnsi="Times New Roman" w:cs="Times New Roman"/>
                <w:sz w:val="21"/>
                <w:szCs w:val="16"/>
                <w:lang w:val="en-US" w:eastAsia="zh-CN"/>
              </w:rPr>
              <w:t>1MWh</w:t>
            </w:r>
            <w:r>
              <w:rPr>
                <w:rFonts w:hint="default" w:ascii="Times New Roman" w:hAnsi="Times New Roman" w:cs="Times New Roman"/>
                <w:sz w:val="21"/>
                <w:szCs w:val="16"/>
                <w:lang w:val="en-US" w:eastAsia="zh-CN"/>
              </w:rPr>
              <w:t>飞轮储能）的电网侧混合储能电站项目，投资内容包含升压站、变压站、储能站及其他配套设施等。</w:t>
            </w:r>
          </w:p>
        </w:tc>
        <w:tc>
          <w:tcPr>
            <w:tcW w:w="2855" w:type="dxa"/>
            <w:shd w:val="clear" w:color="auto" w:fill="auto"/>
            <w:vAlign w:val="center"/>
          </w:tcPr>
          <w:p w14:paraId="21CC994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w:t>
            </w:r>
          </w:p>
        </w:tc>
        <w:tc>
          <w:tcPr>
            <w:tcW w:w="711" w:type="dxa"/>
            <w:shd w:val="clear" w:color="auto" w:fill="auto"/>
            <w:vAlign w:val="center"/>
          </w:tcPr>
          <w:p w14:paraId="1C0702A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B64E4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25665A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6.4</w:t>
            </w:r>
          </w:p>
        </w:tc>
        <w:tc>
          <w:tcPr>
            <w:tcW w:w="1506" w:type="dxa"/>
            <w:shd w:val="clear" w:color="auto" w:fill="auto"/>
            <w:vAlign w:val="center"/>
          </w:tcPr>
          <w:p w14:paraId="298B8CD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鹏辉电能有限公司</w:t>
            </w:r>
          </w:p>
        </w:tc>
      </w:tr>
      <w:tr w14:paraId="6680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B0DDF9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61</w:t>
            </w:r>
          </w:p>
        </w:tc>
        <w:tc>
          <w:tcPr>
            <w:tcW w:w="1538" w:type="dxa"/>
            <w:shd w:val="clear" w:color="auto" w:fill="auto"/>
            <w:vAlign w:val="center"/>
          </w:tcPr>
          <w:p w14:paraId="3FDB943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运达储能电站项目</w:t>
            </w:r>
          </w:p>
        </w:tc>
        <w:tc>
          <w:tcPr>
            <w:tcW w:w="645" w:type="dxa"/>
            <w:shd w:val="clear" w:color="auto" w:fill="auto"/>
            <w:vAlign w:val="center"/>
          </w:tcPr>
          <w:p w14:paraId="123D315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1A249F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1A8660E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392430</wp:posOffset>
                  </wp:positionH>
                  <wp:positionV relativeFrom="paragraph">
                    <wp:posOffset>0</wp:posOffset>
                  </wp:positionV>
                  <wp:extent cx="656590" cy="91440"/>
                  <wp:effectExtent l="0" t="0" r="0" b="0"/>
                  <wp:wrapNone/>
                  <wp:docPr id="552" name="Picture_99"/>
                  <wp:cNvGraphicFramePr/>
                  <a:graphic xmlns:a="http://schemas.openxmlformats.org/drawingml/2006/main">
                    <a:graphicData uri="http://schemas.openxmlformats.org/drawingml/2006/picture">
                      <pic:pic xmlns:pic="http://schemas.openxmlformats.org/drawingml/2006/picture">
                        <pic:nvPicPr>
                          <pic:cNvPr id="552" name="Picture_99"/>
                          <pic:cNvPicPr/>
                        </pic:nvPicPr>
                        <pic:blipFill>
                          <a:blip r:embed="rId88"/>
                          <a:stretch>
                            <a:fillRect/>
                          </a:stretch>
                        </pic:blipFill>
                        <pic:spPr>
                          <a:xfrm>
                            <a:off x="0" y="0"/>
                            <a:ext cx="656590" cy="91440"/>
                          </a:xfrm>
                          <a:prstGeom prst="rect">
                            <a:avLst/>
                          </a:prstGeom>
                          <a:noFill/>
                          <a:ln>
                            <a:noFill/>
                          </a:ln>
                        </pic:spPr>
                      </pic:pic>
                    </a:graphicData>
                  </a:graphic>
                </wp:anchor>
              </w:drawing>
            </w:r>
            <w:r>
              <w:rPr>
                <w:rFonts w:hint="default" w:ascii="Times New Roman" w:hAnsi="Times New Roman" w:cs="Times New Roman"/>
                <w:sz w:val="21"/>
                <w:szCs w:val="16"/>
                <w:lang w:val="en-US" w:eastAsia="zh-CN"/>
              </w:rPr>
              <w:t>建设80MW/320MWh的全钒液流共享储能电站两座（含升压站建设）</w:t>
            </w:r>
          </w:p>
        </w:tc>
        <w:tc>
          <w:tcPr>
            <w:tcW w:w="2855" w:type="dxa"/>
            <w:shd w:val="clear" w:color="auto" w:fill="auto"/>
            <w:vAlign w:val="center"/>
          </w:tcPr>
          <w:p w14:paraId="44E51DB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7F2A768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AB55F1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4B300B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4B655B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运达能源科技集团股份有限公司</w:t>
            </w:r>
          </w:p>
        </w:tc>
      </w:tr>
      <w:tr w14:paraId="47D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42D3F8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62</w:t>
            </w:r>
          </w:p>
        </w:tc>
        <w:tc>
          <w:tcPr>
            <w:tcW w:w="1538" w:type="dxa"/>
            <w:shd w:val="clear" w:color="auto" w:fill="auto"/>
            <w:vAlign w:val="center"/>
          </w:tcPr>
          <w:p w14:paraId="66DFCC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中广核14MW/28MWh集中式储能电站</w:t>
            </w:r>
          </w:p>
        </w:tc>
        <w:tc>
          <w:tcPr>
            <w:tcW w:w="645" w:type="dxa"/>
            <w:shd w:val="clear" w:color="auto" w:fill="auto"/>
            <w:vAlign w:val="center"/>
          </w:tcPr>
          <w:p w14:paraId="5EEC25E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6AF3AE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0A0853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新建规模14MW/28MWh集中式储能电站项目以及相关配套设施。</w:t>
            </w:r>
          </w:p>
        </w:tc>
        <w:tc>
          <w:tcPr>
            <w:tcW w:w="2855" w:type="dxa"/>
            <w:shd w:val="clear" w:color="auto" w:fill="auto"/>
            <w:vAlign w:val="center"/>
          </w:tcPr>
          <w:p w14:paraId="2223BA0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5D6CC0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3610D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121EF3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0.3</w:t>
            </w:r>
          </w:p>
        </w:tc>
        <w:tc>
          <w:tcPr>
            <w:tcW w:w="1506" w:type="dxa"/>
            <w:shd w:val="clear" w:color="auto" w:fill="auto"/>
            <w:vAlign w:val="center"/>
          </w:tcPr>
          <w:p w14:paraId="4D69C8C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中广核新能源湖北有限公司</w:t>
            </w:r>
          </w:p>
        </w:tc>
      </w:tr>
      <w:tr w14:paraId="6EDA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4A197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63</w:t>
            </w:r>
          </w:p>
        </w:tc>
        <w:tc>
          <w:tcPr>
            <w:tcW w:w="1538" w:type="dxa"/>
            <w:shd w:val="clear" w:color="auto" w:fill="auto"/>
            <w:vAlign w:val="center"/>
          </w:tcPr>
          <w:p w14:paraId="0EA9ADB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威昱400MW/800MWh 新型独立共享储能电站项目</w:t>
            </w:r>
          </w:p>
        </w:tc>
        <w:tc>
          <w:tcPr>
            <w:tcW w:w="645" w:type="dxa"/>
            <w:shd w:val="clear" w:color="auto" w:fill="auto"/>
            <w:vAlign w:val="center"/>
          </w:tcPr>
          <w:p w14:paraId="1EF2880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EE809B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CF4AC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一期计划建设200MW/400MWh储能电站，包括储能电池、储能变流器、能量管理系统、电池管理系统、升压站等关键设备及必要的办公用房。二期建设200MW/400MWh储能电站。</w:t>
            </w:r>
          </w:p>
        </w:tc>
        <w:tc>
          <w:tcPr>
            <w:tcW w:w="2855" w:type="dxa"/>
            <w:shd w:val="clear" w:color="auto" w:fill="auto"/>
            <w:vAlign w:val="center"/>
          </w:tcPr>
          <w:p w14:paraId="4E20F31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已经完成了项目初步选址，项目选址不涉及生态红线、天然林、公益林、基本农田，已经通过了我县招商引资联审联批，县政府与项目业主签订了投资合作协议。</w:t>
            </w:r>
          </w:p>
        </w:tc>
        <w:tc>
          <w:tcPr>
            <w:tcW w:w="711" w:type="dxa"/>
            <w:shd w:val="clear" w:color="auto" w:fill="auto"/>
            <w:vAlign w:val="center"/>
          </w:tcPr>
          <w:p w14:paraId="4079E2F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DF008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3E1AF7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w:t>
            </w:r>
          </w:p>
        </w:tc>
        <w:tc>
          <w:tcPr>
            <w:tcW w:w="1506" w:type="dxa"/>
            <w:shd w:val="clear" w:color="auto" w:fill="auto"/>
            <w:vAlign w:val="center"/>
          </w:tcPr>
          <w:p w14:paraId="3AE0F90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威昱能源有限公司</w:t>
            </w:r>
          </w:p>
        </w:tc>
      </w:tr>
      <w:tr w14:paraId="5EAE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3B80908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地热</w:t>
            </w:r>
          </w:p>
        </w:tc>
        <w:tc>
          <w:tcPr>
            <w:tcW w:w="3805" w:type="dxa"/>
            <w:shd w:val="clear" w:color="auto" w:fill="auto"/>
            <w:noWrap/>
            <w:vAlign w:val="center"/>
          </w:tcPr>
          <w:p w14:paraId="0A4ADD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1个</w:t>
            </w:r>
          </w:p>
        </w:tc>
        <w:tc>
          <w:tcPr>
            <w:tcW w:w="2855" w:type="dxa"/>
            <w:shd w:val="clear" w:color="auto" w:fill="auto"/>
            <w:noWrap/>
            <w:vAlign w:val="center"/>
          </w:tcPr>
          <w:p w14:paraId="574BE0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503C6A3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3A344D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01CD6D9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noWrap/>
            <w:vAlign w:val="center"/>
          </w:tcPr>
          <w:p w14:paraId="5AE656B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2106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7B248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64</w:t>
            </w:r>
          </w:p>
        </w:tc>
        <w:tc>
          <w:tcPr>
            <w:tcW w:w="1538" w:type="dxa"/>
            <w:shd w:val="clear" w:color="auto" w:fill="auto"/>
            <w:vAlign w:val="center"/>
          </w:tcPr>
          <w:p w14:paraId="640B8C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嘉鱼县石泉地热管道建设项目</w:t>
            </w:r>
          </w:p>
        </w:tc>
        <w:tc>
          <w:tcPr>
            <w:tcW w:w="645" w:type="dxa"/>
            <w:shd w:val="clear" w:color="auto" w:fill="auto"/>
            <w:vAlign w:val="center"/>
          </w:tcPr>
          <w:p w14:paraId="6FE4EF6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44B92D2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276C18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从高铁岭镇地热井口铺设管道至县内文旅项目，总长约80公里，并配套相应泵房、闸阀井和管理用房等。</w:t>
            </w:r>
          </w:p>
        </w:tc>
        <w:tc>
          <w:tcPr>
            <w:tcW w:w="2855" w:type="dxa"/>
            <w:shd w:val="clear" w:color="auto" w:fill="auto"/>
            <w:vAlign w:val="center"/>
          </w:tcPr>
          <w:p w14:paraId="6860360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vAlign w:val="center"/>
          </w:tcPr>
          <w:p w14:paraId="1B8FB85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0ADC2C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521877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vAlign w:val="center"/>
          </w:tcPr>
          <w:p w14:paraId="5A7F5E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县城投公司</w:t>
            </w:r>
          </w:p>
        </w:tc>
      </w:tr>
      <w:tr w14:paraId="049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6BB1FD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零碳园区/源网荷储一体化</w:t>
            </w:r>
          </w:p>
        </w:tc>
        <w:tc>
          <w:tcPr>
            <w:tcW w:w="3805" w:type="dxa"/>
            <w:shd w:val="clear" w:color="auto" w:fill="auto"/>
            <w:noWrap/>
            <w:vAlign w:val="center"/>
          </w:tcPr>
          <w:p w14:paraId="319A9A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2个</w:t>
            </w:r>
          </w:p>
        </w:tc>
        <w:tc>
          <w:tcPr>
            <w:tcW w:w="2855" w:type="dxa"/>
            <w:shd w:val="clear" w:color="auto" w:fill="auto"/>
            <w:noWrap/>
            <w:vAlign w:val="center"/>
          </w:tcPr>
          <w:p w14:paraId="6841EBA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7A6E0F8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335F1A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5F17F6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32</w:t>
            </w:r>
          </w:p>
        </w:tc>
        <w:tc>
          <w:tcPr>
            <w:tcW w:w="1506" w:type="dxa"/>
            <w:shd w:val="clear" w:color="auto" w:fill="auto"/>
            <w:noWrap/>
            <w:vAlign w:val="center"/>
          </w:tcPr>
          <w:p w14:paraId="1811AF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7BC4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765253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65</w:t>
            </w:r>
          </w:p>
        </w:tc>
        <w:tc>
          <w:tcPr>
            <w:tcW w:w="1538" w:type="dxa"/>
            <w:shd w:val="clear" w:color="auto" w:fill="auto"/>
            <w:vAlign w:val="center"/>
          </w:tcPr>
          <w:p w14:paraId="1DF1E8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金盛兰源网荷储一体化项目</w:t>
            </w:r>
          </w:p>
        </w:tc>
        <w:tc>
          <w:tcPr>
            <w:tcW w:w="645" w:type="dxa"/>
            <w:shd w:val="clear" w:color="auto" w:fill="auto"/>
            <w:noWrap/>
            <w:vAlign w:val="center"/>
          </w:tcPr>
          <w:p w14:paraId="3E1443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BE7E25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0D09032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规划金盛兰源网荷储一体化项目总投资约 20 亿元，其中，风电装机 30 万千瓦或风电装机 15 万千瓦加光伏装机 30万千瓦，配套储能装机 60MW/120MWh。</w:t>
            </w:r>
          </w:p>
        </w:tc>
        <w:tc>
          <w:tcPr>
            <w:tcW w:w="2855" w:type="dxa"/>
            <w:shd w:val="clear" w:color="auto" w:fill="auto"/>
            <w:noWrap/>
            <w:vAlign w:val="center"/>
          </w:tcPr>
          <w:p w14:paraId="4AD6A2F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已签约</w:t>
            </w:r>
          </w:p>
        </w:tc>
        <w:tc>
          <w:tcPr>
            <w:tcW w:w="711" w:type="dxa"/>
            <w:shd w:val="clear" w:color="auto" w:fill="auto"/>
            <w:vAlign w:val="center"/>
          </w:tcPr>
          <w:p w14:paraId="3D159D9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10960C7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CAD1E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w:t>
            </w:r>
          </w:p>
        </w:tc>
        <w:tc>
          <w:tcPr>
            <w:tcW w:w="1506" w:type="dxa"/>
            <w:shd w:val="clear" w:color="auto" w:fill="auto"/>
            <w:vAlign w:val="center"/>
          </w:tcPr>
          <w:p w14:paraId="6F37230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湖北能源综合能源投资有限公司</w:t>
            </w:r>
          </w:p>
        </w:tc>
      </w:tr>
      <w:tr w14:paraId="210C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3086B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66</w:t>
            </w:r>
          </w:p>
        </w:tc>
        <w:tc>
          <w:tcPr>
            <w:tcW w:w="1538" w:type="dxa"/>
            <w:shd w:val="clear" w:color="auto" w:fill="auto"/>
            <w:vAlign w:val="center"/>
          </w:tcPr>
          <w:p w14:paraId="68B0B34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咸安零碳园区项目</w:t>
            </w:r>
          </w:p>
        </w:tc>
        <w:tc>
          <w:tcPr>
            <w:tcW w:w="645" w:type="dxa"/>
            <w:shd w:val="clear" w:color="auto" w:fill="auto"/>
            <w:noWrap/>
            <w:vAlign w:val="center"/>
          </w:tcPr>
          <w:p w14:paraId="10D8FF4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440DB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550A9DF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主要在咸安经济开发区智能装备孵化园，咸安东湖高新产业园，咸安经济开发区铝基材循环产业园等产业园区建设分布式光伏、储能系统及智能微电网。分布式光伏300MW，用户侧储能150MW</w:t>
            </w:r>
          </w:p>
        </w:tc>
        <w:tc>
          <w:tcPr>
            <w:tcW w:w="2855" w:type="dxa"/>
            <w:shd w:val="clear" w:color="auto" w:fill="auto"/>
            <w:vAlign w:val="center"/>
          </w:tcPr>
          <w:p w14:paraId="055FFA9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49CF801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noWrap/>
            <w:vAlign w:val="center"/>
          </w:tcPr>
          <w:p w14:paraId="3ADFD3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54BE68D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w:t>
            </w:r>
          </w:p>
        </w:tc>
        <w:tc>
          <w:tcPr>
            <w:tcW w:w="1506" w:type="dxa"/>
            <w:shd w:val="clear" w:color="auto" w:fill="auto"/>
            <w:vAlign w:val="center"/>
          </w:tcPr>
          <w:p w14:paraId="1E042A0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4F67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7FE2588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绿电直连</w:t>
            </w:r>
          </w:p>
        </w:tc>
        <w:tc>
          <w:tcPr>
            <w:tcW w:w="3805" w:type="dxa"/>
            <w:shd w:val="clear" w:color="auto" w:fill="auto"/>
            <w:noWrap/>
            <w:vAlign w:val="center"/>
          </w:tcPr>
          <w:p w14:paraId="4D9202F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4个</w:t>
            </w:r>
          </w:p>
        </w:tc>
        <w:tc>
          <w:tcPr>
            <w:tcW w:w="2855" w:type="dxa"/>
            <w:shd w:val="clear" w:color="auto" w:fill="auto"/>
            <w:noWrap/>
            <w:vAlign w:val="center"/>
          </w:tcPr>
          <w:p w14:paraId="5D9E32E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70F909A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19C5A2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0AADE41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11</w:t>
            </w:r>
          </w:p>
        </w:tc>
        <w:tc>
          <w:tcPr>
            <w:tcW w:w="1506" w:type="dxa"/>
            <w:shd w:val="clear" w:color="auto" w:fill="auto"/>
            <w:noWrap/>
            <w:vAlign w:val="center"/>
          </w:tcPr>
          <w:p w14:paraId="623894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2338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77A50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67</w:t>
            </w:r>
          </w:p>
        </w:tc>
        <w:tc>
          <w:tcPr>
            <w:tcW w:w="1538" w:type="dxa"/>
            <w:shd w:val="clear" w:color="auto" w:fill="auto"/>
            <w:vAlign w:val="center"/>
          </w:tcPr>
          <w:p w14:paraId="5D7611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咸宁汇美达绿电直连项目</w:t>
            </w:r>
          </w:p>
        </w:tc>
        <w:tc>
          <w:tcPr>
            <w:tcW w:w="645" w:type="dxa"/>
            <w:shd w:val="clear" w:color="auto" w:fill="auto"/>
            <w:noWrap/>
            <w:vAlign w:val="center"/>
          </w:tcPr>
          <w:p w14:paraId="56D139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0249BA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2AB367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未确定供电方案的新增负荷，配套建设通过直连线路供电的新能源。规划建设5MW风力发电项目，用户侧储能1MW</w:t>
            </w:r>
          </w:p>
        </w:tc>
        <w:tc>
          <w:tcPr>
            <w:tcW w:w="2855" w:type="dxa"/>
            <w:shd w:val="clear" w:color="auto" w:fill="auto"/>
            <w:vAlign w:val="center"/>
          </w:tcPr>
          <w:p w14:paraId="67D307C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正在与企业对接，编制供电接入方案</w:t>
            </w:r>
          </w:p>
        </w:tc>
        <w:tc>
          <w:tcPr>
            <w:tcW w:w="711" w:type="dxa"/>
            <w:shd w:val="clear" w:color="auto" w:fill="auto"/>
            <w:vAlign w:val="center"/>
          </w:tcPr>
          <w:p w14:paraId="70549B9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noWrap/>
            <w:vAlign w:val="center"/>
          </w:tcPr>
          <w:p w14:paraId="4C5A8F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4701F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w:t>
            </w:r>
          </w:p>
        </w:tc>
        <w:tc>
          <w:tcPr>
            <w:tcW w:w="1506" w:type="dxa"/>
            <w:shd w:val="clear" w:color="auto" w:fill="auto"/>
            <w:vAlign w:val="center"/>
          </w:tcPr>
          <w:p w14:paraId="1AC61F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59B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2AC4C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68</w:t>
            </w:r>
          </w:p>
        </w:tc>
        <w:tc>
          <w:tcPr>
            <w:tcW w:w="1538" w:type="dxa"/>
            <w:shd w:val="clear" w:color="auto" w:fill="auto"/>
            <w:vAlign w:val="center"/>
          </w:tcPr>
          <w:p w14:paraId="14A2C7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楚能新能源电池智能制造基地绿电直连项目</w:t>
            </w:r>
          </w:p>
        </w:tc>
        <w:tc>
          <w:tcPr>
            <w:tcW w:w="645" w:type="dxa"/>
            <w:shd w:val="clear" w:color="auto" w:fill="auto"/>
            <w:noWrap/>
            <w:vAlign w:val="center"/>
          </w:tcPr>
          <w:p w14:paraId="21448CF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6D6E3DE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2A6333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未确定供电方案的新增负荷，配套建设通过直连线路供电的新能源。规划建设50MW风力发电项目，用户侧储能5MW/10MWh。</w:t>
            </w:r>
          </w:p>
        </w:tc>
        <w:tc>
          <w:tcPr>
            <w:tcW w:w="2855" w:type="dxa"/>
            <w:shd w:val="clear" w:color="auto" w:fill="auto"/>
            <w:vAlign w:val="center"/>
          </w:tcPr>
          <w:p w14:paraId="1F1DF96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4954A0A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noWrap/>
            <w:vAlign w:val="center"/>
          </w:tcPr>
          <w:p w14:paraId="06A93C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DC29E8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06" w:type="dxa"/>
            <w:shd w:val="clear" w:color="auto" w:fill="auto"/>
            <w:vAlign w:val="center"/>
          </w:tcPr>
          <w:p w14:paraId="6DAFCE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2718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0F2AA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69</w:t>
            </w:r>
          </w:p>
        </w:tc>
        <w:tc>
          <w:tcPr>
            <w:tcW w:w="1538" w:type="dxa"/>
            <w:shd w:val="clear" w:color="auto" w:fill="auto"/>
            <w:vAlign w:val="center"/>
          </w:tcPr>
          <w:p w14:paraId="19C341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咸宁联通1000p超算中心绿电直连项目</w:t>
            </w:r>
          </w:p>
        </w:tc>
        <w:tc>
          <w:tcPr>
            <w:tcW w:w="645" w:type="dxa"/>
            <w:shd w:val="clear" w:color="auto" w:fill="auto"/>
            <w:noWrap/>
            <w:vAlign w:val="center"/>
          </w:tcPr>
          <w:p w14:paraId="42526F6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05D9587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20E855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未确定供电方案的新增负荷，配套建设通过直连线路供电的新能源。规划建设5MW光伏发电项目，用户侧储能1MW/2MWh。</w:t>
            </w:r>
          </w:p>
        </w:tc>
        <w:tc>
          <w:tcPr>
            <w:tcW w:w="2855" w:type="dxa"/>
            <w:shd w:val="clear" w:color="auto" w:fill="auto"/>
            <w:vAlign w:val="center"/>
          </w:tcPr>
          <w:p w14:paraId="4194E36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7FD6F75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noWrap/>
            <w:vAlign w:val="center"/>
          </w:tcPr>
          <w:p w14:paraId="57AD1A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0CF4F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w:t>
            </w:r>
          </w:p>
        </w:tc>
        <w:tc>
          <w:tcPr>
            <w:tcW w:w="1506" w:type="dxa"/>
            <w:shd w:val="clear" w:color="auto" w:fill="auto"/>
            <w:vAlign w:val="center"/>
          </w:tcPr>
          <w:p w14:paraId="00D0F3F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咸宁长能新能源有限公司</w:t>
            </w:r>
          </w:p>
        </w:tc>
      </w:tr>
      <w:tr w14:paraId="181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7089B2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70</w:t>
            </w:r>
          </w:p>
        </w:tc>
        <w:tc>
          <w:tcPr>
            <w:tcW w:w="1538" w:type="dxa"/>
            <w:shd w:val="clear" w:color="auto" w:fill="auto"/>
            <w:vAlign w:val="center"/>
          </w:tcPr>
          <w:p w14:paraId="4733C6F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华润赤壁维达力绿电直连项目</w:t>
            </w:r>
          </w:p>
        </w:tc>
        <w:tc>
          <w:tcPr>
            <w:tcW w:w="645" w:type="dxa"/>
            <w:shd w:val="clear" w:color="auto" w:fill="auto"/>
            <w:noWrap/>
            <w:vAlign w:val="center"/>
          </w:tcPr>
          <w:p w14:paraId="3C1F79B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42B9F01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6E5AB1B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建设10万千瓦风力发电项目，配套建设10%比例的储能设施（容量1万千瓦/2万千瓦时），直连线路5公里。</w:t>
            </w:r>
          </w:p>
        </w:tc>
        <w:tc>
          <w:tcPr>
            <w:tcW w:w="2855" w:type="dxa"/>
            <w:shd w:val="clear" w:color="auto" w:fill="auto"/>
            <w:vAlign w:val="center"/>
          </w:tcPr>
          <w:p w14:paraId="40A06D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11AA21D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7E5B59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91B33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563759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华润新能源（赤壁）有限公司</w:t>
            </w:r>
          </w:p>
        </w:tc>
      </w:tr>
      <w:tr w14:paraId="49D8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6B01A4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生物质及热电联产</w:t>
            </w:r>
          </w:p>
        </w:tc>
        <w:tc>
          <w:tcPr>
            <w:tcW w:w="3805" w:type="dxa"/>
            <w:shd w:val="clear" w:color="auto" w:fill="auto"/>
            <w:noWrap/>
            <w:vAlign w:val="center"/>
          </w:tcPr>
          <w:p w14:paraId="204C94C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5个</w:t>
            </w:r>
          </w:p>
        </w:tc>
        <w:tc>
          <w:tcPr>
            <w:tcW w:w="2855" w:type="dxa"/>
            <w:shd w:val="clear" w:color="auto" w:fill="auto"/>
            <w:noWrap/>
            <w:vAlign w:val="center"/>
          </w:tcPr>
          <w:p w14:paraId="7312A37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225235D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620224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579BB0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18.4</w:t>
            </w:r>
          </w:p>
        </w:tc>
        <w:tc>
          <w:tcPr>
            <w:tcW w:w="1506" w:type="dxa"/>
            <w:shd w:val="clear" w:color="auto" w:fill="auto"/>
            <w:noWrap/>
            <w:vAlign w:val="center"/>
          </w:tcPr>
          <w:p w14:paraId="00CF13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29FB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E3401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71</w:t>
            </w:r>
          </w:p>
        </w:tc>
        <w:tc>
          <w:tcPr>
            <w:tcW w:w="1538" w:type="dxa"/>
            <w:shd w:val="clear" w:color="auto" w:fill="auto"/>
            <w:vAlign w:val="center"/>
          </w:tcPr>
          <w:p w14:paraId="1FC3735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咸宁市中德环保二期</w:t>
            </w:r>
          </w:p>
        </w:tc>
        <w:tc>
          <w:tcPr>
            <w:tcW w:w="645" w:type="dxa"/>
            <w:shd w:val="clear" w:color="auto" w:fill="auto"/>
            <w:vAlign w:val="center"/>
          </w:tcPr>
          <w:p w14:paraId="08CF8B1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2CB823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0C90C19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日处理垃圾约400吨，装机容量0.9万千瓦</w:t>
            </w:r>
          </w:p>
        </w:tc>
        <w:tc>
          <w:tcPr>
            <w:tcW w:w="2855" w:type="dxa"/>
            <w:shd w:val="clear" w:color="auto" w:fill="auto"/>
            <w:vAlign w:val="center"/>
          </w:tcPr>
          <w:p w14:paraId="600C873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C3721F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5D77B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534F27E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06" w:type="dxa"/>
            <w:shd w:val="clear" w:color="auto" w:fill="auto"/>
            <w:vAlign w:val="center"/>
          </w:tcPr>
          <w:p w14:paraId="2213DA3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咸宁市中德环保电力有限公司</w:t>
            </w:r>
          </w:p>
        </w:tc>
      </w:tr>
      <w:tr w14:paraId="0B1C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2235AA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72</w:t>
            </w:r>
          </w:p>
        </w:tc>
        <w:tc>
          <w:tcPr>
            <w:tcW w:w="1538" w:type="dxa"/>
            <w:shd w:val="clear" w:color="auto" w:fill="auto"/>
            <w:vAlign w:val="center"/>
          </w:tcPr>
          <w:p w14:paraId="64F80F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咸安凤凰工业园热电联产项目</w:t>
            </w:r>
          </w:p>
        </w:tc>
        <w:tc>
          <w:tcPr>
            <w:tcW w:w="645" w:type="dxa"/>
            <w:shd w:val="clear" w:color="auto" w:fill="auto"/>
            <w:vAlign w:val="center"/>
          </w:tcPr>
          <w:p w14:paraId="0690087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0C008ED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4225EF2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建成2×12MW生物质热电联产项目，总装机容量2.4万千瓦。</w:t>
            </w:r>
          </w:p>
        </w:tc>
        <w:tc>
          <w:tcPr>
            <w:tcW w:w="2855" w:type="dxa"/>
            <w:shd w:val="clear" w:color="auto" w:fill="auto"/>
            <w:vAlign w:val="center"/>
          </w:tcPr>
          <w:p w14:paraId="1A7CB6D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20C9932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0220B3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3D5B32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06" w:type="dxa"/>
            <w:shd w:val="clear" w:color="auto" w:fill="auto"/>
            <w:vAlign w:val="center"/>
          </w:tcPr>
          <w:p w14:paraId="285F69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咸安经济开发区</w:t>
            </w:r>
          </w:p>
        </w:tc>
      </w:tr>
      <w:tr w14:paraId="042F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85C8A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73</w:t>
            </w:r>
          </w:p>
        </w:tc>
        <w:tc>
          <w:tcPr>
            <w:tcW w:w="1538" w:type="dxa"/>
            <w:shd w:val="clear" w:color="auto" w:fill="auto"/>
            <w:vAlign w:val="center"/>
          </w:tcPr>
          <w:p w14:paraId="74E387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蓝焰生物质热解联产联供项目</w:t>
            </w:r>
          </w:p>
        </w:tc>
        <w:tc>
          <w:tcPr>
            <w:tcW w:w="645" w:type="dxa"/>
            <w:shd w:val="clear" w:color="auto" w:fill="auto"/>
            <w:vAlign w:val="center"/>
          </w:tcPr>
          <w:p w14:paraId="12FF8D9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B3547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38D44BD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用地约50亩，年处理农林废弃物11万吨、年产生生物质燃气1100万㎡、生物质炭1.2万吨、生物质焦油1900吨，可减排二氧化碳14万吨，减排二氧化硫1200吨。</w:t>
            </w:r>
          </w:p>
        </w:tc>
        <w:tc>
          <w:tcPr>
            <w:tcW w:w="2855" w:type="dxa"/>
            <w:shd w:val="clear" w:color="auto" w:fill="auto"/>
            <w:vAlign w:val="center"/>
          </w:tcPr>
          <w:p w14:paraId="3E2BA16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A679D2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8E7DBF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78472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06" w:type="dxa"/>
            <w:shd w:val="clear" w:color="auto" w:fill="auto"/>
            <w:vAlign w:val="center"/>
          </w:tcPr>
          <w:p w14:paraId="207934C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武汉光谷蓝焰新能源股份有限公司</w:t>
            </w:r>
          </w:p>
        </w:tc>
      </w:tr>
      <w:tr w14:paraId="702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FC4FE5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74</w:t>
            </w:r>
          </w:p>
        </w:tc>
        <w:tc>
          <w:tcPr>
            <w:tcW w:w="1538" w:type="dxa"/>
            <w:shd w:val="clear" w:color="auto" w:fill="auto"/>
            <w:vAlign w:val="center"/>
          </w:tcPr>
          <w:p w14:paraId="67B840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生物智能供热项目</w:t>
            </w:r>
          </w:p>
        </w:tc>
        <w:tc>
          <w:tcPr>
            <w:tcW w:w="645" w:type="dxa"/>
            <w:shd w:val="clear" w:color="auto" w:fill="auto"/>
            <w:vAlign w:val="center"/>
          </w:tcPr>
          <w:p w14:paraId="0BF25B4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6358A30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1D2E03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位于武汉新港潘湾工业园，计划投资1.4亿元，拟建设一座生物质锅炉能源站及配套管网，为园区用热企业集中供热，项目一次规划，结合园区热负荷增长情况分期建设。一期拟建设一座2台25t/h的生物质锅炉及其配套设施的能源站，同步建设一套全长约2.5km的智慧热网，二期拟建设一座2套额定蒸发量为35t/h生物质锅炉及配套设施，同步建设全长约12.5km的供热管道。项目建成后，预计年供热能力约50万吨蒸汽，销售收入约1.3亿元，年缴税约850万元。</w:t>
            </w:r>
          </w:p>
        </w:tc>
        <w:tc>
          <w:tcPr>
            <w:tcW w:w="2855" w:type="dxa"/>
            <w:shd w:val="clear" w:color="auto" w:fill="auto"/>
            <w:vAlign w:val="center"/>
          </w:tcPr>
          <w:p w14:paraId="7C84021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01CCC64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444501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52EE32E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1.4</w:t>
            </w:r>
          </w:p>
        </w:tc>
        <w:tc>
          <w:tcPr>
            <w:tcW w:w="1506" w:type="dxa"/>
            <w:shd w:val="clear" w:color="auto" w:fill="auto"/>
            <w:vAlign w:val="center"/>
          </w:tcPr>
          <w:p w14:paraId="2BC5D91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德威节能集团有限公司</w:t>
            </w:r>
          </w:p>
        </w:tc>
      </w:tr>
      <w:tr w14:paraId="58C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88CE0A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75</w:t>
            </w:r>
          </w:p>
        </w:tc>
        <w:tc>
          <w:tcPr>
            <w:tcW w:w="1538" w:type="dxa"/>
            <w:shd w:val="clear" w:color="auto" w:fill="auto"/>
            <w:vAlign w:val="center"/>
          </w:tcPr>
          <w:p w14:paraId="079FA78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园区热电联产项目</w:t>
            </w:r>
          </w:p>
        </w:tc>
        <w:tc>
          <w:tcPr>
            <w:tcW w:w="645" w:type="dxa"/>
            <w:shd w:val="clear" w:color="auto" w:fill="auto"/>
            <w:vAlign w:val="center"/>
          </w:tcPr>
          <w:p w14:paraId="5B4F54B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827AD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5232C7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建设规模为配置3台260t/h高温超高压循环流化床锅炉（2用1备）+2台30MW抽背式汽轮发电机组，建设内容为热力系统、燃烧系统、燃料供应系统、除灰渣系统、水处理系统，供水系统，电气系统、热工控制系统、附属</w:t>
            </w:r>
            <w:r>
              <w:rPr>
                <w:rFonts w:hint="eastAsia" w:ascii="Times New Roman" w:hAnsi="Times New Roman" w:cs="Times New Roman"/>
                <w:sz w:val="21"/>
                <w:szCs w:val="16"/>
                <w:lang w:val="en-US" w:eastAsia="zh-CN"/>
              </w:rPr>
              <w:t>生产</w:t>
            </w:r>
            <w:r>
              <w:rPr>
                <w:rFonts w:hint="default" w:ascii="Times New Roman" w:hAnsi="Times New Roman" w:cs="Times New Roman"/>
                <w:sz w:val="21"/>
                <w:szCs w:val="16"/>
                <w:lang w:val="en-US" w:eastAsia="zh-CN"/>
              </w:rPr>
              <w:t>工程、脱硝工程、附属配套工程等。</w:t>
            </w:r>
          </w:p>
        </w:tc>
        <w:tc>
          <w:tcPr>
            <w:tcW w:w="2855" w:type="dxa"/>
            <w:shd w:val="clear" w:color="auto" w:fill="auto"/>
            <w:vAlign w:val="center"/>
          </w:tcPr>
          <w:p w14:paraId="14545B2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1DDCEF6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B0A73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BAE883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w:t>
            </w:r>
          </w:p>
        </w:tc>
        <w:tc>
          <w:tcPr>
            <w:tcW w:w="1506" w:type="dxa"/>
            <w:shd w:val="clear" w:color="auto" w:fill="auto"/>
            <w:vAlign w:val="center"/>
          </w:tcPr>
          <w:p w14:paraId="5A37D1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通城经开投资集团有限公司</w:t>
            </w:r>
          </w:p>
        </w:tc>
      </w:tr>
      <w:tr w14:paraId="036A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5730DA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充电基础设施</w:t>
            </w:r>
          </w:p>
        </w:tc>
        <w:tc>
          <w:tcPr>
            <w:tcW w:w="3805" w:type="dxa"/>
            <w:shd w:val="clear" w:color="auto" w:fill="auto"/>
            <w:noWrap/>
            <w:vAlign w:val="center"/>
          </w:tcPr>
          <w:p w14:paraId="06DA274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9个</w:t>
            </w:r>
          </w:p>
        </w:tc>
        <w:tc>
          <w:tcPr>
            <w:tcW w:w="2855" w:type="dxa"/>
            <w:shd w:val="clear" w:color="auto" w:fill="auto"/>
            <w:noWrap/>
            <w:vAlign w:val="center"/>
          </w:tcPr>
          <w:p w14:paraId="0DB5658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4B098F1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17411C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5B9FFF3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64.5</w:t>
            </w:r>
          </w:p>
        </w:tc>
        <w:tc>
          <w:tcPr>
            <w:tcW w:w="1506" w:type="dxa"/>
            <w:shd w:val="clear" w:color="auto" w:fill="auto"/>
            <w:noWrap/>
            <w:vAlign w:val="center"/>
          </w:tcPr>
          <w:p w14:paraId="10953C9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2A78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4352F9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76</w:t>
            </w:r>
          </w:p>
        </w:tc>
        <w:tc>
          <w:tcPr>
            <w:tcW w:w="1538" w:type="dxa"/>
            <w:shd w:val="clear" w:color="auto" w:fill="auto"/>
            <w:vAlign w:val="center"/>
          </w:tcPr>
          <w:p w14:paraId="66B4A8D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咸安区充电基础设施建设项目</w:t>
            </w:r>
          </w:p>
        </w:tc>
        <w:tc>
          <w:tcPr>
            <w:tcW w:w="645" w:type="dxa"/>
            <w:shd w:val="clear" w:color="auto" w:fill="auto"/>
            <w:vAlign w:val="center"/>
          </w:tcPr>
          <w:p w14:paraId="77848FF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0ED2DD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201FC97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充电基础设施实现具备条件的城市居住区</w:t>
            </w:r>
            <w:r>
              <w:rPr>
                <w:rFonts w:hint="eastAsia" w:ascii="Times New Roman" w:hAnsi="Times New Roman" w:cs="Times New Roman"/>
                <w:sz w:val="21"/>
                <w:szCs w:val="16"/>
                <w:lang w:val="en-US" w:eastAsia="zh-CN"/>
              </w:rPr>
              <w:t>、</w:t>
            </w:r>
            <w:r>
              <w:rPr>
                <w:rFonts w:hint="default" w:ascii="Times New Roman" w:hAnsi="Times New Roman" w:cs="Times New Roman"/>
                <w:sz w:val="21"/>
                <w:szCs w:val="16"/>
                <w:lang w:val="en-US" w:eastAsia="zh-CN"/>
              </w:rPr>
              <w:t>城市办公区和“三中心”、城市公共停车场站、城市运转专用场站、A级以上旅游景区、高速公路服务区全覆盖，公共快充站县区全覆盖、公共充电站乡镇全覆盖。</w:t>
            </w:r>
          </w:p>
        </w:tc>
        <w:tc>
          <w:tcPr>
            <w:tcW w:w="2855" w:type="dxa"/>
            <w:shd w:val="clear" w:color="auto" w:fill="auto"/>
            <w:vAlign w:val="center"/>
          </w:tcPr>
          <w:p w14:paraId="6DBD5EF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已完成部分小区及行政事业单位公共充电设施建设。</w:t>
            </w:r>
          </w:p>
        </w:tc>
        <w:tc>
          <w:tcPr>
            <w:tcW w:w="711" w:type="dxa"/>
            <w:shd w:val="clear" w:color="auto" w:fill="auto"/>
            <w:vAlign w:val="center"/>
          </w:tcPr>
          <w:p w14:paraId="27B66EE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31D107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2064C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w:t>
            </w:r>
          </w:p>
        </w:tc>
        <w:tc>
          <w:tcPr>
            <w:tcW w:w="1506" w:type="dxa"/>
            <w:shd w:val="clear" w:color="auto" w:fill="auto"/>
            <w:vAlign w:val="center"/>
          </w:tcPr>
          <w:p w14:paraId="442F40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咸安区源通出租车有限责任公司</w:t>
            </w:r>
          </w:p>
        </w:tc>
      </w:tr>
      <w:tr w14:paraId="64C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4FC2A49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77</w:t>
            </w:r>
          </w:p>
        </w:tc>
        <w:tc>
          <w:tcPr>
            <w:tcW w:w="1538" w:type="dxa"/>
            <w:shd w:val="clear" w:color="auto" w:fill="auto"/>
            <w:vAlign w:val="center"/>
          </w:tcPr>
          <w:p w14:paraId="4648BC1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534035</wp:posOffset>
                  </wp:positionH>
                  <wp:positionV relativeFrom="paragraph">
                    <wp:posOffset>0</wp:posOffset>
                  </wp:positionV>
                  <wp:extent cx="992505" cy="50165"/>
                  <wp:effectExtent l="0" t="0" r="0" b="0"/>
                  <wp:wrapNone/>
                  <wp:docPr id="560" name="Picture_99_SpCnt_1"/>
                  <wp:cNvGraphicFramePr/>
                  <a:graphic xmlns:a="http://schemas.openxmlformats.org/drawingml/2006/main">
                    <a:graphicData uri="http://schemas.openxmlformats.org/drawingml/2006/picture">
                      <pic:pic xmlns:pic="http://schemas.openxmlformats.org/drawingml/2006/picture">
                        <pic:nvPicPr>
                          <pic:cNvPr id="560" name="Picture_99_SpCnt_1"/>
                          <pic:cNvPicPr/>
                        </pic:nvPicPr>
                        <pic:blipFill>
                          <a:blip r:embed="rId15"/>
                          <a:stretch>
                            <a:fillRect/>
                          </a:stretch>
                        </pic:blipFill>
                        <pic:spPr>
                          <a:xfrm>
                            <a:off x="0" y="0"/>
                            <a:ext cx="992505" cy="50165"/>
                          </a:xfrm>
                          <a:prstGeom prst="rect">
                            <a:avLst/>
                          </a:prstGeom>
                          <a:noFill/>
                          <a:ln>
                            <a:noFill/>
                          </a:ln>
                        </pic:spPr>
                      </pic:pic>
                    </a:graphicData>
                  </a:graphic>
                </wp:anchor>
              </w:drawing>
            </w: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643890</wp:posOffset>
                  </wp:positionH>
                  <wp:positionV relativeFrom="paragraph">
                    <wp:posOffset>0</wp:posOffset>
                  </wp:positionV>
                  <wp:extent cx="993140" cy="50165"/>
                  <wp:effectExtent l="0" t="0" r="0" b="0"/>
                  <wp:wrapNone/>
                  <wp:docPr id="561" name="Picture_99_SpCnt_2"/>
                  <wp:cNvGraphicFramePr/>
                  <a:graphic xmlns:a="http://schemas.openxmlformats.org/drawingml/2006/main">
                    <a:graphicData uri="http://schemas.openxmlformats.org/drawingml/2006/picture">
                      <pic:pic xmlns:pic="http://schemas.openxmlformats.org/drawingml/2006/picture">
                        <pic:nvPicPr>
                          <pic:cNvPr id="561" name="Picture_99_SpCnt_2"/>
                          <pic:cNvPicPr/>
                        </pic:nvPicPr>
                        <pic:blipFill>
                          <a:blip r:embed="rId15"/>
                          <a:stretch>
                            <a:fillRect/>
                          </a:stretch>
                        </pic:blipFill>
                        <pic:spPr>
                          <a:xfrm>
                            <a:off x="0" y="0"/>
                            <a:ext cx="993140" cy="50165"/>
                          </a:xfrm>
                          <a:prstGeom prst="rect">
                            <a:avLst/>
                          </a:prstGeom>
                          <a:noFill/>
                          <a:ln>
                            <a:noFill/>
                          </a:ln>
                        </pic:spPr>
                      </pic:pic>
                    </a:graphicData>
                  </a:graphic>
                </wp:anchor>
              </w:drawing>
            </w:r>
            <w:r>
              <w:rPr>
                <w:rFonts w:hint="default" w:ascii="Times New Roman" w:hAnsi="Times New Roman" w:cs="Times New Roman"/>
                <w:sz w:val="21"/>
                <w:szCs w:val="16"/>
                <w:lang w:val="en-US" w:eastAsia="zh-CN"/>
              </w:rPr>
              <w:t>咸宁绿电交通项目</w:t>
            </w:r>
          </w:p>
        </w:tc>
        <w:tc>
          <w:tcPr>
            <w:tcW w:w="645" w:type="dxa"/>
            <w:shd w:val="clear" w:color="auto" w:fill="auto"/>
            <w:vAlign w:val="center"/>
          </w:tcPr>
          <w:p w14:paraId="05A6DE2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4C4418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7237D7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用地面积预计53.8亩，主要建设6个站点，充换电站17座，单座站建筑面积约200平方米，新建17台箱式变压器，单座站建设4—7台320kW充电架载机。根据咸宁现有重卡市场保有量以及预估未来场景需求，拟在市内适当超前布局充换电设施，实现咸安重卡绿电交通布局。</w:t>
            </w:r>
          </w:p>
        </w:tc>
        <w:tc>
          <w:tcPr>
            <w:tcW w:w="2855" w:type="dxa"/>
            <w:shd w:val="clear" w:color="auto" w:fill="auto"/>
            <w:vAlign w:val="center"/>
          </w:tcPr>
          <w:p w14:paraId="1A76C83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前期已在汀泗桥镇和贺胜桥镇、双溪桥镇各分别投入运行1个充换电站。拟着手温泉街道站点建设，正在洽谈泉塘建设地块。</w:t>
            </w:r>
          </w:p>
        </w:tc>
        <w:tc>
          <w:tcPr>
            <w:tcW w:w="711" w:type="dxa"/>
            <w:shd w:val="clear" w:color="auto" w:fill="auto"/>
            <w:vAlign w:val="center"/>
          </w:tcPr>
          <w:p w14:paraId="5642E66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2024</w:t>
            </w:r>
          </w:p>
        </w:tc>
        <w:tc>
          <w:tcPr>
            <w:tcW w:w="742" w:type="dxa"/>
            <w:shd w:val="clear" w:color="auto" w:fill="auto"/>
            <w:vAlign w:val="center"/>
          </w:tcPr>
          <w:p w14:paraId="781ED11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8976E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2.8</w:t>
            </w:r>
          </w:p>
        </w:tc>
        <w:tc>
          <w:tcPr>
            <w:tcW w:w="1506" w:type="dxa"/>
            <w:shd w:val="clear" w:color="auto" w:fill="auto"/>
            <w:vAlign w:val="center"/>
          </w:tcPr>
          <w:p w14:paraId="03B26B0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咸宁焕电科技有限公司</w:t>
            </w:r>
          </w:p>
        </w:tc>
      </w:tr>
      <w:tr w14:paraId="5043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AE32F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78</w:t>
            </w:r>
          </w:p>
        </w:tc>
        <w:tc>
          <w:tcPr>
            <w:tcW w:w="1538" w:type="dxa"/>
            <w:shd w:val="clear" w:color="auto" w:fill="auto"/>
            <w:vAlign w:val="center"/>
          </w:tcPr>
          <w:p w14:paraId="0AF805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全县充电基础设施建设项目</w:t>
            </w:r>
          </w:p>
        </w:tc>
        <w:tc>
          <w:tcPr>
            <w:tcW w:w="645" w:type="dxa"/>
            <w:shd w:val="clear" w:color="auto" w:fill="auto"/>
            <w:vAlign w:val="center"/>
          </w:tcPr>
          <w:p w14:paraId="486D745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011EFD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5E682E4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2024年，加快建成全县农村充电网络主要节点架构，优先推进经济强村、人口大村、交通节点村、旅游名村的充电设施建设。2025年，以高速出入口、关键交通节点充电设施建设为主。2026年，对国省干道沿线充电设施进行加密优化，形成充电及时高效、出行保障有力的公路沿线充电网络，三年累计建成271个充电桩。嘉鱼县域13座公共停车场新建195座充电桩</w:t>
            </w:r>
          </w:p>
        </w:tc>
        <w:tc>
          <w:tcPr>
            <w:tcW w:w="2855" w:type="dxa"/>
            <w:shd w:val="clear" w:color="auto" w:fill="auto"/>
            <w:vAlign w:val="center"/>
          </w:tcPr>
          <w:p w14:paraId="3424E4A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已纳入湖北省嘉鱼县农村充电基础设施建设方案</w:t>
            </w:r>
          </w:p>
        </w:tc>
        <w:tc>
          <w:tcPr>
            <w:tcW w:w="711" w:type="dxa"/>
            <w:shd w:val="clear" w:color="auto" w:fill="auto"/>
            <w:vAlign w:val="center"/>
          </w:tcPr>
          <w:p w14:paraId="1DB9228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3DAA21E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3067FB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0.7</w:t>
            </w:r>
          </w:p>
        </w:tc>
        <w:tc>
          <w:tcPr>
            <w:tcW w:w="1506" w:type="dxa"/>
            <w:shd w:val="clear" w:color="auto" w:fill="auto"/>
            <w:vAlign w:val="center"/>
          </w:tcPr>
          <w:p w14:paraId="541577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交建集团、城投公司、交通局</w:t>
            </w:r>
          </w:p>
        </w:tc>
      </w:tr>
      <w:tr w14:paraId="1B19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673A06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79</w:t>
            </w:r>
          </w:p>
        </w:tc>
        <w:tc>
          <w:tcPr>
            <w:tcW w:w="1538" w:type="dxa"/>
            <w:shd w:val="clear" w:color="auto" w:fill="auto"/>
            <w:vAlign w:val="center"/>
          </w:tcPr>
          <w:p w14:paraId="10B22CE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宁德时代零碳城市项目</w:t>
            </w:r>
          </w:p>
        </w:tc>
        <w:tc>
          <w:tcPr>
            <w:tcW w:w="645" w:type="dxa"/>
            <w:shd w:val="clear" w:color="auto" w:fill="auto"/>
            <w:vAlign w:val="center"/>
          </w:tcPr>
          <w:p w14:paraId="66C3E7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A9334F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68B000D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建设新能源公共交通快充电池换电站，打造光充储一体化网络，建设低空交通锂电配套产业，构建“源网荷储”智慧能源体系，共建零碳文旅场景。</w:t>
            </w:r>
          </w:p>
        </w:tc>
        <w:tc>
          <w:tcPr>
            <w:tcW w:w="2855" w:type="dxa"/>
            <w:shd w:val="clear" w:color="auto" w:fill="auto"/>
            <w:vAlign w:val="center"/>
          </w:tcPr>
          <w:p w14:paraId="5B46111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4134093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5E418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738DE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50</w:t>
            </w:r>
          </w:p>
        </w:tc>
        <w:tc>
          <w:tcPr>
            <w:tcW w:w="1506" w:type="dxa"/>
            <w:shd w:val="clear" w:color="auto" w:fill="auto"/>
            <w:vAlign w:val="center"/>
          </w:tcPr>
          <w:p w14:paraId="0E21129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时代骐骥新能源科技（咸宁）有限公司</w:t>
            </w:r>
          </w:p>
        </w:tc>
      </w:tr>
      <w:tr w14:paraId="1028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957DA8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80</w:t>
            </w:r>
          </w:p>
        </w:tc>
        <w:tc>
          <w:tcPr>
            <w:tcW w:w="1538" w:type="dxa"/>
            <w:shd w:val="clear" w:color="auto" w:fill="auto"/>
            <w:vAlign w:val="center"/>
          </w:tcPr>
          <w:p w14:paraId="74C0F0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充电桩建设</w:t>
            </w:r>
          </w:p>
        </w:tc>
        <w:tc>
          <w:tcPr>
            <w:tcW w:w="645" w:type="dxa"/>
            <w:shd w:val="clear" w:color="auto" w:fill="auto"/>
            <w:noWrap/>
            <w:vAlign w:val="center"/>
          </w:tcPr>
          <w:p w14:paraId="3EFB174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noWrap/>
            <w:vAlign w:val="center"/>
          </w:tcPr>
          <w:p w14:paraId="2C05C7C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56658E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新建650个60kW直流充电桩，50个7kW交流充电桩，5个120kW直流充电，4个V2G型120kW直流充电桩，建设停车位罩棚10872m，配套干粉灭火器 353个、投光灯1233盏、监控摄像头436个、63套供配电及监控等配套设施，安装1200.00m面积的光伏板及645.00kwh容量储能站等配套设施，在32个小区建设电动车充电桩共53套。</w:t>
            </w:r>
          </w:p>
        </w:tc>
        <w:tc>
          <w:tcPr>
            <w:tcW w:w="2855" w:type="dxa"/>
            <w:shd w:val="clear" w:color="auto" w:fill="auto"/>
            <w:vAlign w:val="center"/>
          </w:tcPr>
          <w:p w14:paraId="0EBC1A7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建成并运营73个充电站点，配备充电桩351台、合计401个充电接口，其中直流充电桩161台（246枪）、交流充电桩140台（155枪）</w:t>
            </w:r>
          </w:p>
        </w:tc>
        <w:tc>
          <w:tcPr>
            <w:tcW w:w="711" w:type="dxa"/>
            <w:shd w:val="clear" w:color="auto" w:fill="auto"/>
            <w:noWrap/>
            <w:vAlign w:val="center"/>
          </w:tcPr>
          <w:p w14:paraId="77636CA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2023</w:t>
            </w:r>
          </w:p>
        </w:tc>
        <w:tc>
          <w:tcPr>
            <w:tcW w:w="742" w:type="dxa"/>
            <w:shd w:val="clear" w:color="auto" w:fill="auto"/>
            <w:noWrap/>
            <w:vAlign w:val="center"/>
          </w:tcPr>
          <w:p w14:paraId="10124B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noWrap/>
            <w:vAlign w:val="center"/>
          </w:tcPr>
          <w:p w14:paraId="7A45B11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0.98</w:t>
            </w:r>
          </w:p>
        </w:tc>
        <w:tc>
          <w:tcPr>
            <w:tcW w:w="1506" w:type="dxa"/>
            <w:shd w:val="clear" w:color="auto" w:fill="auto"/>
            <w:vAlign w:val="center"/>
          </w:tcPr>
          <w:p w14:paraId="30B8251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赤壁市科信局</w:t>
            </w:r>
          </w:p>
        </w:tc>
      </w:tr>
      <w:tr w14:paraId="2807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040CAB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81</w:t>
            </w:r>
          </w:p>
        </w:tc>
        <w:tc>
          <w:tcPr>
            <w:tcW w:w="1538" w:type="dxa"/>
            <w:shd w:val="clear" w:color="auto" w:fill="auto"/>
            <w:vAlign w:val="center"/>
          </w:tcPr>
          <w:p w14:paraId="75638A7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赤壁市光充储一体化建设</w:t>
            </w:r>
          </w:p>
        </w:tc>
        <w:tc>
          <w:tcPr>
            <w:tcW w:w="645" w:type="dxa"/>
            <w:shd w:val="clear" w:color="auto" w:fill="auto"/>
            <w:noWrap/>
            <w:vAlign w:val="center"/>
          </w:tcPr>
          <w:p w14:paraId="735F461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noWrap/>
            <w:vAlign w:val="center"/>
          </w:tcPr>
          <w:p w14:paraId="3FC147A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48F57A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拟对现有城区48个停⻋场进行升级改造，建设光充储一体化（充换）电站，配置光伏、储能，按照⻋位数配置充电桩，满足日益增⻓的新能源汽⻋充电需求，计划建成48 个充换电站</w:t>
            </w:r>
          </w:p>
        </w:tc>
        <w:tc>
          <w:tcPr>
            <w:tcW w:w="2855" w:type="dxa"/>
            <w:shd w:val="clear" w:color="auto" w:fill="auto"/>
            <w:vAlign w:val="center"/>
          </w:tcPr>
          <w:p w14:paraId="02A1DE8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赤强驾校项目整体已完成约60%。待项目资金到位后立即启动政务中心、图书馆、龙翔山停车场等站点的光充储一体化改造工作</w:t>
            </w:r>
          </w:p>
        </w:tc>
        <w:tc>
          <w:tcPr>
            <w:tcW w:w="711" w:type="dxa"/>
            <w:shd w:val="clear" w:color="auto" w:fill="auto"/>
            <w:noWrap/>
            <w:vAlign w:val="center"/>
          </w:tcPr>
          <w:p w14:paraId="2C8E45C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noWrap/>
            <w:vAlign w:val="center"/>
          </w:tcPr>
          <w:p w14:paraId="69C9E9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noWrap/>
            <w:vAlign w:val="center"/>
          </w:tcPr>
          <w:p w14:paraId="4732412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1.37</w:t>
            </w:r>
          </w:p>
        </w:tc>
        <w:tc>
          <w:tcPr>
            <w:tcW w:w="1506" w:type="dxa"/>
            <w:shd w:val="clear" w:color="auto" w:fill="auto"/>
            <w:vAlign w:val="center"/>
          </w:tcPr>
          <w:p w14:paraId="186AC4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赤壁城发智慧停车运营管理有限公司</w:t>
            </w:r>
          </w:p>
        </w:tc>
      </w:tr>
      <w:tr w14:paraId="1F25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702E1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82</w:t>
            </w:r>
          </w:p>
        </w:tc>
        <w:tc>
          <w:tcPr>
            <w:tcW w:w="1538" w:type="dxa"/>
            <w:shd w:val="clear" w:color="auto" w:fill="auto"/>
            <w:vAlign w:val="center"/>
          </w:tcPr>
          <w:p w14:paraId="0E5D91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赤壁市充放储一体化项目</w:t>
            </w:r>
          </w:p>
        </w:tc>
        <w:tc>
          <w:tcPr>
            <w:tcW w:w="645" w:type="dxa"/>
            <w:shd w:val="clear" w:color="auto" w:fill="auto"/>
            <w:noWrap/>
            <w:vAlign w:val="center"/>
          </w:tcPr>
          <w:p w14:paraId="4D3BEC9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C9DBF6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26451B0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 460 个 480kW 液冷直流充电桩，300 个 7kW 交流充电桩，60 个 V2G 型 120kW 直流充电桩；建设停车位罩棚15,000 ㎡，配套水基灭火器 500 个、投光灯 1,200 盏、监控摄像头 450 个、供配电系统 62 套；安装 12,000 ㎡面积的光伏板，总装机容量 2.72MWp，安装 10 套装机容量 1,000kWh的储能站。</w:t>
            </w:r>
          </w:p>
        </w:tc>
        <w:tc>
          <w:tcPr>
            <w:tcW w:w="2855" w:type="dxa"/>
            <w:shd w:val="clear" w:color="auto" w:fill="auto"/>
            <w:vAlign w:val="center"/>
          </w:tcPr>
          <w:p w14:paraId="44AB939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前期手续已经全部办理完成，准备进行招投标。</w:t>
            </w:r>
          </w:p>
        </w:tc>
        <w:tc>
          <w:tcPr>
            <w:tcW w:w="711" w:type="dxa"/>
            <w:shd w:val="clear" w:color="auto" w:fill="auto"/>
            <w:noWrap/>
            <w:vAlign w:val="center"/>
          </w:tcPr>
          <w:p w14:paraId="23B060C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noWrap/>
            <w:vAlign w:val="center"/>
          </w:tcPr>
          <w:p w14:paraId="4BE696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noWrap/>
            <w:vAlign w:val="center"/>
          </w:tcPr>
          <w:p w14:paraId="1D2AB1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2.4</w:t>
            </w:r>
          </w:p>
        </w:tc>
        <w:tc>
          <w:tcPr>
            <w:tcW w:w="1506" w:type="dxa"/>
            <w:shd w:val="clear" w:color="auto" w:fill="auto"/>
            <w:vAlign w:val="center"/>
          </w:tcPr>
          <w:p w14:paraId="10449B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赤壁市科信局</w:t>
            </w:r>
          </w:p>
        </w:tc>
      </w:tr>
      <w:tr w14:paraId="291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0991E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83</w:t>
            </w:r>
          </w:p>
        </w:tc>
        <w:tc>
          <w:tcPr>
            <w:tcW w:w="1538" w:type="dxa"/>
            <w:shd w:val="clear" w:color="auto" w:fill="auto"/>
            <w:vAlign w:val="center"/>
          </w:tcPr>
          <w:p w14:paraId="297F3F3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崇阳县城市综合停车充电基础设施建设项目</w:t>
            </w:r>
          </w:p>
        </w:tc>
        <w:tc>
          <w:tcPr>
            <w:tcW w:w="645" w:type="dxa"/>
            <w:shd w:val="clear" w:color="auto" w:fill="auto"/>
            <w:vAlign w:val="center"/>
          </w:tcPr>
          <w:p w14:paraId="4BE7C32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D2AF79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341DB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建设充电站228座，充电桩2388个，购置新能源纯电动公交车178台，配套建设电力工程、雨棚、监控等辅助设施。</w:t>
            </w:r>
          </w:p>
        </w:tc>
        <w:tc>
          <w:tcPr>
            <w:tcW w:w="2855" w:type="dxa"/>
            <w:shd w:val="clear" w:color="auto" w:fill="auto"/>
            <w:vAlign w:val="center"/>
          </w:tcPr>
          <w:p w14:paraId="18F31EE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6FEA6D1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2024</w:t>
            </w:r>
          </w:p>
        </w:tc>
        <w:tc>
          <w:tcPr>
            <w:tcW w:w="742" w:type="dxa"/>
            <w:shd w:val="clear" w:color="auto" w:fill="auto"/>
            <w:vAlign w:val="center"/>
          </w:tcPr>
          <w:p w14:paraId="7EE919E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CCB1AD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2.68</w:t>
            </w:r>
          </w:p>
        </w:tc>
        <w:tc>
          <w:tcPr>
            <w:tcW w:w="1506" w:type="dxa"/>
            <w:shd w:val="clear" w:color="auto" w:fill="auto"/>
            <w:vAlign w:val="center"/>
          </w:tcPr>
          <w:p w14:paraId="3226E53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崇阳瑞阳交通投资集团有限责任公司</w:t>
            </w:r>
          </w:p>
        </w:tc>
      </w:tr>
      <w:tr w14:paraId="3946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EAD977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84</w:t>
            </w:r>
          </w:p>
        </w:tc>
        <w:tc>
          <w:tcPr>
            <w:tcW w:w="1538" w:type="dxa"/>
            <w:shd w:val="clear" w:color="auto" w:fill="auto"/>
            <w:vAlign w:val="center"/>
          </w:tcPr>
          <w:p w14:paraId="49D644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通山县县域充换电设施补短板试点县项目</w:t>
            </w:r>
          </w:p>
        </w:tc>
        <w:tc>
          <w:tcPr>
            <w:tcW w:w="645" w:type="dxa"/>
            <w:shd w:val="clear" w:color="auto" w:fill="auto"/>
            <w:noWrap/>
            <w:vAlign w:val="center"/>
          </w:tcPr>
          <w:p w14:paraId="6D166E9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noWrap/>
            <w:vAlign w:val="center"/>
          </w:tcPr>
          <w:p w14:paraId="7CD11C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03F134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项目覆盖县域内重点村镇及周边地区，计划新建充电站23座及相关配套设施，应用场景涵盖交通综合服务站、邮政快递站点、农村物流节点、“四好农村路”沿线、3A级及以下旅游景区等。</w:t>
            </w:r>
          </w:p>
        </w:tc>
        <w:tc>
          <w:tcPr>
            <w:tcW w:w="2855" w:type="dxa"/>
            <w:shd w:val="clear" w:color="auto" w:fill="auto"/>
            <w:vAlign w:val="center"/>
          </w:tcPr>
          <w:p w14:paraId="4DB8CF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项目于2025年8月开工，建设周期为36个月。</w:t>
            </w:r>
          </w:p>
        </w:tc>
        <w:tc>
          <w:tcPr>
            <w:tcW w:w="711" w:type="dxa"/>
            <w:shd w:val="clear" w:color="auto" w:fill="auto"/>
            <w:noWrap/>
            <w:vAlign w:val="center"/>
          </w:tcPr>
          <w:p w14:paraId="6914DA8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noWrap/>
            <w:vAlign w:val="center"/>
          </w:tcPr>
          <w:p w14:paraId="00026D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noWrap/>
            <w:vAlign w:val="center"/>
          </w:tcPr>
          <w:p w14:paraId="144030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0.57</w:t>
            </w:r>
          </w:p>
        </w:tc>
        <w:tc>
          <w:tcPr>
            <w:tcW w:w="1506" w:type="dxa"/>
            <w:shd w:val="clear" w:color="auto" w:fill="auto"/>
            <w:vAlign w:val="center"/>
          </w:tcPr>
          <w:p w14:paraId="59428EB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湖北嘉畅分布式交流充电桩有限公司</w:t>
            </w:r>
          </w:p>
        </w:tc>
      </w:tr>
      <w:tr w14:paraId="04AB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4D2887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油气</w:t>
            </w:r>
          </w:p>
        </w:tc>
        <w:tc>
          <w:tcPr>
            <w:tcW w:w="3805" w:type="dxa"/>
            <w:shd w:val="clear" w:color="auto" w:fill="auto"/>
            <w:noWrap/>
            <w:vAlign w:val="center"/>
          </w:tcPr>
          <w:p w14:paraId="6E44740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13个</w:t>
            </w:r>
          </w:p>
        </w:tc>
        <w:tc>
          <w:tcPr>
            <w:tcW w:w="2855" w:type="dxa"/>
            <w:shd w:val="clear" w:color="auto" w:fill="auto"/>
            <w:noWrap/>
            <w:vAlign w:val="center"/>
          </w:tcPr>
          <w:p w14:paraId="3A4C85A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48687CB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56728C7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137F07D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51.825</w:t>
            </w:r>
          </w:p>
        </w:tc>
        <w:tc>
          <w:tcPr>
            <w:tcW w:w="1506" w:type="dxa"/>
            <w:shd w:val="clear" w:color="auto" w:fill="auto"/>
            <w:noWrap/>
            <w:vAlign w:val="center"/>
          </w:tcPr>
          <w:p w14:paraId="540120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30A9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4423A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85</w:t>
            </w:r>
          </w:p>
        </w:tc>
        <w:tc>
          <w:tcPr>
            <w:tcW w:w="1538" w:type="dxa"/>
            <w:shd w:val="clear" w:color="auto" w:fill="auto"/>
            <w:vAlign w:val="center"/>
          </w:tcPr>
          <w:p w14:paraId="6B8704D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中铁加仑咸宁市LNG铁路接储销物流产业园项目</w:t>
            </w:r>
          </w:p>
        </w:tc>
        <w:tc>
          <w:tcPr>
            <w:tcW w:w="645" w:type="dxa"/>
            <w:shd w:val="clear" w:color="auto" w:fill="auto"/>
            <w:noWrap/>
            <w:vAlign w:val="center"/>
          </w:tcPr>
          <w:p w14:paraId="26C947B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577BF13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3128C59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用地500亩LNG储备仓储物流园，LNG储气规模9600万立方米。1000台标准LNG集装箱、10万立方米的LNG铁路接卸调峰储备仓储的LNG铁路接卸调峰储备仓储物流园区、LNG物流货场、配套设施、办公区以及LNG接储销系统及自动化工程系统等。</w:t>
            </w:r>
          </w:p>
        </w:tc>
        <w:tc>
          <w:tcPr>
            <w:tcW w:w="2855" w:type="dxa"/>
            <w:shd w:val="clear" w:color="auto" w:fill="auto"/>
            <w:vAlign w:val="center"/>
          </w:tcPr>
          <w:p w14:paraId="39CD153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vAlign w:val="center"/>
          </w:tcPr>
          <w:p w14:paraId="7DF83A9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73FCF77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0177D42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25</w:t>
            </w:r>
          </w:p>
        </w:tc>
        <w:tc>
          <w:tcPr>
            <w:tcW w:w="1506" w:type="dxa"/>
            <w:shd w:val="clear" w:color="auto" w:fill="auto"/>
            <w:vAlign w:val="center"/>
          </w:tcPr>
          <w:p w14:paraId="054D4B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加仑中铁液化天然气物流（湖北）有限公司</w:t>
            </w:r>
          </w:p>
        </w:tc>
      </w:tr>
      <w:tr w14:paraId="6ECA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AE2672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86</w:t>
            </w:r>
          </w:p>
        </w:tc>
        <w:tc>
          <w:tcPr>
            <w:tcW w:w="1538" w:type="dxa"/>
            <w:shd w:val="clear" w:color="auto" w:fill="auto"/>
            <w:vAlign w:val="center"/>
          </w:tcPr>
          <w:p w14:paraId="0DBAF2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咸安区仪长原油管道外迁项目</w:t>
            </w:r>
          </w:p>
        </w:tc>
        <w:tc>
          <w:tcPr>
            <w:tcW w:w="645" w:type="dxa"/>
            <w:shd w:val="clear" w:color="auto" w:fill="auto"/>
            <w:vAlign w:val="center"/>
          </w:tcPr>
          <w:p w14:paraId="1012241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noWrap/>
            <w:vAlign w:val="center"/>
          </w:tcPr>
          <w:p w14:paraId="17459A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5DF842F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仪长原油管道始建于2005年，经过咸安区双溪桥镇、横沟桥镇、官埠桥镇、向阳湖镇和汀泗桥镇，全长约40千米。制约城市发展，目前已经形成人员密集型高后果区和环境敏感型高后果区，存在较大安全生产和环境污染风险。拟将该管道外迁至城区以外，改迁距离约30千米。</w:t>
            </w:r>
          </w:p>
        </w:tc>
        <w:tc>
          <w:tcPr>
            <w:tcW w:w="2855" w:type="dxa"/>
            <w:shd w:val="clear" w:color="auto" w:fill="auto"/>
            <w:noWrap/>
            <w:vAlign w:val="center"/>
          </w:tcPr>
          <w:p w14:paraId="161AFA8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44327AC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6B2BF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noWrap/>
            <w:vAlign w:val="center"/>
          </w:tcPr>
          <w:p w14:paraId="744E1B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1BA75F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地方政府（国家管网）</w:t>
            </w:r>
          </w:p>
        </w:tc>
      </w:tr>
      <w:tr w14:paraId="0691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F9E729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87</w:t>
            </w:r>
          </w:p>
        </w:tc>
        <w:tc>
          <w:tcPr>
            <w:tcW w:w="1538" w:type="dxa"/>
            <w:shd w:val="clear" w:color="auto" w:fill="auto"/>
            <w:vAlign w:val="center"/>
          </w:tcPr>
          <w:p w14:paraId="182F91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咸安区兰郑长成品油管道外迁项目</w:t>
            </w:r>
          </w:p>
        </w:tc>
        <w:tc>
          <w:tcPr>
            <w:tcW w:w="645" w:type="dxa"/>
            <w:shd w:val="clear" w:color="auto" w:fill="auto"/>
            <w:vAlign w:val="center"/>
          </w:tcPr>
          <w:p w14:paraId="0B47EE8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noWrap/>
            <w:vAlign w:val="center"/>
          </w:tcPr>
          <w:p w14:paraId="68FADC3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3481516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兰郑长成品油管道始建于2008年，管径508mm，经过咸安区贺胜桥镇、横沟桥镇、官埠桥镇、向阳湖镇和汀泗桥镇，全长约33.5千米。制约城市发展，在城区有门分输（下载）站一座。目前已经形成人员密集型高后果区和环境敏感型高后果区，存在较大安全生产和环境污染风险。拟将该管道外迁至城区以外，改迁距离约20千米。</w:t>
            </w:r>
          </w:p>
        </w:tc>
        <w:tc>
          <w:tcPr>
            <w:tcW w:w="2855" w:type="dxa"/>
            <w:shd w:val="clear" w:color="auto" w:fill="auto"/>
            <w:noWrap/>
            <w:vAlign w:val="center"/>
          </w:tcPr>
          <w:p w14:paraId="6076FC9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15B06F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5CDF023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noWrap/>
            <w:vAlign w:val="center"/>
          </w:tcPr>
          <w:p w14:paraId="3431BF2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5.5</w:t>
            </w:r>
          </w:p>
        </w:tc>
        <w:tc>
          <w:tcPr>
            <w:tcW w:w="1506" w:type="dxa"/>
            <w:shd w:val="clear" w:color="auto" w:fill="auto"/>
            <w:vAlign w:val="center"/>
          </w:tcPr>
          <w:p w14:paraId="0765613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地方政府（国家管网）</w:t>
            </w:r>
          </w:p>
        </w:tc>
      </w:tr>
      <w:tr w14:paraId="22D7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AB905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88</w:t>
            </w:r>
          </w:p>
        </w:tc>
        <w:tc>
          <w:tcPr>
            <w:tcW w:w="1538" w:type="dxa"/>
            <w:shd w:val="clear" w:color="auto" w:fill="auto"/>
            <w:vAlign w:val="center"/>
          </w:tcPr>
          <w:p w14:paraId="686665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嘉鱼县“武赤线”天然气管道搬迁改造工程</w:t>
            </w:r>
          </w:p>
        </w:tc>
        <w:tc>
          <w:tcPr>
            <w:tcW w:w="645" w:type="dxa"/>
            <w:shd w:val="clear" w:color="auto" w:fill="auto"/>
            <w:vAlign w:val="center"/>
          </w:tcPr>
          <w:p w14:paraId="77F4AAA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noWrap/>
            <w:vAlign w:val="center"/>
          </w:tcPr>
          <w:p w14:paraId="2C62DB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1B4A599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将天然气管道“武赤线”新街至官桥石鼓岭段（城区段）迁改到武深高速外围，线路长度约20千米；将“武赤线”嘉鱼分输站（东湖学院北门）搬迁到武深高速外围；将华润燃气门站（东湖学院北门）搬迁至武深高速外围。</w:t>
            </w:r>
          </w:p>
        </w:tc>
        <w:tc>
          <w:tcPr>
            <w:tcW w:w="2855" w:type="dxa"/>
            <w:shd w:val="clear" w:color="auto" w:fill="auto"/>
            <w:noWrap/>
            <w:vAlign w:val="center"/>
          </w:tcPr>
          <w:p w14:paraId="0757D0D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2E4FFB8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A0B7FB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noWrap/>
            <w:vAlign w:val="center"/>
          </w:tcPr>
          <w:p w14:paraId="696FBE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6.7</w:t>
            </w:r>
          </w:p>
        </w:tc>
        <w:tc>
          <w:tcPr>
            <w:tcW w:w="1506" w:type="dxa"/>
            <w:shd w:val="clear" w:color="auto" w:fill="auto"/>
            <w:vAlign w:val="center"/>
          </w:tcPr>
          <w:p w14:paraId="53D6D1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嘉鱼县住建局</w:t>
            </w:r>
          </w:p>
        </w:tc>
      </w:tr>
      <w:tr w14:paraId="623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EB407F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89</w:t>
            </w:r>
          </w:p>
        </w:tc>
        <w:tc>
          <w:tcPr>
            <w:tcW w:w="1538" w:type="dxa"/>
            <w:shd w:val="clear" w:color="auto" w:fill="auto"/>
            <w:vAlign w:val="center"/>
          </w:tcPr>
          <w:p w14:paraId="2EA1A23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534035</wp:posOffset>
                  </wp:positionH>
                  <wp:positionV relativeFrom="paragraph">
                    <wp:posOffset>0</wp:posOffset>
                  </wp:positionV>
                  <wp:extent cx="992505" cy="50165"/>
                  <wp:effectExtent l="0" t="0" r="0" b="0"/>
                  <wp:wrapNone/>
                  <wp:docPr id="556" name="Picture_99_SpCnt_3"/>
                  <wp:cNvGraphicFramePr/>
                  <a:graphic xmlns:a="http://schemas.openxmlformats.org/drawingml/2006/main">
                    <a:graphicData uri="http://schemas.openxmlformats.org/drawingml/2006/picture">
                      <pic:pic xmlns:pic="http://schemas.openxmlformats.org/drawingml/2006/picture">
                        <pic:nvPicPr>
                          <pic:cNvPr id="556" name="Picture_99_SpCnt_3"/>
                          <pic:cNvPicPr/>
                        </pic:nvPicPr>
                        <pic:blipFill>
                          <a:blip r:embed="rId15"/>
                          <a:stretch>
                            <a:fillRect/>
                          </a:stretch>
                        </pic:blipFill>
                        <pic:spPr>
                          <a:xfrm>
                            <a:off x="0" y="0"/>
                            <a:ext cx="992505" cy="50165"/>
                          </a:xfrm>
                          <a:prstGeom prst="rect">
                            <a:avLst/>
                          </a:prstGeom>
                          <a:noFill/>
                          <a:ln>
                            <a:noFill/>
                          </a:ln>
                        </pic:spPr>
                      </pic:pic>
                    </a:graphicData>
                  </a:graphic>
                </wp:anchor>
              </w:drawing>
            </w:r>
            <w:r>
              <w:rPr>
                <w:rFonts w:hint="default" w:ascii="Times New Roman" w:hAnsi="Times New Roman" w:cs="Times New Roman"/>
                <w:sz w:val="21"/>
                <w:szCs w:val="16"/>
                <w:lang w:val="en-US" w:eastAsia="zh-CN"/>
              </w:rPr>
              <w:t>通城“西北三镇”天然气项目</w:t>
            </w:r>
          </w:p>
        </w:tc>
        <w:tc>
          <w:tcPr>
            <w:tcW w:w="645" w:type="dxa"/>
            <w:shd w:val="clear" w:color="auto" w:fill="auto"/>
            <w:vAlign w:val="center"/>
          </w:tcPr>
          <w:p w14:paraId="01C5D81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4B952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7D7CDC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第一期从双龙路延伸建设至石南镇研磨产业园，为原供气用户玉立公司等工业用户供气；第二期建设至药姑山产业园和大坪工业园管线延伸，为后期园区发展的工业用户供气，石南镇中压管道DE200约12公里，大坪乡、北港镇中压管道DE200约12公里及其他配套支线等。</w:t>
            </w:r>
          </w:p>
        </w:tc>
        <w:tc>
          <w:tcPr>
            <w:tcW w:w="2855" w:type="dxa"/>
            <w:shd w:val="clear" w:color="auto" w:fill="auto"/>
            <w:vAlign w:val="center"/>
          </w:tcPr>
          <w:p w14:paraId="476265E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完成项目备案                                  </w:t>
            </w:r>
          </w:p>
        </w:tc>
        <w:tc>
          <w:tcPr>
            <w:tcW w:w="711" w:type="dxa"/>
            <w:shd w:val="clear" w:color="auto" w:fill="auto"/>
            <w:vAlign w:val="center"/>
          </w:tcPr>
          <w:p w14:paraId="4C10259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389890</wp:posOffset>
                  </wp:positionH>
                  <wp:positionV relativeFrom="paragraph">
                    <wp:posOffset>0</wp:posOffset>
                  </wp:positionV>
                  <wp:extent cx="752475" cy="50165"/>
                  <wp:effectExtent l="0" t="0" r="0" b="0"/>
                  <wp:wrapNone/>
                  <wp:docPr id="559" name="Picture_99_SpCnt_4"/>
                  <wp:cNvGraphicFramePr/>
                  <a:graphic xmlns:a="http://schemas.openxmlformats.org/drawingml/2006/main">
                    <a:graphicData uri="http://schemas.openxmlformats.org/drawingml/2006/picture">
                      <pic:pic xmlns:pic="http://schemas.openxmlformats.org/drawingml/2006/picture">
                        <pic:nvPicPr>
                          <pic:cNvPr id="559" name="Picture_99_SpCnt_4"/>
                          <pic:cNvPicPr/>
                        </pic:nvPicPr>
                        <pic:blipFill>
                          <a:blip r:embed="rId15"/>
                          <a:stretch>
                            <a:fillRect/>
                          </a:stretch>
                        </pic:blipFill>
                        <pic:spPr>
                          <a:xfrm>
                            <a:off x="0" y="0"/>
                            <a:ext cx="752475" cy="50165"/>
                          </a:xfrm>
                          <a:prstGeom prst="rect">
                            <a:avLst/>
                          </a:prstGeom>
                          <a:noFill/>
                          <a:ln>
                            <a:noFill/>
                          </a:ln>
                        </pic:spPr>
                      </pic:pic>
                    </a:graphicData>
                  </a:graphic>
                </wp:anchor>
              </w:drawing>
            </w:r>
            <w:r>
              <w:rPr>
                <w:rFonts w:hint="default" w:ascii="Times New Roman" w:hAnsi="Times New Roman" w:cs="Times New Roman"/>
                <w:sz w:val="21"/>
                <w:szCs w:val="16"/>
                <w:lang w:val="en-US" w:eastAsia="zh-CN"/>
              </w:rPr>
              <w:drawing>
                <wp:anchor distT="0" distB="0" distL="114300" distR="114300" simplePos="0" relativeHeight="251659264" behindDoc="0" locked="0" layoutInCell="1" allowOverlap="1">
                  <wp:simplePos x="0" y="0"/>
                  <wp:positionH relativeFrom="column">
                    <wp:posOffset>391160</wp:posOffset>
                  </wp:positionH>
                  <wp:positionV relativeFrom="paragraph">
                    <wp:posOffset>0</wp:posOffset>
                  </wp:positionV>
                  <wp:extent cx="989330" cy="50165"/>
                  <wp:effectExtent l="0" t="0" r="0" b="0"/>
                  <wp:wrapNone/>
                  <wp:docPr id="553" name="Picture_99_SpCnt_5"/>
                  <wp:cNvGraphicFramePr/>
                  <a:graphic xmlns:a="http://schemas.openxmlformats.org/drawingml/2006/main">
                    <a:graphicData uri="http://schemas.openxmlformats.org/drawingml/2006/picture">
                      <pic:pic xmlns:pic="http://schemas.openxmlformats.org/drawingml/2006/picture">
                        <pic:nvPicPr>
                          <pic:cNvPr id="553" name="Picture_99_SpCnt_5"/>
                          <pic:cNvPicPr/>
                        </pic:nvPicPr>
                        <pic:blipFill>
                          <a:blip r:embed="rId15"/>
                          <a:stretch>
                            <a:fillRect/>
                          </a:stretch>
                        </pic:blipFill>
                        <pic:spPr>
                          <a:xfrm>
                            <a:off x="0" y="0"/>
                            <a:ext cx="989330" cy="50165"/>
                          </a:xfrm>
                          <a:prstGeom prst="rect">
                            <a:avLst/>
                          </a:prstGeom>
                          <a:noFill/>
                          <a:ln>
                            <a:noFill/>
                          </a:ln>
                        </pic:spPr>
                      </pic:pic>
                    </a:graphicData>
                  </a:graphic>
                </wp:anchor>
              </w:drawing>
            </w:r>
            <w:r>
              <w:rPr>
                <w:rFonts w:hint="default" w:ascii="Times New Roman" w:hAnsi="Times New Roman" w:cs="Times New Roman"/>
                <w:sz w:val="21"/>
                <w:szCs w:val="16"/>
                <w:lang w:val="en-US" w:eastAsia="zh-CN"/>
              </w:rPr>
              <w:t>2026</w:t>
            </w:r>
          </w:p>
        </w:tc>
        <w:tc>
          <w:tcPr>
            <w:tcW w:w="742" w:type="dxa"/>
            <w:shd w:val="clear" w:color="auto" w:fill="auto"/>
            <w:vAlign w:val="center"/>
          </w:tcPr>
          <w:p w14:paraId="3C77E2A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2EBCD4C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w:t>
            </w:r>
          </w:p>
        </w:tc>
        <w:tc>
          <w:tcPr>
            <w:tcW w:w="1506" w:type="dxa"/>
            <w:shd w:val="clear" w:color="auto" w:fill="auto"/>
            <w:vAlign w:val="center"/>
          </w:tcPr>
          <w:p w14:paraId="157A0D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通城天然气有限公司</w:t>
            </w:r>
          </w:p>
        </w:tc>
      </w:tr>
      <w:tr w14:paraId="708F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06908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90</w:t>
            </w:r>
          </w:p>
        </w:tc>
        <w:tc>
          <w:tcPr>
            <w:tcW w:w="1538" w:type="dxa"/>
            <w:shd w:val="clear" w:color="auto" w:fill="auto"/>
            <w:vAlign w:val="center"/>
          </w:tcPr>
          <w:p w14:paraId="61E293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通山县天然气接收门站工程及南三</w:t>
            </w:r>
            <w:r>
              <w:rPr>
                <w:rFonts w:hint="eastAsia" w:ascii="Times New Roman" w:hAnsi="Times New Roman" w:cs="Times New Roman"/>
                <w:sz w:val="21"/>
                <w:szCs w:val="16"/>
                <w:lang w:val="en-US" w:eastAsia="zh-CN"/>
              </w:rPr>
              <w:t>县</w:t>
            </w:r>
            <w:r>
              <w:rPr>
                <w:rFonts w:hint="default" w:ascii="Times New Roman" w:hAnsi="Times New Roman" w:cs="Times New Roman"/>
                <w:sz w:val="21"/>
                <w:szCs w:val="16"/>
                <w:lang w:val="en-US" w:eastAsia="zh-CN"/>
              </w:rPr>
              <w:t>长输管线连接线工程</w:t>
            </w:r>
          </w:p>
        </w:tc>
        <w:tc>
          <w:tcPr>
            <w:tcW w:w="645" w:type="dxa"/>
            <w:shd w:val="clear" w:color="auto" w:fill="auto"/>
            <w:vAlign w:val="center"/>
          </w:tcPr>
          <w:p w14:paraId="19680F8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FAA1F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6A1523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新建一座输气能力为2.5万㎡/h的门站、DN250次高压输气管道约17.5公里、 DN250中压输气管道15公里，分输站至门站DN200输气管道约200米及相关配套设施。</w:t>
            </w:r>
          </w:p>
        </w:tc>
        <w:tc>
          <w:tcPr>
            <w:tcW w:w="2855" w:type="dxa"/>
            <w:shd w:val="clear" w:color="auto" w:fill="auto"/>
            <w:vAlign w:val="center"/>
          </w:tcPr>
          <w:p w14:paraId="240B80D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项目于2025年11月开工，建设周期为24个月</w:t>
            </w:r>
          </w:p>
        </w:tc>
        <w:tc>
          <w:tcPr>
            <w:tcW w:w="711" w:type="dxa"/>
            <w:shd w:val="clear" w:color="auto" w:fill="auto"/>
            <w:vAlign w:val="center"/>
          </w:tcPr>
          <w:p w14:paraId="27E912C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1D23D5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0ACFB8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0.6</w:t>
            </w:r>
          </w:p>
        </w:tc>
        <w:tc>
          <w:tcPr>
            <w:tcW w:w="1506" w:type="dxa"/>
            <w:shd w:val="clear" w:color="auto" w:fill="auto"/>
            <w:vAlign w:val="center"/>
          </w:tcPr>
          <w:p w14:paraId="0FE52CF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通山城发燃气有限公司</w:t>
            </w:r>
          </w:p>
        </w:tc>
      </w:tr>
      <w:tr w14:paraId="540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6C93F9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91</w:t>
            </w:r>
          </w:p>
        </w:tc>
        <w:tc>
          <w:tcPr>
            <w:tcW w:w="1538" w:type="dxa"/>
            <w:shd w:val="clear" w:color="auto" w:fill="auto"/>
            <w:vAlign w:val="center"/>
          </w:tcPr>
          <w:p w14:paraId="125335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崇阳县天然气接收门站工程及南三县长输管线连接线工程</w:t>
            </w:r>
          </w:p>
        </w:tc>
        <w:tc>
          <w:tcPr>
            <w:tcW w:w="645" w:type="dxa"/>
            <w:shd w:val="clear" w:color="auto" w:fill="auto"/>
            <w:vAlign w:val="center"/>
          </w:tcPr>
          <w:p w14:paraId="1DD688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A64615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389F5F3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1.征地6亩，建设崇阳县接收门站及储配站1座；</w:t>
            </w:r>
            <w:r>
              <w:rPr>
                <w:rFonts w:hint="default" w:ascii="Times New Roman" w:hAnsi="Times New Roman" w:cs="Times New Roman"/>
                <w:sz w:val="21"/>
                <w:szCs w:val="16"/>
                <w:lang w:val="en-US" w:eastAsia="zh-CN"/>
              </w:rPr>
              <w:br w:type="textWrapping"/>
            </w:r>
            <w:r>
              <w:rPr>
                <w:rFonts w:hint="default" w:ascii="Times New Roman" w:hAnsi="Times New Roman" w:cs="Times New Roman"/>
                <w:sz w:val="21"/>
                <w:szCs w:val="16"/>
                <w:lang w:val="en-US" w:eastAsia="zh-CN"/>
              </w:rPr>
              <w:t>2.南三县长输管线连接线中压管网15km，管径DN300；</w:t>
            </w:r>
            <w:r>
              <w:rPr>
                <w:rFonts w:hint="default" w:ascii="Times New Roman" w:hAnsi="Times New Roman" w:cs="Times New Roman"/>
                <w:sz w:val="21"/>
                <w:szCs w:val="16"/>
                <w:lang w:val="en-US" w:eastAsia="zh-CN"/>
              </w:rPr>
              <w:br w:type="textWrapping"/>
            </w:r>
            <w:r>
              <w:rPr>
                <w:rFonts w:hint="default" w:ascii="Times New Roman" w:hAnsi="Times New Roman" w:cs="Times New Roman"/>
                <w:sz w:val="21"/>
                <w:szCs w:val="16"/>
                <w:lang w:val="en-US" w:eastAsia="zh-CN"/>
              </w:rPr>
              <w:t>3.智慧燃气系统建设。</w:t>
            </w:r>
          </w:p>
        </w:tc>
        <w:tc>
          <w:tcPr>
            <w:tcW w:w="2855" w:type="dxa"/>
            <w:shd w:val="clear" w:color="auto" w:fill="auto"/>
            <w:noWrap/>
            <w:vAlign w:val="center"/>
          </w:tcPr>
          <w:p w14:paraId="4661D29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64FF117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4C05F2D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62A374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1.3</w:t>
            </w:r>
          </w:p>
        </w:tc>
        <w:tc>
          <w:tcPr>
            <w:tcW w:w="1506" w:type="dxa"/>
            <w:shd w:val="clear" w:color="auto" w:fill="auto"/>
            <w:vAlign w:val="center"/>
          </w:tcPr>
          <w:p w14:paraId="136B95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001F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91A5A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92</w:t>
            </w:r>
          </w:p>
        </w:tc>
        <w:tc>
          <w:tcPr>
            <w:tcW w:w="1538" w:type="dxa"/>
            <w:shd w:val="clear" w:color="auto" w:fill="auto"/>
            <w:vAlign w:val="center"/>
          </w:tcPr>
          <w:p w14:paraId="52945A0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崇阳县市政燃气管网建设项目（一期）</w:t>
            </w:r>
          </w:p>
        </w:tc>
        <w:tc>
          <w:tcPr>
            <w:tcW w:w="645" w:type="dxa"/>
            <w:shd w:val="clear" w:color="auto" w:fill="auto"/>
            <w:vAlign w:val="center"/>
          </w:tcPr>
          <w:p w14:paraId="12BC126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2F2B6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4B336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更新改造市政燃气管53km，建设发展大道、产业大道、丰日大道、光彩大道、下津大道、新白泉大桥沿线、天城大道、桃溪大道、仪表路、香山大道、电力大道、武长街、金城大道及精武大道沿线延伸路段。</w:t>
            </w:r>
          </w:p>
        </w:tc>
        <w:tc>
          <w:tcPr>
            <w:tcW w:w="2855" w:type="dxa"/>
            <w:shd w:val="clear" w:color="auto" w:fill="auto"/>
            <w:noWrap/>
            <w:vAlign w:val="center"/>
          </w:tcPr>
          <w:p w14:paraId="5DF635E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4202C36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3F44CF3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9B4DA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0.954</w:t>
            </w:r>
          </w:p>
        </w:tc>
        <w:tc>
          <w:tcPr>
            <w:tcW w:w="1506" w:type="dxa"/>
            <w:shd w:val="clear" w:color="auto" w:fill="auto"/>
            <w:vAlign w:val="center"/>
          </w:tcPr>
          <w:p w14:paraId="464538E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629D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16AE3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93</w:t>
            </w:r>
          </w:p>
        </w:tc>
        <w:tc>
          <w:tcPr>
            <w:tcW w:w="1538" w:type="dxa"/>
            <w:shd w:val="clear" w:color="auto" w:fill="auto"/>
            <w:vAlign w:val="center"/>
          </w:tcPr>
          <w:p w14:paraId="6758276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崇阳县城区居民“瓶改管”改造工程项目（一期）</w:t>
            </w:r>
          </w:p>
        </w:tc>
        <w:tc>
          <w:tcPr>
            <w:tcW w:w="645" w:type="dxa"/>
            <w:shd w:val="clear" w:color="auto" w:fill="auto"/>
            <w:vAlign w:val="center"/>
          </w:tcPr>
          <w:p w14:paraId="2AF25C5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33F1FA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4116F86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2025年度崇阳县城区居民“瓶改管”改造3750户，非居民“瓶改管”改造520户，及安装燃气安全装置。</w:t>
            </w:r>
          </w:p>
        </w:tc>
        <w:tc>
          <w:tcPr>
            <w:tcW w:w="2855" w:type="dxa"/>
            <w:shd w:val="clear" w:color="auto" w:fill="auto"/>
            <w:noWrap/>
            <w:vAlign w:val="center"/>
          </w:tcPr>
          <w:p w14:paraId="3B60CB1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2E1E198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43C4F5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4776E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0.531</w:t>
            </w:r>
          </w:p>
        </w:tc>
        <w:tc>
          <w:tcPr>
            <w:tcW w:w="1506" w:type="dxa"/>
            <w:shd w:val="clear" w:color="auto" w:fill="auto"/>
            <w:vAlign w:val="center"/>
          </w:tcPr>
          <w:p w14:paraId="3E49F43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3EA6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568D1F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94</w:t>
            </w:r>
          </w:p>
        </w:tc>
        <w:tc>
          <w:tcPr>
            <w:tcW w:w="1538" w:type="dxa"/>
            <w:shd w:val="clear" w:color="auto" w:fill="auto"/>
            <w:vAlign w:val="center"/>
          </w:tcPr>
          <w:p w14:paraId="574C3BE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崇阳县城市燃气管道设施老化改造更新项目</w:t>
            </w:r>
          </w:p>
        </w:tc>
        <w:tc>
          <w:tcPr>
            <w:tcW w:w="645" w:type="dxa"/>
            <w:shd w:val="clear" w:color="auto" w:fill="auto"/>
            <w:vAlign w:val="center"/>
          </w:tcPr>
          <w:p w14:paraId="3CEBBD8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31A58CE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4D4DFC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改造居民用户燃气立管92670m，入户管46335m、钢塑转换改造2670根，调压箱140台、调压柜30台，远传监测设备170台，阀门井35个，穿墙套管更换50000根，燃气埋地管道75km，燃气架空管道33km。</w:t>
            </w:r>
          </w:p>
        </w:tc>
        <w:tc>
          <w:tcPr>
            <w:tcW w:w="2855" w:type="dxa"/>
            <w:shd w:val="clear" w:color="auto" w:fill="auto"/>
            <w:noWrap/>
            <w:vAlign w:val="center"/>
          </w:tcPr>
          <w:p w14:paraId="3DF739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24E72B6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BF465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8ACD20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1.275</w:t>
            </w:r>
          </w:p>
        </w:tc>
        <w:tc>
          <w:tcPr>
            <w:tcW w:w="1506" w:type="dxa"/>
            <w:shd w:val="clear" w:color="auto" w:fill="auto"/>
            <w:vAlign w:val="center"/>
          </w:tcPr>
          <w:p w14:paraId="078A9E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2A4C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1D282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95</w:t>
            </w:r>
          </w:p>
        </w:tc>
        <w:tc>
          <w:tcPr>
            <w:tcW w:w="1538" w:type="dxa"/>
            <w:shd w:val="clear" w:color="auto" w:fill="auto"/>
            <w:vAlign w:val="center"/>
          </w:tcPr>
          <w:p w14:paraId="7FA141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崇阳县市政燃气管网建设项目（二期）</w:t>
            </w:r>
          </w:p>
        </w:tc>
        <w:tc>
          <w:tcPr>
            <w:tcW w:w="645" w:type="dxa"/>
            <w:shd w:val="clear" w:color="auto" w:fill="auto"/>
            <w:vAlign w:val="center"/>
          </w:tcPr>
          <w:p w14:paraId="1D8103B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D5294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15938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更新改造市政燃气管59km，建设崇阳县丰日大道、武长街、天城大道（穿越浪口大桥）、人民大道、香山大道（交叉口至武深高速路段）、崇青大道、崇阳大道、沿河大道、电力大道及仪表路沿线延伸路段。</w:t>
            </w:r>
          </w:p>
        </w:tc>
        <w:tc>
          <w:tcPr>
            <w:tcW w:w="2855" w:type="dxa"/>
            <w:shd w:val="clear" w:color="auto" w:fill="auto"/>
            <w:noWrap/>
            <w:vAlign w:val="center"/>
          </w:tcPr>
          <w:p w14:paraId="6EF5494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19EC508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4A3C00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3F27E65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1.062</w:t>
            </w:r>
          </w:p>
        </w:tc>
        <w:tc>
          <w:tcPr>
            <w:tcW w:w="1506" w:type="dxa"/>
            <w:shd w:val="clear" w:color="auto" w:fill="auto"/>
            <w:vAlign w:val="center"/>
          </w:tcPr>
          <w:p w14:paraId="2D8EE8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1291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A6DD8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96</w:t>
            </w:r>
          </w:p>
        </w:tc>
        <w:tc>
          <w:tcPr>
            <w:tcW w:w="1538" w:type="dxa"/>
            <w:shd w:val="clear" w:color="auto" w:fill="auto"/>
            <w:vAlign w:val="center"/>
          </w:tcPr>
          <w:p w14:paraId="16D4245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崇阳县城区居民“瓶改管”改造工程项目（二期）</w:t>
            </w:r>
          </w:p>
        </w:tc>
        <w:tc>
          <w:tcPr>
            <w:tcW w:w="645" w:type="dxa"/>
            <w:shd w:val="clear" w:color="auto" w:fill="auto"/>
            <w:vAlign w:val="center"/>
          </w:tcPr>
          <w:p w14:paraId="101584F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73CA4A4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6FE675A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2026年度崇阳县城区居民“瓶改管”改造5430户，非居民“瓶改管”改造340户。</w:t>
            </w:r>
          </w:p>
        </w:tc>
        <w:tc>
          <w:tcPr>
            <w:tcW w:w="2855" w:type="dxa"/>
            <w:shd w:val="clear" w:color="auto" w:fill="auto"/>
            <w:noWrap/>
            <w:vAlign w:val="center"/>
          </w:tcPr>
          <w:p w14:paraId="05544BD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4B05C73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7369E8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6B7C50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0.645</w:t>
            </w:r>
          </w:p>
        </w:tc>
        <w:tc>
          <w:tcPr>
            <w:tcW w:w="1506" w:type="dxa"/>
            <w:shd w:val="clear" w:color="auto" w:fill="auto"/>
            <w:vAlign w:val="center"/>
          </w:tcPr>
          <w:p w14:paraId="6D8071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797D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B2A514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97</w:t>
            </w:r>
          </w:p>
        </w:tc>
        <w:tc>
          <w:tcPr>
            <w:tcW w:w="1538" w:type="dxa"/>
            <w:shd w:val="clear" w:color="auto" w:fill="auto"/>
            <w:vAlign w:val="center"/>
          </w:tcPr>
          <w:p w14:paraId="7FF935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崇阳县城区居民“瓶改管”改造工程项目（三期）</w:t>
            </w:r>
          </w:p>
        </w:tc>
        <w:tc>
          <w:tcPr>
            <w:tcW w:w="645" w:type="dxa"/>
            <w:shd w:val="clear" w:color="auto" w:fill="auto"/>
            <w:vAlign w:val="center"/>
          </w:tcPr>
          <w:p w14:paraId="1F7DDF2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46D756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4746CD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年度崇阳县城区居民“瓶改管”改造3190户；白霓古桥社区瓶装气用户改造800户，路口社区瓶装气用户改造380户，石城社区瓶装气用户改造570户，沙坪凤岭社区瓶装气用户改造350户，肖岭社区瓶装气用户改造410户，青山社区瓶装气用户改造280户，桂花社区瓶装气用户改造350户，铜钟社区瓶装气用户改造410户，非居民“瓶改管”改造280户。</w:t>
            </w:r>
          </w:p>
        </w:tc>
        <w:tc>
          <w:tcPr>
            <w:tcW w:w="2855" w:type="dxa"/>
            <w:shd w:val="clear" w:color="auto" w:fill="auto"/>
            <w:noWrap/>
            <w:vAlign w:val="center"/>
          </w:tcPr>
          <w:p w14:paraId="0AB5F11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开展前期工作</w:t>
            </w:r>
          </w:p>
        </w:tc>
        <w:tc>
          <w:tcPr>
            <w:tcW w:w="711" w:type="dxa"/>
            <w:shd w:val="clear" w:color="auto" w:fill="auto"/>
            <w:vAlign w:val="center"/>
          </w:tcPr>
          <w:p w14:paraId="5F2F860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E6ABD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184362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0.758</w:t>
            </w:r>
          </w:p>
        </w:tc>
        <w:tc>
          <w:tcPr>
            <w:tcW w:w="1506" w:type="dxa"/>
            <w:shd w:val="clear" w:color="auto" w:fill="auto"/>
            <w:vAlign w:val="center"/>
          </w:tcPr>
          <w:p w14:paraId="65C7028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中燃（崇阳）燃气发展有限公司</w:t>
            </w:r>
          </w:p>
        </w:tc>
      </w:tr>
      <w:tr w14:paraId="0EAA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56C27F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能源装备制造</w:t>
            </w:r>
          </w:p>
        </w:tc>
        <w:tc>
          <w:tcPr>
            <w:tcW w:w="3805" w:type="dxa"/>
            <w:shd w:val="clear" w:color="auto" w:fill="auto"/>
            <w:noWrap/>
            <w:vAlign w:val="center"/>
          </w:tcPr>
          <w:p w14:paraId="07C3EB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13个</w:t>
            </w:r>
          </w:p>
        </w:tc>
        <w:tc>
          <w:tcPr>
            <w:tcW w:w="2855" w:type="dxa"/>
            <w:shd w:val="clear" w:color="auto" w:fill="auto"/>
            <w:noWrap/>
            <w:vAlign w:val="center"/>
          </w:tcPr>
          <w:p w14:paraId="4A1F553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35EB61F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335F30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22F235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279</w:t>
            </w:r>
          </w:p>
        </w:tc>
        <w:tc>
          <w:tcPr>
            <w:tcW w:w="1506" w:type="dxa"/>
            <w:shd w:val="clear" w:color="auto" w:fill="auto"/>
            <w:noWrap/>
            <w:vAlign w:val="center"/>
          </w:tcPr>
          <w:p w14:paraId="267E13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47FF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1610D5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98</w:t>
            </w:r>
          </w:p>
        </w:tc>
        <w:tc>
          <w:tcPr>
            <w:tcW w:w="1538" w:type="dxa"/>
            <w:shd w:val="clear" w:color="auto" w:fill="auto"/>
            <w:vAlign w:val="center"/>
          </w:tcPr>
          <w:p w14:paraId="1503EA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湖北瑞能新能源科技有限公司换电设施与储能设备生产基地项目</w:t>
            </w:r>
          </w:p>
        </w:tc>
        <w:tc>
          <w:tcPr>
            <w:tcW w:w="645" w:type="dxa"/>
            <w:shd w:val="clear" w:color="auto" w:fill="auto"/>
            <w:noWrap/>
            <w:vAlign w:val="center"/>
          </w:tcPr>
          <w:p w14:paraId="1BA9FC9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5845839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53B09F4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新建新能源汽车换电设施与储能设备生产基地，企业计划将湖南产线转移至咸宁，建设具备规模效应的生产基地，拟用地250亩。</w:t>
            </w:r>
          </w:p>
        </w:tc>
        <w:tc>
          <w:tcPr>
            <w:tcW w:w="2855" w:type="dxa"/>
            <w:shd w:val="clear" w:color="auto" w:fill="auto"/>
            <w:vAlign w:val="center"/>
          </w:tcPr>
          <w:p w14:paraId="25BFC9C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已沟通企业方，初步确认项目计划。</w:t>
            </w:r>
          </w:p>
        </w:tc>
        <w:tc>
          <w:tcPr>
            <w:tcW w:w="711" w:type="dxa"/>
            <w:shd w:val="clear" w:color="auto" w:fill="auto"/>
            <w:noWrap/>
            <w:vAlign w:val="center"/>
          </w:tcPr>
          <w:p w14:paraId="3ED8D05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noWrap/>
            <w:vAlign w:val="center"/>
          </w:tcPr>
          <w:p w14:paraId="63F0D7C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noWrap/>
            <w:vAlign w:val="center"/>
          </w:tcPr>
          <w:p w14:paraId="69B828E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0AD36DD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湖南晶能新能源科技有限公司</w:t>
            </w:r>
          </w:p>
        </w:tc>
      </w:tr>
      <w:tr w14:paraId="3314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85CF6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99</w:t>
            </w:r>
          </w:p>
        </w:tc>
        <w:tc>
          <w:tcPr>
            <w:tcW w:w="1538" w:type="dxa"/>
            <w:shd w:val="clear" w:color="auto" w:fill="auto"/>
            <w:vAlign w:val="center"/>
          </w:tcPr>
          <w:p w14:paraId="6CA91B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鹏辉电储能项目</w:t>
            </w:r>
          </w:p>
        </w:tc>
        <w:tc>
          <w:tcPr>
            <w:tcW w:w="645" w:type="dxa"/>
            <w:shd w:val="clear" w:color="auto" w:fill="auto"/>
            <w:vAlign w:val="center"/>
          </w:tcPr>
          <w:p w14:paraId="259336F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DAA23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7D5E778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储能电池和电储能系统生产基地</w:t>
            </w:r>
          </w:p>
        </w:tc>
        <w:tc>
          <w:tcPr>
            <w:tcW w:w="2855" w:type="dxa"/>
            <w:shd w:val="clear" w:color="auto" w:fill="auto"/>
            <w:vAlign w:val="center"/>
          </w:tcPr>
          <w:p w14:paraId="07CAC2B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已沟通企业方，初步确认企业计划拿地60亩建设生产基地</w:t>
            </w:r>
          </w:p>
        </w:tc>
        <w:tc>
          <w:tcPr>
            <w:tcW w:w="711" w:type="dxa"/>
            <w:shd w:val="clear" w:color="auto" w:fill="auto"/>
            <w:vAlign w:val="center"/>
          </w:tcPr>
          <w:p w14:paraId="061171E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CF7F4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21D10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w:t>
            </w:r>
          </w:p>
        </w:tc>
        <w:tc>
          <w:tcPr>
            <w:tcW w:w="1506" w:type="dxa"/>
            <w:shd w:val="clear" w:color="auto" w:fill="auto"/>
            <w:vAlign w:val="center"/>
          </w:tcPr>
          <w:p w14:paraId="0D6D09E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鹏辉力赫（天津）能源科技有限公司</w:t>
            </w:r>
          </w:p>
        </w:tc>
      </w:tr>
      <w:tr w14:paraId="4CA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52E30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100</w:t>
            </w:r>
          </w:p>
        </w:tc>
        <w:tc>
          <w:tcPr>
            <w:tcW w:w="1538" w:type="dxa"/>
            <w:shd w:val="clear" w:color="auto" w:fill="auto"/>
            <w:vAlign w:val="center"/>
          </w:tcPr>
          <w:p w14:paraId="2DB77F0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氢时代氢能无人机全产业链</w:t>
            </w:r>
          </w:p>
        </w:tc>
        <w:tc>
          <w:tcPr>
            <w:tcW w:w="645" w:type="dxa"/>
            <w:shd w:val="clear" w:color="auto" w:fill="auto"/>
            <w:vAlign w:val="center"/>
          </w:tcPr>
          <w:p w14:paraId="3FFF2E4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C3F1C6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45A27E0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用地面积150亩，新建氢时代氢能无人机全产业链项目。其中一期投资3亿元，用地面积50亩，新建电机、碳纤维复合材料、固态电池等产线。项目建成投产后，年产值不低于4亿元，年税收不低于2400万元。二期投资7亿元，用地面积100亩，新建飞行控制和氢动力、液氢罐、氢能重型无人机（载重200kg）整机组装、（载重40kg）组装等产线。</w:t>
            </w:r>
          </w:p>
        </w:tc>
        <w:tc>
          <w:tcPr>
            <w:tcW w:w="2855" w:type="dxa"/>
            <w:shd w:val="clear" w:color="auto" w:fill="auto"/>
            <w:vAlign w:val="center"/>
          </w:tcPr>
          <w:p w14:paraId="4225224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13F12F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CC1DAC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69D8BD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429279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深圳氢时代新能源科技有限公司</w:t>
            </w:r>
          </w:p>
        </w:tc>
      </w:tr>
      <w:tr w14:paraId="47BA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00531E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101</w:t>
            </w:r>
          </w:p>
        </w:tc>
        <w:tc>
          <w:tcPr>
            <w:tcW w:w="1538" w:type="dxa"/>
            <w:shd w:val="clear" w:color="auto" w:fill="auto"/>
            <w:vAlign w:val="center"/>
          </w:tcPr>
          <w:p w14:paraId="3AE0F3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京能储能设备和光伏储能装置项目</w:t>
            </w:r>
          </w:p>
        </w:tc>
        <w:tc>
          <w:tcPr>
            <w:tcW w:w="645" w:type="dxa"/>
            <w:shd w:val="clear" w:color="auto" w:fill="auto"/>
            <w:vAlign w:val="center"/>
          </w:tcPr>
          <w:p w14:paraId="6779E9E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67FDC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330CF3C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计划用地面积250亩，总建筑面积150000平方米，布局电动汽车充电、 换电设备生产及数字化储能微电网配套业务，建设数字化智能产业集群总制造基地。</w:t>
            </w:r>
          </w:p>
        </w:tc>
        <w:tc>
          <w:tcPr>
            <w:tcW w:w="2855" w:type="dxa"/>
            <w:shd w:val="clear" w:color="auto" w:fill="auto"/>
            <w:vAlign w:val="center"/>
          </w:tcPr>
          <w:p w14:paraId="2BF7319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D3EA5C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322BBD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1C5801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15</w:t>
            </w:r>
          </w:p>
        </w:tc>
        <w:tc>
          <w:tcPr>
            <w:tcW w:w="1506" w:type="dxa"/>
            <w:shd w:val="clear" w:color="auto" w:fill="auto"/>
            <w:vAlign w:val="center"/>
          </w:tcPr>
          <w:p w14:paraId="5183EA1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京能新能源科技有限公司</w:t>
            </w:r>
          </w:p>
        </w:tc>
      </w:tr>
      <w:tr w14:paraId="49B6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1F5C0F2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102</w:t>
            </w:r>
          </w:p>
        </w:tc>
        <w:tc>
          <w:tcPr>
            <w:tcW w:w="1538" w:type="dxa"/>
            <w:shd w:val="clear" w:color="auto" w:fill="auto"/>
            <w:vAlign w:val="center"/>
          </w:tcPr>
          <w:p w14:paraId="5A7765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氨能发动机喷射系统生产线</w:t>
            </w:r>
          </w:p>
        </w:tc>
        <w:tc>
          <w:tcPr>
            <w:tcW w:w="645" w:type="dxa"/>
            <w:shd w:val="clear" w:color="auto" w:fill="auto"/>
            <w:vAlign w:val="center"/>
          </w:tcPr>
          <w:p w14:paraId="570CAE5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166287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咸宁高新区</w:t>
            </w:r>
          </w:p>
        </w:tc>
        <w:tc>
          <w:tcPr>
            <w:tcW w:w="3805" w:type="dxa"/>
            <w:shd w:val="clear" w:color="auto" w:fill="auto"/>
            <w:vAlign w:val="center"/>
          </w:tcPr>
          <w:p w14:paraId="608CDF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规划年生产1500套氨能发动机喷射系统，同时启动零部件畅销考核/测试评价中心和发动机性能试验。</w:t>
            </w:r>
          </w:p>
        </w:tc>
        <w:tc>
          <w:tcPr>
            <w:tcW w:w="2855" w:type="dxa"/>
            <w:shd w:val="clear" w:color="auto" w:fill="auto"/>
            <w:vAlign w:val="center"/>
          </w:tcPr>
          <w:p w14:paraId="03AC838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31A61D8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CD940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93038B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0.7</w:t>
            </w:r>
          </w:p>
        </w:tc>
        <w:tc>
          <w:tcPr>
            <w:tcW w:w="1506" w:type="dxa"/>
            <w:shd w:val="clear" w:color="auto" w:fill="auto"/>
            <w:vAlign w:val="center"/>
          </w:tcPr>
          <w:p w14:paraId="629CC6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合肥氢聚科技有限公司</w:t>
            </w:r>
          </w:p>
        </w:tc>
      </w:tr>
      <w:tr w14:paraId="047B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6C6093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103</w:t>
            </w:r>
          </w:p>
        </w:tc>
        <w:tc>
          <w:tcPr>
            <w:tcW w:w="1538" w:type="dxa"/>
            <w:shd w:val="clear" w:color="auto" w:fill="auto"/>
            <w:vAlign w:val="center"/>
          </w:tcPr>
          <w:p w14:paraId="3D45954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咸宁城乡智慧物流产业园项目</w:t>
            </w:r>
          </w:p>
        </w:tc>
        <w:tc>
          <w:tcPr>
            <w:tcW w:w="645" w:type="dxa"/>
            <w:shd w:val="clear" w:color="auto" w:fill="auto"/>
            <w:vAlign w:val="center"/>
          </w:tcPr>
          <w:p w14:paraId="6E5458F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0A9E14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16A837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建设全流程智能仓储，数字化运输调度中心，跨境物流智能枢纽，车辆物流装备服务，充电桩和货车充换电站，光伏、储能、制氢加氢站，金融与技术研发。</w:t>
            </w:r>
          </w:p>
        </w:tc>
        <w:tc>
          <w:tcPr>
            <w:tcW w:w="2855" w:type="dxa"/>
            <w:shd w:val="clear" w:color="auto" w:fill="auto"/>
            <w:vAlign w:val="center"/>
          </w:tcPr>
          <w:p w14:paraId="526ABEF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4847E87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71C4C9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724E62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w:t>
            </w:r>
          </w:p>
        </w:tc>
        <w:tc>
          <w:tcPr>
            <w:tcW w:w="1506" w:type="dxa"/>
            <w:shd w:val="clear" w:color="auto" w:fill="auto"/>
            <w:vAlign w:val="center"/>
          </w:tcPr>
          <w:p w14:paraId="0574E31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香城资产公司+中国南山集团</w:t>
            </w:r>
          </w:p>
        </w:tc>
      </w:tr>
      <w:tr w14:paraId="2DE7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7D87FB5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104</w:t>
            </w:r>
          </w:p>
        </w:tc>
        <w:tc>
          <w:tcPr>
            <w:tcW w:w="1538" w:type="dxa"/>
            <w:shd w:val="clear" w:color="auto" w:fill="auto"/>
            <w:vAlign w:val="center"/>
          </w:tcPr>
          <w:p w14:paraId="22984EC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新能源船舶制造产业基地建设项目</w:t>
            </w:r>
          </w:p>
        </w:tc>
        <w:tc>
          <w:tcPr>
            <w:tcW w:w="645" w:type="dxa"/>
            <w:shd w:val="clear" w:color="auto" w:fill="auto"/>
            <w:vAlign w:val="center"/>
          </w:tcPr>
          <w:p w14:paraId="0C7A2CA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6A084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039010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该项目位于横沟桥镇群力工业园内，占地面积60亩，依托现有15000平方米钢结构厂房，生产纯氨燃料内燃机以及小型钢制、铝制新能源船舶。</w:t>
            </w:r>
          </w:p>
        </w:tc>
        <w:tc>
          <w:tcPr>
            <w:tcW w:w="2855" w:type="dxa"/>
            <w:shd w:val="clear" w:color="auto" w:fill="auto"/>
            <w:vAlign w:val="center"/>
          </w:tcPr>
          <w:p w14:paraId="114804C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66EADF2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DB87C7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FDBB8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2.3</w:t>
            </w:r>
          </w:p>
        </w:tc>
        <w:tc>
          <w:tcPr>
            <w:tcW w:w="1506" w:type="dxa"/>
            <w:shd w:val="clear" w:color="auto" w:fill="auto"/>
            <w:vAlign w:val="center"/>
          </w:tcPr>
          <w:p w14:paraId="2BA2C6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武汉楚雄建桥工程有限公司</w:t>
            </w:r>
          </w:p>
        </w:tc>
      </w:tr>
      <w:tr w14:paraId="05DE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ECD25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105</w:t>
            </w:r>
          </w:p>
        </w:tc>
        <w:tc>
          <w:tcPr>
            <w:tcW w:w="1538" w:type="dxa"/>
            <w:shd w:val="clear" w:color="auto" w:fill="auto"/>
            <w:vAlign w:val="center"/>
          </w:tcPr>
          <w:p w14:paraId="1AFA99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350MW抽水蓄能同步变极变速机组成套设备制造项目</w:t>
            </w:r>
          </w:p>
        </w:tc>
        <w:tc>
          <w:tcPr>
            <w:tcW w:w="645" w:type="dxa"/>
            <w:shd w:val="clear" w:color="auto" w:fill="auto"/>
            <w:vAlign w:val="center"/>
          </w:tcPr>
          <w:p w14:paraId="494566F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F2A16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4AF15C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该项目规划配置4套单机容量350MW的抽水蓄能同步变极变速机组，总装机容量1400MW。项目采用双速凸极同步电机和双速水泵水轮机技术，相较传统的抽水蓄能单速机组，不依赖复杂控制（变频）系统，属国际领先水平，可极大地提升水泵水轮机的运行稳定和效率。</w:t>
            </w:r>
          </w:p>
        </w:tc>
        <w:tc>
          <w:tcPr>
            <w:tcW w:w="2855" w:type="dxa"/>
            <w:shd w:val="clear" w:color="auto" w:fill="auto"/>
            <w:vAlign w:val="center"/>
          </w:tcPr>
          <w:p w14:paraId="6E6657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7BC36FA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6917D3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5C46695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8</w:t>
            </w:r>
          </w:p>
        </w:tc>
        <w:tc>
          <w:tcPr>
            <w:tcW w:w="1506" w:type="dxa"/>
            <w:shd w:val="clear" w:color="auto" w:fill="auto"/>
            <w:vAlign w:val="center"/>
          </w:tcPr>
          <w:p w14:paraId="09E625E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湖北华博天发实业有限公司</w:t>
            </w:r>
          </w:p>
        </w:tc>
      </w:tr>
      <w:tr w14:paraId="73B2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279592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106</w:t>
            </w:r>
          </w:p>
        </w:tc>
        <w:tc>
          <w:tcPr>
            <w:tcW w:w="1538" w:type="dxa"/>
            <w:shd w:val="clear" w:color="auto" w:fill="auto"/>
            <w:vAlign w:val="center"/>
          </w:tcPr>
          <w:p w14:paraId="657BDE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宁德时代动力+储能电池生产回收项目</w:t>
            </w:r>
          </w:p>
        </w:tc>
        <w:tc>
          <w:tcPr>
            <w:tcW w:w="645" w:type="dxa"/>
            <w:shd w:val="clear" w:color="auto" w:fill="auto"/>
            <w:vAlign w:val="center"/>
          </w:tcPr>
          <w:p w14:paraId="0942F00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72B1FE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336A28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在赤壁高新区布局“动力电池+储能电池”生产线，主要生产动力及储能锂电池，涵盖电芯制造、锂电材料、电池回收等全产业链环节，规划总产能15GWh。</w:t>
            </w:r>
          </w:p>
        </w:tc>
        <w:tc>
          <w:tcPr>
            <w:tcW w:w="2855" w:type="dxa"/>
            <w:shd w:val="clear" w:color="auto" w:fill="auto"/>
            <w:vAlign w:val="center"/>
          </w:tcPr>
          <w:p w14:paraId="1A08671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正在开展前期工作</w:t>
            </w:r>
          </w:p>
        </w:tc>
        <w:tc>
          <w:tcPr>
            <w:tcW w:w="711" w:type="dxa"/>
            <w:shd w:val="clear" w:color="auto" w:fill="auto"/>
            <w:vAlign w:val="center"/>
          </w:tcPr>
          <w:p w14:paraId="3425D8A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47D8B7E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3935EBB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100</w:t>
            </w:r>
          </w:p>
        </w:tc>
        <w:tc>
          <w:tcPr>
            <w:tcW w:w="1506" w:type="dxa"/>
            <w:shd w:val="clear" w:color="auto" w:fill="auto"/>
            <w:vAlign w:val="center"/>
          </w:tcPr>
          <w:p w14:paraId="0B0C1A2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宁德时代新能源科技股份有限公司</w:t>
            </w:r>
          </w:p>
        </w:tc>
      </w:tr>
      <w:tr w14:paraId="08F8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B063EC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107</w:t>
            </w:r>
          </w:p>
        </w:tc>
        <w:tc>
          <w:tcPr>
            <w:tcW w:w="1538" w:type="dxa"/>
            <w:shd w:val="clear" w:color="auto" w:fill="auto"/>
            <w:vAlign w:val="center"/>
          </w:tcPr>
          <w:p w14:paraId="6A2896F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纳（锂）电池pack项目</w:t>
            </w:r>
          </w:p>
        </w:tc>
        <w:tc>
          <w:tcPr>
            <w:tcW w:w="645" w:type="dxa"/>
            <w:shd w:val="clear" w:color="auto" w:fill="auto"/>
            <w:vAlign w:val="center"/>
          </w:tcPr>
          <w:p w14:paraId="2BFA465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7E24D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17ABB41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项目拟用地500亩，总建筑面积448502平方米，分三期建设。主要建设厂房及仓库、研发办公楼、宿舍、组装及生产车间、原料及成品仓库车间、研发试验等，购买固态钠（锂）电池生产机械设备1600台套，建设23GWh电芯及23GW电池模组生产线。</w:t>
            </w:r>
          </w:p>
        </w:tc>
        <w:tc>
          <w:tcPr>
            <w:tcW w:w="2855" w:type="dxa"/>
            <w:shd w:val="clear" w:color="auto" w:fill="auto"/>
            <w:vAlign w:val="center"/>
          </w:tcPr>
          <w:p w14:paraId="6D0A794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w:t>
            </w:r>
          </w:p>
        </w:tc>
        <w:tc>
          <w:tcPr>
            <w:tcW w:w="711" w:type="dxa"/>
            <w:shd w:val="clear" w:color="auto" w:fill="auto"/>
            <w:vAlign w:val="center"/>
          </w:tcPr>
          <w:p w14:paraId="17709A1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2026年</w:t>
            </w:r>
          </w:p>
        </w:tc>
        <w:tc>
          <w:tcPr>
            <w:tcW w:w="742" w:type="dxa"/>
            <w:shd w:val="clear" w:color="auto" w:fill="auto"/>
            <w:vAlign w:val="center"/>
          </w:tcPr>
          <w:p w14:paraId="74C09B2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2027年</w:t>
            </w:r>
          </w:p>
        </w:tc>
        <w:tc>
          <w:tcPr>
            <w:tcW w:w="967" w:type="dxa"/>
            <w:shd w:val="clear" w:color="auto" w:fill="auto"/>
            <w:vAlign w:val="center"/>
          </w:tcPr>
          <w:p w14:paraId="2EC7C9F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68</w:t>
            </w:r>
          </w:p>
        </w:tc>
        <w:tc>
          <w:tcPr>
            <w:tcW w:w="1506" w:type="dxa"/>
            <w:shd w:val="clear" w:color="auto" w:fill="auto"/>
            <w:vAlign w:val="center"/>
          </w:tcPr>
          <w:p w14:paraId="173BF77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晟雄新能源（湖北）有限公司</w:t>
            </w:r>
          </w:p>
        </w:tc>
      </w:tr>
      <w:tr w14:paraId="045F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6A2269C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108</w:t>
            </w:r>
          </w:p>
        </w:tc>
        <w:tc>
          <w:tcPr>
            <w:tcW w:w="1538" w:type="dxa"/>
            <w:shd w:val="clear" w:color="auto" w:fill="auto"/>
            <w:vAlign w:val="center"/>
          </w:tcPr>
          <w:p w14:paraId="2A01B5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新能源电池材料项目</w:t>
            </w:r>
          </w:p>
        </w:tc>
        <w:tc>
          <w:tcPr>
            <w:tcW w:w="645" w:type="dxa"/>
            <w:shd w:val="clear" w:color="auto" w:fill="auto"/>
            <w:vAlign w:val="center"/>
          </w:tcPr>
          <w:p w14:paraId="40AC562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0DB8C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687311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该项目由新阳润竹（湖北）能源科技有限公司投资。项目计划总投资约25亿元，占地面积200亩，建设正极材料、负极材料生产线各2条，电池隔膜生产车间2万㎡，配套建设电池材料研发中心和中试基地，年产值预计40亿元。</w:t>
            </w:r>
          </w:p>
        </w:tc>
        <w:tc>
          <w:tcPr>
            <w:tcW w:w="2855" w:type="dxa"/>
            <w:shd w:val="clear" w:color="auto" w:fill="auto"/>
            <w:vAlign w:val="center"/>
          </w:tcPr>
          <w:p w14:paraId="0B07F3A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已和政府签订合作协议</w:t>
            </w:r>
          </w:p>
        </w:tc>
        <w:tc>
          <w:tcPr>
            <w:tcW w:w="711" w:type="dxa"/>
            <w:shd w:val="clear" w:color="auto" w:fill="auto"/>
            <w:vAlign w:val="center"/>
          </w:tcPr>
          <w:p w14:paraId="470726F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2025年</w:t>
            </w:r>
          </w:p>
        </w:tc>
        <w:tc>
          <w:tcPr>
            <w:tcW w:w="742" w:type="dxa"/>
            <w:shd w:val="clear" w:color="auto" w:fill="auto"/>
            <w:vAlign w:val="center"/>
          </w:tcPr>
          <w:p w14:paraId="0D8CF2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2027年</w:t>
            </w:r>
          </w:p>
        </w:tc>
        <w:tc>
          <w:tcPr>
            <w:tcW w:w="967" w:type="dxa"/>
            <w:shd w:val="clear" w:color="auto" w:fill="auto"/>
            <w:vAlign w:val="center"/>
          </w:tcPr>
          <w:p w14:paraId="09448F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w:t>
            </w:r>
          </w:p>
        </w:tc>
        <w:tc>
          <w:tcPr>
            <w:tcW w:w="1506" w:type="dxa"/>
            <w:shd w:val="clear" w:color="auto" w:fill="auto"/>
            <w:vAlign w:val="center"/>
          </w:tcPr>
          <w:p w14:paraId="18A93FB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新阳润竹（湖北）能源科技有限公司</w:t>
            </w:r>
          </w:p>
        </w:tc>
      </w:tr>
      <w:tr w14:paraId="70AF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576C09E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109</w:t>
            </w:r>
          </w:p>
        </w:tc>
        <w:tc>
          <w:tcPr>
            <w:tcW w:w="1538" w:type="dxa"/>
            <w:shd w:val="clear" w:color="auto" w:fill="auto"/>
            <w:vAlign w:val="center"/>
          </w:tcPr>
          <w:p w14:paraId="2896C8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全钒液流储能系统整装基地</w:t>
            </w:r>
          </w:p>
        </w:tc>
        <w:tc>
          <w:tcPr>
            <w:tcW w:w="645" w:type="dxa"/>
            <w:shd w:val="clear" w:color="auto" w:fill="auto"/>
            <w:vAlign w:val="center"/>
          </w:tcPr>
          <w:p w14:paraId="2EFF70A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7438BF9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05A7D1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一期用地60亩，计划投资2亿元，主要建设设计年产能1GWh全钒液流储能成套设备生产基地；二期用地60亩，计划投资2亿元，主要建设包括电解液、电堆、储液罐、循环模块、控制系统等储能装备供应链产业项目。</w:t>
            </w:r>
          </w:p>
        </w:tc>
        <w:tc>
          <w:tcPr>
            <w:tcW w:w="2855" w:type="dxa"/>
            <w:shd w:val="clear" w:color="auto" w:fill="auto"/>
            <w:vAlign w:val="center"/>
          </w:tcPr>
          <w:p w14:paraId="2A2612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634677B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4271E19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6C18037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4</w:t>
            </w:r>
          </w:p>
        </w:tc>
        <w:tc>
          <w:tcPr>
            <w:tcW w:w="1506" w:type="dxa"/>
            <w:shd w:val="clear" w:color="auto" w:fill="auto"/>
            <w:vAlign w:val="center"/>
          </w:tcPr>
          <w:p w14:paraId="17B3E6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运达智储科技（河北）有限公司</w:t>
            </w:r>
          </w:p>
        </w:tc>
      </w:tr>
      <w:tr w14:paraId="672C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noWrap/>
            <w:vAlign w:val="center"/>
          </w:tcPr>
          <w:p w14:paraId="32B160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110</w:t>
            </w:r>
          </w:p>
        </w:tc>
        <w:tc>
          <w:tcPr>
            <w:tcW w:w="1538" w:type="dxa"/>
            <w:shd w:val="clear" w:color="auto" w:fill="auto"/>
            <w:vAlign w:val="center"/>
          </w:tcPr>
          <w:p w14:paraId="3B6D04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新型锂电芯和全硅负极材料项目</w:t>
            </w:r>
          </w:p>
        </w:tc>
        <w:tc>
          <w:tcPr>
            <w:tcW w:w="645" w:type="dxa"/>
            <w:shd w:val="clear" w:color="auto" w:fill="auto"/>
            <w:vAlign w:val="center"/>
          </w:tcPr>
          <w:p w14:paraId="4F69F52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6FB28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62FB00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占地200亩，建设年产2GWH新型锂电芯+2万吨全硅负极材料生产线</w:t>
            </w:r>
          </w:p>
        </w:tc>
        <w:tc>
          <w:tcPr>
            <w:tcW w:w="2855" w:type="dxa"/>
            <w:shd w:val="clear" w:color="auto" w:fill="auto"/>
            <w:vAlign w:val="center"/>
          </w:tcPr>
          <w:p w14:paraId="6B9A9EC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前期规划</w:t>
            </w:r>
          </w:p>
        </w:tc>
        <w:tc>
          <w:tcPr>
            <w:tcW w:w="711" w:type="dxa"/>
            <w:shd w:val="clear" w:color="auto" w:fill="auto"/>
            <w:vAlign w:val="center"/>
          </w:tcPr>
          <w:p w14:paraId="648E080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B9F5C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8BC476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26</w:t>
            </w:r>
          </w:p>
        </w:tc>
        <w:tc>
          <w:tcPr>
            <w:tcW w:w="1506" w:type="dxa"/>
            <w:shd w:val="clear" w:color="auto" w:fill="auto"/>
            <w:vAlign w:val="center"/>
          </w:tcPr>
          <w:p w14:paraId="0ED50C6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上谷智造（咸宁）科技有限公司</w:t>
            </w:r>
          </w:p>
        </w:tc>
      </w:tr>
      <w:tr w14:paraId="697A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8" w:type="dxa"/>
            <w:gridSpan w:val="4"/>
            <w:shd w:val="clear" w:color="auto" w:fill="auto"/>
            <w:noWrap/>
            <w:vAlign w:val="center"/>
          </w:tcPr>
          <w:p w14:paraId="68F225A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电网</w:t>
            </w:r>
          </w:p>
        </w:tc>
        <w:tc>
          <w:tcPr>
            <w:tcW w:w="3805" w:type="dxa"/>
            <w:shd w:val="clear" w:color="auto" w:fill="auto"/>
            <w:noWrap/>
            <w:vAlign w:val="center"/>
          </w:tcPr>
          <w:p w14:paraId="5AD850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63个</w:t>
            </w:r>
          </w:p>
        </w:tc>
        <w:tc>
          <w:tcPr>
            <w:tcW w:w="2855" w:type="dxa"/>
            <w:shd w:val="clear" w:color="auto" w:fill="auto"/>
            <w:noWrap/>
            <w:vAlign w:val="center"/>
          </w:tcPr>
          <w:p w14:paraId="3EFAAF0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noWrap/>
            <w:vAlign w:val="center"/>
          </w:tcPr>
          <w:p w14:paraId="0E55DD4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noWrap/>
            <w:vAlign w:val="center"/>
          </w:tcPr>
          <w:p w14:paraId="701E6E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noWrap/>
            <w:vAlign w:val="center"/>
          </w:tcPr>
          <w:p w14:paraId="24661A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54.48</w:t>
            </w:r>
          </w:p>
        </w:tc>
        <w:tc>
          <w:tcPr>
            <w:tcW w:w="1506" w:type="dxa"/>
            <w:shd w:val="clear" w:color="auto" w:fill="auto"/>
            <w:noWrap/>
            <w:vAlign w:val="center"/>
          </w:tcPr>
          <w:p w14:paraId="29F153D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r>
      <w:tr w14:paraId="4360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48D97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111 </w:t>
            </w:r>
          </w:p>
        </w:tc>
        <w:tc>
          <w:tcPr>
            <w:tcW w:w="1538" w:type="dxa"/>
            <w:shd w:val="clear" w:color="auto" w:fill="auto"/>
            <w:vAlign w:val="center"/>
          </w:tcPr>
          <w:p w14:paraId="757A6B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湖北咸宁高新银桂路110KV变电站主变扩建工程</w:t>
            </w:r>
          </w:p>
        </w:tc>
        <w:tc>
          <w:tcPr>
            <w:tcW w:w="645" w:type="dxa"/>
            <w:shd w:val="clear" w:color="auto" w:fill="auto"/>
            <w:vAlign w:val="center"/>
          </w:tcPr>
          <w:p w14:paraId="589917A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C06627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高新区</w:t>
            </w:r>
          </w:p>
        </w:tc>
        <w:tc>
          <w:tcPr>
            <w:tcW w:w="3805" w:type="dxa"/>
            <w:shd w:val="clear" w:color="auto" w:fill="auto"/>
            <w:vAlign w:val="center"/>
          </w:tcPr>
          <w:p w14:paraId="31C8C31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w:t>
            </w:r>
          </w:p>
        </w:tc>
        <w:tc>
          <w:tcPr>
            <w:tcW w:w="2855" w:type="dxa"/>
            <w:shd w:val="clear" w:color="auto" w:fill="auto"/>
            <w:vAlign w:val="center"/>
          </w:tcPr>
          <w:p w14:paraId="538D400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498071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B9E76B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C9DEF9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08326A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452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B34DF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112 </w:t>
            </w:r>
          </w:p>
        </w:tc>
        <w:tc>
          <w:tcPr>
            <w:tcW w:w="1538" w:type="dxa"/>
            <w:shd w:val="clear" w:color="auto" w:fill="auto"/>
            <w:vAlign w:val="center"/>
          </w:tcPr>
          <w:p w14:paraId="24ACBD6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湖北咸宁高新傅桥110kV变电站扩建工程</w:t>
            </w:r>
          </w:p>
        </w:tc>
        <w:tc>
          <w:tcPr>
            <w:tcW w:w="645" w:type="dxa"/>
            <w:shd w:val="clear" w:color="auto" w:fill="auto"/>
            <w:vAlign w:val="center"/>
          </w:tcPr>
          <w:p w14:paraId="01CE1AD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57E955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高新区</w:t>
            </w:r>
          </w:p>
        </w:tc>
        <w:tc>
          <w:tcPr>
            <w:tcW w:w="3805" w:type="dxa"/>
            <w:shd w:val="clear" w:color="auto" w:fill="auto"/>
            <w:vAlign w:val="center"/>
          </w:tcPr>
          <w:p w14:paraId="2BB4F1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w:t>
            </w:r>
          </w:p>
        </w:tc>
        <w:tc>
          <w:tcPr>
            <w:tcW w:w="2855" w:type="dxa"/>
            <w:shd w:val="clear" w:color="auto" w:fill="auto"/>
            <w:vAlign w:val="center"/>
          </w:tcPr>
          <w:p w14:paraId="73AA85B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17D23C8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321468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74FE45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7BA0AC2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511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B0077B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113 </w:t>
            </w:r>
          </w:p>
        </w:tc>
        <w:tc>
          <w:tcPr>
            <w:tcW w:w="1538" w:type="dxa"/>
            <w:shd w:val="clear" w:color="auto" w:fill="auto"/>
            <w:vAlign w:val="center"/>
          </w:tcPr>
          <w:p w14:paraId="32D7B4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湖北咸宁高新潜山110kV变电站主变扩建工程</w:t>
            </w:r>
          </w:p>
        </w:tc>
        <w:tc>
          <w:tcPr>
            <w:tcW w:w="645" w:type="dxa"/>
            <w:shd w:val="clear" w:color="auto" w:fill="auto"/>
            <w:vAlign w:val="center"/>
          </w:tcPr>
          <w:p w14:paraId="4FB19AE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F5916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高新区</w:t>
            </w:r>
          </w:p>
        </w:tc>
        <w:tc>
          <w:tcPr>
            <w:tcW w:w="3805" w:type="dxa"/>
            <w:shd w:val="clear" w:color="auto" w:fill="auto"/>
            <w:vAlign w:val="center"/>
          </w:tcPr>
          <w:p w14:paraId="11C88A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405028D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77ADEA1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27CA2F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44CA3D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1D3A78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0D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58325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114 </w:t>
            </w:r>
          </w:p>
        </w:tc>
        <w:tc>
          <w:tcPr>
            <w:tcW w:w="1538" w:type="dxa"/>
            <w:shd w:val="clear" w:color="auto" w:fill="auto"/>
            <w:vAlign w:val="center"/>
          </w:tcPr>
          <w:p w14:paraId="5B37A6D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湖北咸宁高新区彭家庄110kV输变电工程</w:t>
            </w:r>
          </w:p>
        </w:tc>
        <w:tc>
          <w:tcPr>
            <w:tcW w:w="645" w:type="dxa"/>
            <w:shd w:val="clear" w:color="auto" w:fill="auto"/>
            <w:vAlign w:val="center"/>
          </w:tcPr>
          <w:p w14:paraId="3533A0B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107B9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高新区</w:t>
            </w:r>
          </w:p>
        </w:tc>
        <w:tc>
          <w:tcPr>
            <w:tcW w:w="3805" w:type="dxa"/>
            <w:shd w:val="clear" w:color="auto" w:fill="auto"/>
            <w:vAlign w:val="center"/>
          </w:tcPr>
          <w:p w14:paraId="48491F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新建主变2台，容量100兆伏安；新建架空线路2条，长度14.4千米；新建10千伏间隔24个</w:t>
            </w:r>
          </w:p>
        </w:tc>
        <w:tc>
          <w:tcPr>
            <w:tcW w:w="2855" w:type="dxa"/>
            <w:shd w:val="clear" w:color="auto" w:fill="auto"/>
            <w:vAlign w:val="center"/>
          </w:tcPr>
          <w:p w14:paraId="6CE8A55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6B95DFE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619ED6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746782C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0.15 </w:t>
            </w:r>
          </w:p>
        </w:tc>
        <w:tc>
          <w:tcPr>
            <w:tcW w:w="1506" w:type="dxa"/>
            <w:shd w:val="clear" w:color="auto" w:fill="auto"/>
            <w:vAlign w:val="center"/>
          </w:tcPr>
          <w:p w14:paraId="6EBCF4A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4FC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95A7C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115 </w:t>
            </w:r>
          </w:p>
        </w:tc>
        <w:tc>
          <w:tcPr>
            <w:tcW w:w="1538" w:type="dxa"/>
            <w:shd w:val="clear" w:color="auto" w:fill="auto"/>
            <w:vAlign w:val="center"/>
          </w:tcPr>
          <w:p w14:paraId="73C9542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咸宁蒋家洞220千伏主变扩建工程</w:t>
            </w:r>
          </w:p>
        </w:tc>
        <w:tc>
          <w:tcPr>
            <w:tcW w:w="645" w:type="dxa"/>
            <w:shd w:val="clear" w:color="auto" w:fill="auto"/>
            <w:vAlign w:val="center"/>
          </w:tcPr>
          <w:p w14:paraId="3CEA7BC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138F70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4C3FC2E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扩建主变1台，容量180兆伏安，新建线路14.8公里</w:t>
            </w:r>
          </w:p>
        </w:tc>
        <w:tc>
          <w:tcPr>
            <w:tcW w:w="2855" w:type="dxa"/>
            <w:shd w:val="clear" w:color="auto" w:fill="auto"/>
            <w:vAlign w:val="center"/>
          </w:tcPr>
          <w:p w14:paraId="58F85ED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61DE200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6CFA2C8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B2F7A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0.56 </w:t>
            </w:r>
          </w:p>
        </w:tc>
        <w:tc>
          <w:tcPr>
            <w:tcW w:w="1506" w:type="dxa"/>
            <w:shd w:val="clear" w:color="auto" w:fill="auto"/>
            <w:vAlign w:val="center"/>
          </w:tcPr>
          <w:p w14:paraId="25ED28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1C1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B8753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116 </w:t>
            </w:r>
          </w:p>
        </w:tc>
        <w:tc>
          <w:tcPr>
            <w:tcW w:w="1538" w:type="dxa"/>
            <w:shd w:val="clear" w:color="auto" w:fill="auto"/>
            <w:vAlign w:val="center"/>
          </w:tcPr>
          <w:p w14:paraId="1DBA7E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湖北咸宁咸安渔水路110kV输变电工程</w:t>
            </w:r>
          </w:p>
        </w:tc>
        <w:tc>
          <w:tcPr>
            <w:tcW w:w="645" w:type="dxa"/>
            <w:shd w:val="clear" w:color="auto" w:fill="auto"/>
            <w:vAlign w:val="center"/>
          </w:tcPr>
          <w:p w14:paraId="3258FE0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3E0CE6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115586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新建主变2台，容量100兆伏安；新建架空线路2条，长度9.1千米；新建电缆线路长度0.97千米；新建10千伏间隔24个</w:t>
            </w:r>
          </w:p>
        </w:tc>
        <w:tc>
          <w:tcPr>
            <w:tcW w:w="2855" w:type="dxa"/>
            <w:shd w:val="clear" w:color="auto" w:fill="auto"/>
            <w:vAlign w:val="center"/>
          </w:tcPr>
          <w:p w14:paraId="18F7CAE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0F069CB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1FACFF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4D76CE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1.05 </w:t>
            </w:r>
          </w:p>
        </w:tc>
        <w:tc>
          <w:tcPr>
            <w:tcW w:w="1506" w:type="dxa"/>
            <w:shd w:val="clear" w:color="auto" w:fill="auto"/>
            <w:vAlign w:val="center"/>
          </w:tcPr>
          <w:p w14:paraId="2F5198B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5476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67426D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117 </w:t>
            </w:r>
          </w:p>
        </w:tc>
        <w:tc>
          <w:tcPr>
            <w:tcW w:w="1538" w:type="dxa"/>
            <w:shd w:val="clear" w:color="auto" w:fill="auto"/>
            <w:vAlign w:val="center"/>
          </w:tcPr>
          <w:p w14:paraId="13720F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湖北咸宁咸安滨湖110kV输变电工程</w:t>
            </w:r>
          </w:p>
        </w:tc>
        <w:tc>
          <w:tcPr>
            <w:tcW w:w="645" w:type="dxa"/>
            <w:shd w:val="clear" w:color="auto" w:fill="auto"/>
            <w:vAlign w:val="center"/>
          </w:tcPr>
          <w:p w14:paraId="3325F4C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E2F013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6CE52D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新建主变2台，容量100兆伏安；新建架空线路2条，长度18.2千米；新建电缆线路1条，长度8.28千米；新建10千伏间隔24个</w:t>
            </w:r>
          </w:p>
        </w:tc>
        <w:tc>
          <w:tcPr>
            <w:tcW w:w="2855" w:type="dxa"/>
            <w:shd w:val="clear" w:color="auto" w:fill="auto"/>
            <w:vAlign w:val="center"/>
          </w:tcPr>
          <w:p w14:paraId="2217543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18D841C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3CD8F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09914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1.52 </w:t>
            </w:r>
          </w:p>
        </w:tc>
        <w:tc>
          <w:tcPr>
            <w:tcW w:w="1506" w:type="dxa"/>
            <w:shd w:val="clear" w:color="auto" w:fill="auto"/>
            <w:vAlign w:val="center"/>
          </w:tcPr>
          <w:p w14:paraId="09DD17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15D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1114BE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118 </w:t>
            </w:r>
          </w:p>
        </w:tc>
        <w:tc>
          <w:tcPr>
            <w:tcW w:w="1538" w:type="dxa"/>
            <w:shd w:val="clear" w:color="auto" w:fill="auto"/>
            <w:vAlign w:val="center"/>
          </w:tcPr>
          <w:p w14:paraId="59ABA32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湖北咸宁咸安梓山湖110kV变电站扩建工程</w:t>
            </w:r>
          </w:p>
        </w:tc>
        <w:tc>
          <w:tcPr>
            <w:tcW w:w="645" w:type="dxa"/>
            <w:shd w:val="clear" w:color="auto" w:fill="auto"/>
            <w:vAlign w:val="center"/>
          </w:tcPr>
          <w:p w14:paraId="4DAD9DC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7302637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473E4E8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22B7D0A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1098C5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222D8C1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6288EB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0.03 </w:t>
            </w:r>
          </w:p>
        </w:tc>
        <w:tc>
          <w:tcPr>
            <w:tcW w:w="1506" w:type="dxa"/>
            <w:shd w:val="clear" w:color="auto" w:fill="auto"/>
            <w:vAlign w:val="center"/>
          </w:tcPr>
          <w:p w14:paraId="0FA52C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D6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9395C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119 </w:t>
            </w:r>
          </w:p>
        </w:tc>
        <w:tc>
          <w:tcPr>
            <w:tcW w:w="1538" w:type="dxa"/>
            <w:shd w:val="clear" w:color="auto" w:fill="auto"/>
            <w:vAlign w:val="center"/>
          </w:tcPr>
          <w:p w14:paraId="7560969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湖北咸宁咸安35kV横高南线综合改造工程</w:t>
            </w:r>
          </w:p>
        </w:tc>
        <w:tc>
          <w:tcPr>
            <w:tcW w:w="645" w:type="dxa"/>
            <w:shd w:val="clear" w:color="auto" w:fill="auto"/>
            <w:vAlign w:val="center"/>
          </w:tcPr>
          <w:p w14:paraId="66BD8B0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36671F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3C212C6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改造架空线路1条，长度13千米</w:t>
            </w:r>
          </w:p>
        </w:tc>
        <w:tc>
          <w:tcPr>
            <w:tcW w:w="2855" w:type="dxa"/>
            <w:shd w:val="clear" w:color="auto" w:fill="auto"/>
            <w:vAlign w:val="center"/>
          </w:tcPr>
          <w:p w14:paraId="0E6C244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5D3DF7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9AC14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D673C3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0.09 </w:t>
            </w:r>
          </w:p>
        </w:tc>
        <w:tc>
          <w:tcPr>
            <w:tcW w:w="1506" w:type="dxa"/>
            <w:shd w:val="clear" w:color="auto" w:fill="auto"/>
            <w:vAlign w:val="center"/>
          </w:tcPr>
          <w:p w14:paraId="620EAAA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893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86AFEF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120 </w:t>
            </w:r>
          </w:p>
        </w:tc>
        <w:tc>
          <w:tcPr>
            <w:tcW w:w="1538" w:type="dxa"/>
            <w:shd w:val="clear" w:color="auto" w:fill="auto"/>
            <w:vAlign w:val="center"/>
          </w:tcPr>
          <w:p w14:paraId="5BBF75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湖北咸宁咸安麻塘35kV变电站主变扩建工程</w:t>
            </w:r>
          </w:p>
        </w:tc>
        <w:tc>
          <w:tcPr>
            <w:tcW w:w="645" w:type="dxa"/>
            <w:shd w:val="clear" w:color="auto" w:fill="auto"/>
            <w:vAlign w:val="center"/>
          </w:tcPr>
          <w:p w14:paraId="2C53F9D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108944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3FC901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扩建主变1台，容量10兆伏安；新建架空线路1条，长度9千米；新建10千伏间隔6个</w:t>
            </w:r>
          </w:p>
        </w:tc>
        <w:tc>
          <w:tcPr>
            <w:tcW w:w="2855" w:type="dxa"/>
            <w:shd w:val="clear" w:color="auto" w:fill="auto"/>
            <w:vAlign w:val="center"/>
          </w:tcPr>
          <w:p w14:paraId="3A026B5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2CA029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E392BF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47D5426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0.11 </w:t>
            </w:r>
          </w:p>
        </w:tc>
        <w:tc>
          <w:tcPr>
            <w:tcW w:w="1506" w:type="dxa"/>
            <w:shd w:val="clear" w:color="auto" w:fill="auto"/>
            <w:vAlign w:val="center"/>
          </w:tcPr>
          <w:p w14:paraId="2D83C1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19CA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87DD0C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121 </w:t>
            </w:r>
          </w:p>
        </w:tc>
        <w:tc>
          <w:tcPr>
            <w:tcW w:w="1538" w:type="dxa"/>
            <w:shd w:val="clear" w:color="auto" w:fill="auto"/>
            <w:vAlign w:val="center"/>
          </w:tcPr>
          <w:p w14:paraId="246F243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湖北咸宁咸安朱家湾－花纹35kV线路新建工程</w:t>
            </w:r>
          </w:p>
        </w:tc>
        <w:tc>
          <w:tcPr>
            <w:tcW w:w="645" w:type="dxa"/>
            <w:shd w:val="clear" w:color="auto" w:fill="auto"/>
            <w:vAlign w:val="center"/>
          </w:tcPr>
          <w:p w14:paraId="2E3F37F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F940F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咸安区</w:t>
            </w:r>
          </w:p>
        </w:tc>
        <w:tc>
          <w:tcPr>
            <w:tcW w:w="3805" w:type="dxa"/>
            <w:shd w:val="clear" w:color="auto" w:fill="auto"/>
            <w:vAlign w:val="center"/>
          </w:tcPr>
          <w:p w14:paraId="668BDD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新建架空线路1条，长度12千米</w:t>
            </w:r>
          </w:p>
        </w:tc>
        <w:tc>
          <w:tcPr>
            <w:tcW w:w="2855" w:type="dxa"/>
            <w:shd w:val="clear" w:color="auto" w:fill="auto"/>
            <w:vAlign w:val="center"/>
          </w:tcPr>
          <w:p w14:paraId="346AD5E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2C640B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9EB681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E9F92E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0.08 </w:t>
            </w:r>
          </w:p>
        </w:tc>
        <w:tc>
          <w:tcPr>
            <w:tcW w:w="1506" w:type="dxa"/>
            <w:shd w:val="clear" w:color="auto" w:fill="auto"/>
            <w:vAlign w:val="center"/>
          </w:tcPr>
          <w:p w14:paraId="441BC06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970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15922F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122 </w:t>
            </w:r>
          </w:p>
        </w:tc>
        <w:tc>
          <w:tcPr>
            <w:tcW w:w="1538" w:type="dxa"/>
            <w:shd w:val="clear" w:color="auto" w:fill="auto"/>
            <w:vAlign w:val="center"/>
          </w:tcPr>
          <w:p w14:paraId="585313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咸宁官庄220千伏输变电工程</w:t>
            </w:r>
          </w:p>
        </w:tc>
        <w:tc>
          <w:tcPr>
            <w:tcW w:w="645" w:type="dxa"/>
            <w:shd w:val="clear" w:color="auto" w:fill="auto"/>
            <w:vAlign w:val="center"/>
          </w:tcPr>
          <w:p w14:paraId="04D71C4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04CB8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6F22A1F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新增主变2台，容量2×180兆伏安，新建线路57.9公里</w:t>
            </w:r>
          </w:p>
        </w:tc>
        <w:tc>
          <w:tcPr>
            <w:tcW w:w="2855" w:type="dxa"/>
            <w:shd w:val="clear" w:color="auto" w:fill="auto"/>
            <w:vAlign w:val="center"/>
          </w:tcPr>
          <w:p w14:paraId="09C9104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199EF3B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FD2E4F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1C4C9A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2.75 </w:t>
            </w:r>
          </w:p>
        </w:tc>
        <w:tc>
          <w:tcPr>
            <w:tcW w:w="1506" w:type="dxa"/>
            <w:shd w:val="clear" w:color="auto" w:fill="auto"/>
            <w:vAlign w:val="center"/>
          </w:tcPr>
          <w:p w14:paraId="27775F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049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EA7B0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123 </w:t>
            </w:r>
          </w:p>
        </w:tc>
        <w:tc>
          <w:tcPr>
            <w:tcW w:w="1538" w:type="dxa"/>
            <w:shd w:val="clear" w:color="auto" w:fill="auto"/>
            <w:vAlign w:val="center"/>
          </w:tcPr>
          <w:p w14:paraId="48328C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咸宁赤壁－鹿门220千伏线路新建工程</w:t>
            </w:r>
          </w:p>
        </w:tc>
        <w:tc>
          <w:tcPr>
            <w:tcW w:w="645" w:type="dxa"/>
            <w:shd w:val="clear" w:color="auto" w:fill="auto"/>
            <w:vAlign w:val="center"/>
          </w:tcPr>
          <w:p w14:paraId="6B02E48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82013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23CD1F8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新建线路30公里</w:t>
            </w:r>
          </w:p>
        </w:tc>
        <w:tc>
          <w:tcPr>
            <w:tcW w:w="2855" w:type="dxa"/>
            <w:shd w:val="clear" w:color="auto" w:fill="auto"/>
            <w:vAlign w:val="center"/>
          </w:tcPr>
          <w:p w14:paraId="2FD0108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5EF748D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742" w:type="dxa"/>
            <w:shd w:val="clear" w:color="auto" w:fill="auto"/>
            <w:vAlign w:val="center"/>
          </w:tcPr>
          <w:p w14:paraId="3642513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707297D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0.66 </w:t>
            </w:r>
          </w:p>
        </w:tc>
        <w:tc>
          <w:tcPr>
            <w:tcW w:w="1506" w:type="dxa"/>
            <w:shd w:val="clear" w:color="auto" w:fill="auto"/>
            <w:vAlign w:val="center"/>
          </w:tcPr>
          <w:p w14:paraId="260329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E68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5B0273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124 </w:t>
            </w:r>
          </w:p>
        </w:tc>
        <w:tc>
          <w:tcPr>
            <w:tcW w:w="1538" w:type="dxa"/>
            <w:shd w:val="clear" w:color="auto" w:fill="auto"/>
            <w:vAlign w:val="center"/>
          </w:tcPr>
          <w:p w14:paraId="6EA0A3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湖北咸宁赤壁蒲圻110kV变电站1#主变增容工程（2026年开工）</w:t>
            </w:r>
          </w:p>
        </w:tc>
        <w:tc>
          <w:tcPr>
            <w:tcW w:w="645" w:type="dxa"/>
            <w:shd w:val="clear" w:color="auto" w:fill="auto"/>
            <w:vAlign w:val="center"/>
          </w:tcPr>
          <w:p w14:paraId="1071391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014B75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69C95E6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增容主变1台，容量50兆伏安</w:t>
            </w:r>
          </w:p>
        </w:tc>
        <w:tc>
          <w:tcPr>
            <w:tcW w:w="2855" w:type="dxa"/>
            <w:shd w:val="clear" w:color="auto" w:fill="auto"/>
            <w:vAlign w:val="center"/>
          </w:tcPr>
          <w:p w14:paraId="5978F56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40EA9ED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F598E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7DD3CD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0.53 </w:t>
            </w:r>
          </w:p>
        </w:tc>
        <w:tc>
          <w:tcPr>
            <w:tcW w:w="1506" w:type="dxa"/>
            <w:shd w:val="clear" w:color="auto" w:fill="auto"/>
            <w:vAlign w:val="center"/>
          </w:tcPr>
          <w:p w14:paraId="49BAF1E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511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DD136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125 </w:t>
            </w:r>
          </w:p>
        </w:tc>
        <w:tc>
          <w:tcPr>
            <w:tcW w:w="1538" w:type="dxa"/>
            <w:shd w:val="clear" w:color="auto" w:fill="auto"/>
            <w:vAlign w:val="center"/>
          </w:tcPr>
          <w:p w14:paraId="722B29C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湖北咸宁赤壁丰才110kV变电站主变扩建工程</w:t>
            </w:r>
          </w:p>
        </w:tc>
        <w:tc>
          <w:tcPr>
            <w:tcW w:w="645" w:type="dxa"/>
            <w:shd w:val="clear" w:color="auto" w:fill="auto"/>
            <w:vAlign w:val="center"/>
          </w:tcPr>
          <w:p w14:paraId="7FE1C76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40B12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7719F6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扩建主变1台，容量50兆伏安；新建架空线路2条，长度7.2千米；新建10千伏间隔12个</w:t>
            </w:r>
          </w:p>
        </w:tc>
        <w:tc>
          <w:tcPr>
            <w:tcW w:w="2855" w:type="dxa"/>
            <w:shd w:val="clear" w:color="auto" w:fill="auto"/>
            <w:vAlign w:val="center"/>
          </w:tcPr>
          <w:p w14:paraId="0C1ACA3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CD4157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7711252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3C0A0A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0.21 </w:t>
            </w:r>
          </w:p>
        </w:tc>
        <w:tc>
          <w:tcPr>
            <w:tcW w:w="1506" w:type="dxa"/>
            <w:shd w:val="clear" w:color="auto" w:fill="auto"/>
            <w:vAlign w:val="center"/>
          </w:tcPr>
          <w:p w14:paraId="37566B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C16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FAA65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126 </w:t>
            </w:r>
          </w:p>
        </w:tc>
        <w:tc>
          <w:tcPr>
            <w:tcW w:w="1538" w:type="dxa"/>
            <w:shd w:val="clear" w:color="auto" w:fill="auto"/>
            <w:vAlign w:val="center"/>
          </w:tcPr>
          <w:p w14:paraId="30BE53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湖北咸宁赤壁官庄220kV变电站配套110kV送出工程</w:t>
            </w:r>
          </w:p>
        </w:tc>
        <w:tc>
          <w:tcPr>
            <w:tcW w:w="645" w:type="dxa"/>
            <w:shd w:val="clear" w:color="auto" w:fill="auto"/>
            <w:vAlign w:val="center"/>
          </w:tcPr>
          <w:p w14:paraId="7D8C435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91C34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2EE6D6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新建架空线路6条，长度59千米</w:t>
            </w:r>
          </w:p>
        </w:tc>
        <w:tc>
          <w:tcPr>
            <w:tcW w:w="2855" w:type="dxa"/>
            <w:shd w:val="clear" w:color="auto" w:fill="auto"/>
            <w:vAlign w:val="center"/>
          </w:tcPr>
          <w:p w14:paraId="2088CE6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6FCBB8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31E17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C22AFB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0.65 </w:t>
            </w:r>
          </w:p>
        </w:tc>
        <w:tc>
          <w:tcPr>
            <w:tcW w:w="1506" w:type="dxa"/>
            <w:shd w:val="clear" w:color="auto" w:fill="auto"/>
            <w:vAlign w:val="center"/>
          </w:tcPr>
          <w:p w14:paraId="1B654A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12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7421FF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127 </w:t>
            </w:r>
          </w:p>
        </w:tc>
        <w:tc>
          <w:tcPr>
            <w:tcW w:w="1538" w:type="dxa"/>
            <w:shd w:val="clear" w:color="auto" w:fill="auto"/>
            <w:vAlign w:val="center"/>
          </w:tcPr>
          <w:p w14:paraId="6EDD7B5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湖北咸宁赤壁35kV余家桥变主变扩建工程</w:t>
            </w:r>
          </w:p>
        </w:tc>
        <w:tc>
          <w:tcPr>
            <w:tcW w:w="645" w:type="dxa"/>
            <w:shd w:val="clear" w:color="auto" w:fill="auto"/>
            <w:vAlign w:val="center"/>
          </w:tcPr>
          <w:p w14:paraId="2838018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3FF53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3DD372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扩建主变1台，容量10兆伏安；新建10千伏间隔6个</w:t>
            </w:r>
          </w:p>
        </w:tc>
        <w:tc>
          <w:tcPr>
            <w:tcW w:w="2855" w:type="dxa"/>
            <w:shd w:val="clear" w:color="auto" w:fill="auto"/>
            <w:vAlign w:val="center"/>
          </w:tcPr>
          <w:p w14:paraId="1D9445A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8C78B5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8D6D7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0FD58E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4D0388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50F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6A44D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128 </w:t>
            </w:r>
          </w:p>
        </w:tc>
        <w:tc>
          <w:tcPr>
            <w:tcW w:w="1538" w:type="dxa"/>
            <w:shd w:val="clear" w:color="auto" w:fill="auto"/>
            <w:vAlign w:val="center"/>
          </w:tcPr>
          <w:p w14:paraId="535E16B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湖北咸宁赤壁赵李桥－新店35kV线路改造工程</w:t>
            </w:r>
          </w:p>
        </w:tc>
        <w:tc>
          <w:tcPr>
            <w:tcW w:w="645" w:type="dxa"/>
            <w:shd w:val="clear" w:color="auto" w:fill="auto"/>
            <w:vAlign w:val="center"/>
          </w:tcPr>
          <w:p w14:paraId="5E33F25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5EC7A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4BD043E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改造架空线路1条，长度12.13千米</w:t>
            </w:r>
          </w:p>
        </w:tc>
        <w:tc>
          <w:tcPr>
            <w:tcW w:w="2855" w:type="dxa"/>
            <w:shd w:val="clear" w:color="auto" w:fill="auto"/>
            <w:vAlign w:val="center"/>
          </w:tcPr>
          <w:p w14:paraId="2B5513D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67631BD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6717C06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57B75A2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0.08 </w:t>
            </w:r>
          </w:p>
        </w:tc>
        <w:tc>
          <w:tcPr>
            <w:tcW w:w="1506" w:type="dxa"/>
            <w:shd w:val="clear" w:color="auto" w:fill="auto"/>
            <w:vAlign w:val="center"/>
          </w:tcPr>
          <w:p w14:paraId="1FC02C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7B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EBA14D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129 </w:t>
            </w:r>
          </w:p>
        </w:tc>
        <w:tc>
          <w:tcPr>
            <w:tcW w:w="1538" w:type="dxa"/>
            <w:shd w:val="clear" w:color="auto" w:fill="auto"/>
            <w:vAlign w:val="center"/>
          </w:tcPr>
          <w:p w14:paraId="4642B0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湖北咸宁赤壁黄沙35kV输变电工程</w:t>
            </w:r>
          </w:p>
        </w:tc>
        <w:tc>
          <w:tcPr>
            <w:tcW w:w="645" w:type="dxa"/>
            <w:shd w:val="clear" w:color="auto" w:fill="auto"/>
            <w:vAlign w:val="center"/>
          </w:tcPr>
          <w:p w14:paraId="097AEB7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E1E2CA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赤壁市</w:t>
            </w:r>
          </w:p>
        </w:tc>
        <w:tc>
          <w:tcPr>
            <w:tcW w:w="3805" w:type="dxa"/>
            <w:shd w:val="clear" w:color="auto" w:fill="auto"/>
            <w:vAlign w:val="center"/>
          </w:tcPr>
          <w:p w14:paraId="6728676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新建主变1台，容量10兆伏安；新建架空线路2条，长度20千米；新建10千伏间隔6个</w:t>
            </w:r>
          </w:p>
        </w:tc>
        <w:tc>
          <w:tcPr>
            <w:tcW w:w="2855" w:type="dxa"/>
            <w:shd w:val="clear" w:color="auto" w:fill="auto"/>
            <w:vAlign w:val="center"/>
          </w:tcPr>
          <w:p w14:paraId="3FF57F2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E55E42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03201B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11296F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0.34 </w:t>
            </w:r>
          </w:p>
        </w:tc>
        <w:tc>
          <w:tcPr>
            <w:tcW w:w="1506" w:type="dxa"/>
            <w:shd w:val="clear" w:color="auto" w:fill="auto"/>
            <w:vAlign w:val="center"/>
          </w:tcPr>
          <w:p w14:paraId="00AD4E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BA4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5EAB1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130 </w:t>
            </w:r>
          </w:p>
        </w:tc>
        <w:tc>
          <w:tcPr>
            <w:tcW w:w="1538" w:type="dxa"/>
            <w:shd w:val="clear" w:color="auto" w:fill="auto"/>
            <w:vAlign w:val="center"/>
          </w:tcPr>
          <w:p w14:paraId="14D552C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咸宁肖家洲220千伏输变电工程</w:t>
            </w:r>
          </w:p>
        </w:tc>
        <w:tc>
          <w:tcPr>
            <w:tcW w:w="645" w:type="dxa"/>
            <w:shd w:val="clear" w:color="auto" w:fill="auto"/>
            <w:vAlign w:val="center"/>
          </w:tcPr>
          <w:p w14:paraId="4231210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A3FE7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3246E9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新增主变2台，容量2×180兆伏安，新建线路67公里</w:t>
            </w:r>
          </w:p>
        </w:tc>
        <w:tc>
          <w:tcPr>
            <w:tcW w:w="2855" w:type="dxa"/>
            <w:shd w:val="clear" w:color="auto" w:fill="auto"/>
            <w:vAlign w:val="center"/>
          </w:tcPr>
          <w:p w14:paraId="02F468B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0E3C45F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2FD975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2347DF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3.01 </w:t>
            </w:r>
          </w:p>
        </w:tc>
        <w:tc>
          <w:tcPr>
            <w:tcW w:w="1506" w:type="dxa"/>
            <w:shd w:val="clear" w:color="auto" w:fill="auto"/>
            <w:vAlign w:val="center"/>
          </w:tcPr>
          <w:p w14:paraId="3D11F74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DCD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78955D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131 </w:t>
            </w:r>
          </w:p>
        </w:tc>
        <w:tc>
          <w:tcPr>
            <w:tcW w:w="1538" w:type="dxa"/>
            <w:shd w:val="clear" w:color="auto" w:fill="auto"/>
            <w:vAlign w:val="center"/>
          </w:tcPr>
          <w:p w14:paraId="631EF9A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湖北咸宁嘉鱼花石110kV变电站主变扩建工程</w:t>
            </w:r>
          </w:p>
        </w:tc>
        <w:tc>
          <w:tcPr>
            <w:tcW w:w="645" w:type="dxa"/>
            <w:shd w:val="clear" w:color="auto" w:fill="auto"/>
            <w:vAlign w:val="center"/>
          </w:tcPr>
          <w:p w14:paraId="6AD3FDC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33EA70A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424041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w:t>
            </w:r>
          </w:p>
        </w:tc>
        <w:tc>
          <w:tcPr>
            <w:tcW w:w="2855" w:type="dxa"/>
            <w:shd w:val="clear" w:color="auto" w:fill="auto"/>
            <w:vAlign w:val="center"/>
          </w:tcPr>
          <w:p w14:paraId="5D3679B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3E8AA9B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0769F29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59AEAA8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0.27 </w:t>
            </w:r>
          </w:p>
        </w:tc>
        <w:tc>
          <w:tcPr>
            <w:tcW w:w="1506" w:type="dxa"/>
            <w:shd w:val="clear" w:color="auto" w:fill="auto"/>
            <w:vAlign w:val="center"/>
          </w:tcPr>
          <w:p w14:paraId="7903BDE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36F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EA869B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132 </w:t>
            </w:r>
          </w:p>
        </w:tc>
        <w:tc>
          <w:tcPr>
            <w:tcW w:w="1538" w:type="dxa"/>
            <w:shd w:val="clear" w:color="auto" w:fill="auto"/>
            <w:vAlign w:val="center"/>
          </w:tcPr>
          <w:p w14:paraId="24CD49F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湖北咸宁嘉鱼茶庵岭至砂子岭π入花石变110kV线路工程</w:t>
            </w:r>
          </w:p>
        </w:tc>
        <w:tc>
          <w:tcPr>
            <w:tcW w:w="645" w:type="dxa"/>
            <w:shd w:val="clear" w:color="auto" w:fill="auto"/>
            <w:vAlign w:val="center"/>
          </w:tcPr>
          <w:p w14:paraId="21D8F6F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3F213D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6B5A3D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新建架空线路2条，长度26.69千米</w:t>
            </w:r>
          </w:p>
        </w:tc>
        <w:tc>
          <w:tcPr>
            <w:tcW w:w="2855" w:type="dxa"/>
            <w:shd w:val="clear" w:color="auto" w:fill="auto"/>
            <w:vAlign w:val="center"/>
          </w:tcPr>
          <w:p w14:paraId="057BFAC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0D45438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4FBF1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6AC646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0.54 </w:t>
            </w:r>
          </w:p>
        </w:tc>
        <w:tc>
          <w:tcPr>
            <w:tcW w:w="1506" w:type="dxa"/>
            <w:shd w:val="clear" w:color="auto" w:fill="auto"/>
            <w:vAlign w:val="center"/>
          </w:tcPr>
          <w:p w14:paraId="7B06E16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92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26C8BA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133 </w:t>
            </w:r>
          </w:p>
        </w:tc>
        <w:tc>
          <w:tcPr>
            <w:tcW w:w="1538" w:type="dxa"/>
            <w:shd w:val="clear" w:color="auto" w:fill="auto"/>
            <w:vAlign w:val="center"/>
          </w:tcPr>
          <w:p w14:paraId="6F5F85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湖北咸宁嘉鱼北门110kV输变电工程</w:t>
            </w:r>
          </w:p>
        </w:tc>
        <w:tc>
          <w:tcPr>
            <w:tcW w:w="645" w:type="dxa"/>
            <w:shd w:val="clear" w:color="auto" w:fill="auto"/>
            <w:vAlign w:val="center"/>
          </w:tcPr>
          <w:p w14:paraId="77277FF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新建 </w:t>
            </w:r>
          </w:p>
        </w:tc>
        <w:tc>
          <w:tcPr>
            <w:tcW w:w="855" w:type="dxa"/>
            <w:shd w:val="clear" w:color="auto" w:fill="auto"/>
            <w:vAlign w:val="center"/>
          </w:tcPr>
          <w:p w14:paraId="52B0DA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47297EC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新建主变2台，容量100兆伏安；新建架空线路2条，长度10.4千米；新建电缆线路1条，长度0.465千米；新建10千伏间隔24个</w:t>
            </w:r>
          </w:p>
        </w:tc>
        <w:tc>
          <w:tcPr>
            <w:tcW w:w="2855" w:type="dxa"/>
            <w:shd w:val="clear" w:color="auto" w:fill="auto"/>
            <w:vAlign w:val="center"/>
          </w:tcPr>
          <w:p w14:paraId="0315F4B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7BD0B1C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39B3F0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4CD9098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0.92 </w:t>
            </w:r>
          </w:p>
        </w:tc>
        <w:tc>
          <w:tcPr>
            <w:tcW w:w="1506" w:type="dxa"/>
            <w:shd w:val="clear" w:color="auto" w:fill="auto"/>
            <w:vAlign w:val="center"/>
          </w:tcPr>
          <w:p w14:paraId="51DF4F2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EAD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25B3B3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134 </w:t>
            </w:r>
          </w:p>
        </w:tc>
        <w:tc>
          <w:tcPr>
            <w:tcW w:w="1538" w:type="dxa"/>
            <w:shd w:val="clear" w:color="auto" w:fill="auto"/>
            <w:vAlign w:val="center"/>
          </w:tcPr>
          <w:p w14:paraId="14DFFAC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湖北咸宁嘉鱼220kV肖家洲变110kV配套工程</w:t>
            </w:r>
          </w:p>
        </w:tc>
        <w:tc>
          <w:tcPr>
            <w:tcW w:w="645" w:type="dxa"/>
            <w:shd w:val="clear" w:color="auto" w:fill="auto"/>
            <w:vAlign w:val="center"/>
          </w:tcPr>
          <w:p w14:paraId="2712D94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EA6C25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1AC539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新建架空线路3条，长度29千米</w:t>
            </w:r>
          </w:p>
        </w:tc>
        <w:tc>
          <w:tcPr>
            <w:tcW w:w="2855" w:type="dxa"/>
            <w:shd w:val="clear" w:color="auto" w:fill="auto"/>
            <w:vAlign w:val="center"/>
          </w:tcPr>
          <w:p w14:paraId="29111CD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0E87C4D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60F1D4D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300E99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0.32 </w:t>
            </w:r>
          </w:p>
        </w:tc>
        <w:tc>
          <w:tcPr>
            <w:tcW w:w="1506" w:type="dxa"/>
            <w:shd w:val="clear" w:color="auto" w:fill="auto"/>
            <w:vAlign w:val="center"/>
          </w:tcPr>
          <w:p w14:paraId="3293B0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55B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DEE8A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135 </w:t>
            </w:r>
          </w:p>
        </w:tc>
        <w:tc>
          <w:tcPr>
            <w:tcW w:w="1538" w:type="dxa"/>
            <w:shd w:val="clear" w:color="auto" w:fill="auto"/>
            <w:vAlign w:val="center"/>
          </w:tcPr>
          <w:p w14:paraId="3116152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湖北咸宁嘉鱼港东110kV变电站主变扩建工程</w:t>
            </w:r>
          </w:p>
        </w:tc>
        <w:tc>
          <w:tcPr>
            <w:tcW w:w="645" w:type="dxa"/>
            <w:shd w:val="clear" w:color="auto" w:fill="auto"/>
            <w:vAlign w:val="center"/>
          </w:tcPr>
          <w:p w14:paraId="70FD692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FC895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1D6C56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04442E0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78363C9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44D9991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361C83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555E4A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0BF5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29E833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136 </w:t>
            </w:r>
          </w:p>
        </w:tc>
        <w:tc>
          <w:tcPr>
            <w:tcW w:w="1538" w:type="dxa"/>
            <w:shd w:val="clear" w:color="auto" w:fill="auto"/>
            <w:vAlign w:val="center"/>
          </w:tcPr>
          <w:p w14:paraId="2E8E9F3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湖北咸宁嘉鱼宝塔-潘湾110kV线路改造工程</w:t>
            </w:r>
          </w:p>
        </w:tc>
        <w:tc>
          <w:tcPr>
            <w:tcW w:w="645" w:type="dxa"/>
            <w:shd w:val="clear" w:color="auto" w:fill="auto"/>
            <w:vAlign w:val="center"/>
          </w:tcPr>
          <w:p w14:paraId="12A7CAC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77AC7CC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21CDC0B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改造架空线路1条，长度21.9千米</w:t>
            </w:r>
          </w:p>
        </w:tc>
        <w:tc>
          <w:tcPr>
            <w:tcW w:w="2855" w:type="dxa"/>
            <w:shd w:val="clear" w:color="auto" w:fill="auto"/>
            <w:vAlign w:val="center"/>
          </w:tcPr>
          <w:p w14:paraId="5637C58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764FFCC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6295E11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6EE299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0.30 </w:t>
            </w:r>
          </w:p>
        </w:tc>
        <w:tc>
          <w:tcPr>
            <w:tcW w:w="1506" w:type="dxa"/>
            <w:shd w:val="clear" w:color="auto" w:fill="auto"/>
            <w:vAlign w:val="center"/>
          </w:tcPr>
          <w:p w14:paraId="7F86E5D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1E8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FACE7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137 </w:t>
            </w:r>
          </w:p>
        </w:tc>
        <w:tc>
          <w:tcPr>
            <w:tcW w:w="1538" w:type="dxa"/>
            <w:shd w:val="clear" w:color="auto" w:fill="auto"/>
            <w:vAlign w:val="center"/>
          </w:tcPr>
          <w:p w14:paraId="2A646E9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湖北咸宁嘉鱼35kV聂家湖变电站35kV#2主变扩建工程</w:t>
            </w:r>
          </w:p>
        </w:tc>
        <w:tc>
          <w:tcPr>
            <w:tcW w:w="645" w:type="dxa"/>
            <w:shd w:val="clear" w:color="auto" w:fill="auto"/>
            <w:vAlign w:val="center"/>
          </w:tcPr>
          <w:p w14:paraId="20B700F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5BC6DF6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31B173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扩建主变1台，容量20兆伏安；新建架空线路1条，长度11.6千米；新建10千伏间隔6个</w:t>
            </w:r>
          </w:p>
        </w:tc>
        <w:tc>
          <w:tcPr>
            <w:tcW w:w="2855" w:type="dxa"/>
            <w:shd w:val="clear" w:color="auto" w:fill="auto"/>
            <w:vAlign w:val="center"/>
          </w:tcPr>
          <w:p w14:paraId="1DBED73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0E2AA49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3FCD27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07442F4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0.24 </w:t>
            </w:r>
          </w:p>
        </w:tc>
        <w:tc>
          <w:tcPr>
            <w:tcW w:w="1506" w:type="dxa"/>
            <w:shd w:val="clear" w:color="auto" w:fill="auto"/>
            <w:vAlign w:val="center"/>
          </w:tcPr>
          <w:p w14:paraId="019400C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5A6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5F3CD9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138 </w:t>
            </w:r>
          </w:p>
        </w:tc>
        <w:tc>
          <w:tcPr>
            <w:tcW w:w="1538" w:type="dxa"/>
            <w:shd w:val="clear" w:color="auto" w:fill="auto"/>
            <w:vAlign w:val="center"/>
          </w:tcPr>
          <w:p w14:paraId="5171D3B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湖北咸宁嘉鱼35kV渡普变电站35kV渡#1主变增容工程</w:t>
            </w:r>
          </w:p>
        </w:tc>
        <w:tc>
          <w:tcPr>
            <w:tcW w:w="645" w:type="dxa"/>
            <w:shd w:val="clear" w:color="auto" w:fill="auto"/>
            <w:vAlign w:val="center"/>
          </w:tcPr>
          <w:p w14:paraId="55F1575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84F8D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嘉鱼县</w:t>
            </w:r>
          </w:p>
        </w:tc>
        <w:tc>
          <w:tcPr>
            <w:tcW w:w="3805" w:type="dxa"/>
            <w:shd w:val="clear" w:color="auto" w:fill="auto"/>
            <w:vAlign w:val="center"/>
          </w:tcPr>
          <w:p w14:paraId="6B53E9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增容主变1台，容量20兆伏安</w:t>
            </w:r>
          </w:p>
        </w:tc>
        <w:tc>
          <w:tcPr>
            <w:tcW w:w="2855" w:type="dxa"/>
            <w:shd w:val="clear" w:color="auto" w:fill="auto"/>
            <w:vAlign w:val="center"/>
          </w:tcPr>
          <w:p w14:paraId="6B9704C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5B4CAE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32E772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0FDFB1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6480BB7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CCA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20F892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139 </w:t>
            </w:r>
          </w:p>
        </w:tc>
        <w:tc>
          <w:tcPr>
            <w:tcW w:w="1538" w:type="dxa"/>
            <w:shd w:val="clear" w:color="auto" w:fill="auto"/>
            <w:vAlign w:val="center"/>
          </w:tcPr>
          <w:p w14:paraId="647870C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湖北咸宁崇阳浮桥110kV输变电工程</w:t>
            </w:r>
          </w:p>
        </w:tc>
        <w:tc>
          <w:tcPr>
            <w:tcW w:w="645" w:type="dxa"/>
            <w:shd w:val="clear" w:color="auto" w:fill="auto"/>
            <w:vAlign w:val="center"/>
          </w:tcPr>
          <w:p w14:paraId="17504F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758E4E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47A26CF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新建主变2台，容量100兆伏安；新建架空线路2条，长度8千米；新建10千伏间隔24个</w:t>
            </w:r>
          </w:p>
        </w:tc>
        <w:tc>
          <w:tcPr>
            <w:tcW w:w="2855" w:type="dxa"/>
            <w:shd w:val="clear" w:color="auto" w:fill="auto"/>
            <w:vAlign w:val="center"/>
          </w:tcPr>
          <w:p w14:paraId="44A4ACC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1400DD8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0C275B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227D83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0A7FC74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CF0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263449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140 </w:t>
            </w:r>
          </w:p>
        </w:tc>
        <w:tc>
          <w:tcPr>
            <w:tcW w:w="1538" w:type="dxa"/>
            <w:shd w:val="clear" w:color="auto" w:fill="auto"/>
            <w:vAlign w:val="center"/>
          </w:tcPr>
          <w:p w14:paraId="6160E08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湖北咸宁崇阳阮新110kV变电站主变扩建工程</w:t>
            </w:r>
          </w:p>
        </w:tc>
        <w:tc>
          <w:tcPr>
            <w:tcW w:w="645" w:type="dxa"/>
            <w:shd w:val="clear" w:color="auto" w:fill="auto"/>
            <w:vAlign w:val="center"/>
          </w:tcPr>
          <w:p w14:paraId="13E393F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8AC6D6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49B6C3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40812FD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E6BAC4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42390F3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7BA738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0636CB8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000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509835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141 </w:t>
            </w:r>
          </w:p>
        </w:tc>
        <w:tc>
          <w:tcPr>
            <w:tcW w:w="1538" w:type="dxa"/>
            <w:shd w:val="clear" w:color="auto" w:fill="auto"/>
            <w:vAlign w:val="center"/>
          </w:tcPr>
          <w:p w14:paraId="40FBB5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湖北咸宁崇阳月亮山110kV变电站主变扩建工程</w:t>
            </w:r>
          </w:p>
        </w:tc>
        <w:tc>
          <w:tcPr>
            <w:tcW w:w="645" w:type="dxa"/>
            <w:shd w:val="clear" w:color="auto" w:fill="auto"/>
            <w:vAlign w:val="center"/>
          </w:tcPr>
          <w:p w14:paraId="4775483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061414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209F97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扩建主变1台，容量31.5兆伏安；新建10千伏间隔12个</w:t>
            </w:r>
          </w:p>
        </w:tc>
        <w:tc>
          <w:tcPr>
            <w:tcW w:w="2855" w:type="dxa"/>
            <w:shd w:val="clear" w:color="auto" w:fill="auto"/>
            <w:vAlign w:val="center"/>
          </w:tcPr>
          <w:p w14:paraId="1C72DB1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1C36492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7BABD49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4F37AF5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6996CC4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A73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3EF294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142 </w:t>
            </w:r>
          </w:p>
        </w:tc>
        <w:tc>
          <w:tcPr>
            <w:tcW w:w="1538" w:type="dxa"/>
            <w:shd w:val="clear" w:color="auto" w:fill="auto"/>
            <w:vAlign w:val="center"/>
          </w:tcPr>
          <w:p w14:paraId="2CF3DA2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湖北咸宁崇阳桂花泉-菖蒲35kV线路新建工程</w:t>
            </w:r>
          </w:p>
        </w:tc>
        <w:tc>
          <w:tcPr>
            <w:tcW w:w="645" w:type="dxa"/>
            <w:shd w:val="clear" w:color="auto" w:fill="auto"/>
            <w:vAlign w:val="center"/>
          </w:tcPr>
          <w:p w14:paraId="4DFE28E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360A687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75D0C8F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新建架空线路1条，长度11.8千米；新建电缆线路长度0.2千米</w:t>
            </w:r>
          </w:p>
        </w:tc>
        <w:tc>
          <w:tcPr>
            <w:tcW w:w="2855" w:type="dxa"/>
            <w:shd w:val="clear" w:color="auto" w:fill="auto"/>
            <w:vAlign w:val="center"/>
          </w:tcPr>
          <w:p w14:paraId="0A2CCF4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29E67B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712153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047B32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0.15 </w:t>
            </w:r>
          </w:p>
        </w:tc>
        <w:tc>
          <w:tcPr>
            <w:tcW w:w="1506" w:type="dxa"/>
            <w:shd w:val="clear" w:color="auto" w:fill="auto"/>
            <w:vAlign w:val="center"/>
          </w:tcPr>
          <w:p w14:paraId="1CA1D1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F0B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246467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143 </w:t>
            </w:r>
          </w:p>
        </w:tc>
        <w:tc>
          <w:tcPr>
            <w:tcW w:w="1538" w:type="dxa"/>
            <w:shd w:val="clear" w:color="auto" w:fill="auto"/>
            <w:vAlign w:val="center"/>
          </w:tcPr>
          <w:p w14:paraId="611B3B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湖北咸宁崇阳白霓-梅花35kV线路新建工程</w:t>
            </w:r>
          </w:p>
        </w:tc>
        <w:tc>
          <w:tcPr>
            <w:tcW w:w="645" w:type="dxa"/>
            <w:shd w:val="clear" w:color="auto" w:fill="auto"/>
            <w:vAlign w:val="center"/>
          </w:tcPr>
          <w:p w14:paraId="3B5A06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C96D9F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E9016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新建架空线路1条，长度12千米</w:t>
            </w:r>
          </w:p>
        </w:tc>
        <w:tc>
          <w:tcPr>
            <w:tcW w:w="2855" w:type="dxa"/>
            <w:shd w:val="clear" w:color="auto" w:fill="auto"/>
            <w:vAlign w:val="center"/>
          </w:tcPr>
          <w:p w14:paraId="122BA48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D4CE7D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CE5227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1CC565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0.08 </w:t>
            </w:r>
          </w:p>
        </w:tc>
        <w:tc>
          <w:tcPr>
            <w:tcW w:w="1506" w:type="dxa"/>
            <w:shd w:val="clear" w:color="auto" w:fill="auto"/>
            <w:vAlign w:val="center"/>
          </w:tcPr>
          <w:p w14:paraId="3869AA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A65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DD530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144 </w:t>
            </w:r>
          </w:p>
        </w:tc>
        <w:tc>
          <w:tcPr>
            <w:tcW w:w="1538" w:type="dxa"/>
            <w:shd w:val="clear" w:color="auto" w:fill="auto"/>
            <w:vAlign w:val="center"/>
          </w:tcPr>
          <w:p w14:paraId="2EECD91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湖北咸宁崇阳月塘一回线35kV线路改造工程</w:t>
            </w:r>
          </w:p>
        </w:tc>
        <w:tc>
          <w:tcPr>
            <w:tcW w:w="645" w:type="dxa"/>
            <w:shd w:val="clear" w:color="auto" w:fill="auto"/>
            <w:vAlign w:val="center"/>
          </w:tcPr>
          <w:p w14:paraId="5FC7B18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02BD0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2ACF568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改造架空线路1条，长度14.17千米</w:t>
            </w:r>
          </w:p>
        </w:tc>
        <w:tc>
          <w:tcPr>
            <w:tcW w:w="2855" w:type="dxa"/>
            <w:shd w:val="clear" w:color="auto" w:fill="auto"/>
            <w:vAlign w:val="center"/>
          </w:tcPr>
          <w:p w14:paraId="49E84F4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CECA84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70BADD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6D2D9D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0.10 </w:t>
            </w:r>
          </w:p>
        </w:tc>
        <w:tc>
          <w:tcPr>
            <w:tcW w:w="1506" w:type="dxa"/>
            <w:shd w:val="clear" w:color="auto" w:fill="auto"/>
            <w:vAlign w:val="center"/>
          </w:tcPr>
          <w:p w14:paraId="4B3DA72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10D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0B79B8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145 </w:t>
            </w:r>
          </w:p>
        </w:tc>
        <w:tc>
          <w:tcPr>
            <w:tcW w:w="1538" w:type="dxa"/>
            <w:shd w:val="clear" w:color="auto" w:fill="auto"/>
            <w:vAlign w:val="center"/>
          </w:tcPr>
          <w:p w14:paraId="7600CED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湖北咸宁崇阳梅花35kV变电站扩建工程</w:t>
            </w:r>
          </w:p>
        </w:tc>
        <w:tc>
          <w:tcPr>
            <w:tcW w:w="645" w:type="dxa"/>
            <w:shd w:val="clear" w:color="auto" w:fill="auto"/>
            <w:vAlign w:val="center"/>
          </w:tcPr>
          <w:p w14:paraId="2A1EEA3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45D5E5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64A9FE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扩建主变1台，容量10兆伏安；新建10千伏间隔6个</w:t>
            </w:r>
          </w:p>
        </w:tc>
        <w:tc>
          <w:tcPr>
            <w:tcW w:w="2855" w:type="dxa"/>
            <w:shd w:val="clear" w:color="auto" w:fill="auto"/>
            <w:vAlign w:val="center"/>
          </w:tcPr>
          <w:p w14:paraId="5B56914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D2DBDB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307F250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7F115D7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1A923BF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D8A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6B527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146 </w:t>
            </w:r>
          </w:p>
        </w:tc>
        <w:tc>
          <w:tcPr>
            <w:tcW w:w="1538" w:type="dxa"/>
            <w:shd w:val="clear" w:color="auto" w:fill="auto"/>
            <w:vAlign w:val="center"/>
          </w:tcPr>
          <w:p w14:paraId="0126E6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湖北咸宁崇阳桂花泉35kV变电站扩建工程</w:t>
            </w:r>
          </w:p>
        </w:tc>
        <w:tc>
          <w:tcPr>
            <w:tcW w:w="645" w:type="dxa"/>
            <w:shd w:val="clear" w:color="auto" w:fill="auto"/>
            <w:vAlign w:val="center"/>
          </w:tcPr>
          <w:p w14:paraId="01FD61B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0A8318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崇阳县</w:t>
            </w:r>
          </w:p>
        </w:tc>
        <w:tc>
          <w:tcPr>
            <w:tcW w:w="3805" w:type="dxa"/>
            <w:shd w:val="clear" w:color="auto" w:fill="auto"/>
            <w:vAlign w:val="center"/>
          </w:tcPr>
          <w:p w14:paraId="5D6DD5A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扩建主变1台，容量10兆伏安；新建架空线路1条，长度12千米；新建10千伏间隔6个</w:t>
            </w:r>
          </w:p>
        </w:tc>
        <w:tc>
          <w:tcPr>
            <w:tcW w:w="2855" w:type="dxa"/>
            <w:shd w:val="clear" w:color="auto" w:fill="auto"/>
            <w:vAlign w:val="center"/>
          </w:tcPr>
          <w:p w14:paraId="63A7717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C0ADFA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504C7F4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0163B22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0.13 </w:t>
            </w:r>
          </w:p>
        </w:tc>
        <w:tc>
          <w:tcPr>
            <w:tcW w:w="1506" w:type="dxa"/>
            <w:shd w:val="clear" w:color="auto" w:fill="auto"/>
            <w:vAlign w:val="center"/>
          </w:tcPr>
          <w:p w14:paraId="1B61FC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0506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3AD1ED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147 </w:t>
            </w:r>
          </w:p>
        </w:tc>
        <w:tc>
          <w:tcPr>
            <w:tcW w:w="1538" w:type="dxa"/>
            <w:shd w:val="clear" w:color="auto" w:fill="auto"/>
            <w:vAlign w:val="center"/>
          </w:tcPr>
          <w:p w14:paraId="6DFF086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咸宁闯王220千伏输变电工程</w:t>
            </w:r>
          </w:p>
        </w:tc>
        <w:tc>
          <w:tcPr>
            <w:tcW w:w="645" w:type="dxa"/>
            <w:shd w:val="clear" w:color="auto" w:fill="auto"/>
            <w:vAlign w:val="center"/>
          </w:tcPr>
          <w:p w14:paraId="570504D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D0B4B1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73A16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新增主变2台，容量2×180兆伏安，新建线路72.9公里</w:t>
            </w:r>
          </w:p>
        </w:tc>
        <w:tc>
          <w:tcPr>
            <w:tcW w:w="2855" w:type="dxa"/>
            <w:shd w:val="clear" w:color="auto" w:fill="auto"/>
            <w:vAlign w:val="center"/>
          </w:tcPr>
          <w:p w14:paraId="2DBC338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2625D64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00A366A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00B0F2E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3.65 </w:t>
            </w:r>
          </w:p>
        </w:tc>
        <w:tc>
          <w:tcPr>
            <w:tcW w:w="1506" w:type="dxa"/>
            <w:shd w:val="clear" w:color="auto" w:fill="auto"/>
            <w:vAlign w:val="center"/>
          </w:tcPr>
          <w:p w14:paraId="3B7C89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449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CD2230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148 </w:t>
            </w:r>
          </w:p>
        </w:tc>
        <w:tc>
          <w:tcPr>
            <w:tcW w:w="1538" w:type="dxa"/>
            <w:shd w:val="clear" w:color="auto" w:fill="auto"/>
            <w:vAlign w:val="center"/>
          </w:tcPr>
          <w:p w14:paraId="0D409B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湖北咸宁通山沙堤110kV输变电工程</w:t>
            </w:r>
          </w:p>
        </w:tc>
        <w:tc>
          <w:tcPr>
            <w:tcW w:w="645" w:type="dxa"/>
            <w:shd w:val="clear" w:color="auto" w:fill="auto"/>
            <w:vAlign w:val="center"/>
          </w:tcPr>
          <w:p w14:paraId="0E8201A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300963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74FED9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新建主变2台，容量100兆伏安；新建架空线路4条，长度11.4千米；新建10千伏间隔24个</w:t>
            </w:r>
          </w:p>
        </w:tc>
        <w:tc>
          <w:tcPr>
            <w:tcW w:w="2855" w:type="dxa"/>
            <w:shd w:val="clear" w:color="auto" w:fill="auto"/>
            <w:vAlign w:val="center"/>
          </w:tcPr>
          <w:p w14:paraId="3A9E05D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6032231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6376AE8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3D5600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0.79 </w:t>
            </w:r>
          </w:p>
        </w:tc>
        <w:tc>
          <w:tcPr>
            <w:tcW w:w="1506" w:type="dxa"/>
            <w:shd w:val="clear" w:color="auto" w:fill="auto"/>
            <w:vAlign w:val="center"/>
          </w:tcPr>
          <w:p w14:paraId="09581A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7B0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BAE35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149 </w:t>
            </w:r>
          </w:p>
        </w:tc>
        <w:tc>
          <w:tcPr>
            <w:tcW w:w="1538" w:type="dxa"/>
            <w:shd w:val="clear" w:color="auto" w:fill="auto"/>
            <w:vAlign w:val="center"/>
          </w:tcPr>
          <w:p w14:paraId="49EB11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湖北咸宁通山闯王220kV变电站配套110kV送出工程</w:t>
            </w:r>
          </w:p>
        </w:tc>
        <w:tc>
          <w:tcPr>
            <w:tcW w:w="645" w:type="dxa"/>
            <w:shd w:val="clear" w:color="auto" w:fill="auto"/>
            <w:vAlign w:val="center"/>
          </w:tcPr>
          <w:p w14:paraId="7670A27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4CE7EA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16A80C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新建架空线路5条，长度90.7千米</w:t>
            </w:r>
          </w:p>
        </w:tc>
        <w:tc>
          <w:tcPr>
            <w:tcW w:w="2855" w:type="dxa"/>
            <w:shd w:val="clear" w:color="auto" w:fill="auto"/>
            <w:vAlign w:val="center"/>
          </w:tcPr>
          <w:p w14:paraId="23FD9E0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2C74D7D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1F07D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60F7E49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1.12 </w:t>
            </w:r>
          </w:p>
        </w:tc>
        <w:tc>
          <w:tcPr>
            <w:tcW w:w="1506" w:type="dxa"/>
            <w:shd w:val="clear" w:color="auto" w:fill="auto"/>
            <w:vAlign w:val="center"/>
          </w:tcPr>
          <w:p w14:paraId="3297FF7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5C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276372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150 </w:t>
            </w:r>
          </w:p>
        </w:tc>
        <w:tc>
          <w:tcPr>
            <w:tcW w:w="1538" w:type="dxa"/>
            <w:shd w:val="clear" w:color="auto" w:fill="auto"/>
            <w:vAlign w:val="center"/>
          </w:tcPr>
          <w:p w14:paraId="08C6E9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湖北咸宁通山洪港110kV变电站扩建工程</w:t>
            </w:r>
          </w:p>
        </w:tc>
        <w:tc>
          <w:tcPr>
            <w:tcW w:w="645" w:type="dxa"/>
            <w:shd w:val="clear" w:color="auto" w:fill="auto"/>
            <w:vAlign w:val="center"/>
          </w:tcPr>
          <w:p w14:paraId="6275B1D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DE2FC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0E372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扩建主变1台，容量31.5兆伏安；新建10千伏间隔12个</w:t>
            </w:r>
          </w:p>
        </w:tc>
        <w:tc>
          <w:tcPr>
            <w:tcW w:w="2855" w:type="dxa"/>
            <w:shd w:val="clear" w:color="auto" w:fill="auto"/>
            <w:vAlign w:val="center"/>
          </w:tcPr>
          <w:p w14:paraId="7265160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694187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A111C9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ACA420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0.19 </w:t>
            </w:r>
          </w:p>
        </w:tc>
        <w:tc>
          <w:tcPr>
            <w:tcW w:w="1506" w:type="dxa"/>
            <w:shd w:val="clear" w:color="auto" w:fill="auto"/>
            <w:vAlign w:val="center"/>
          </w:tcPr>
          <w:p w14:paraId="00BE779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CD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F8B487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151 </w:t>
            </w:r>
          </w:p>
        </w:tc>
        <w:tc>
          <w:tcPr>
            <w:tcW w:w="1538" w:type="dxa"/>
            <w:shd w:val="clear" w:color="auto" w:fill="auto"/>
            <w:vAlign w:val="center"/>
          </w:tcPr>
          <w:p w14:paraId="0D3348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湖北咸宁通山大畈110kV变电站扩建工程</w:t>
            </w:r>
          </w:p>
        </w:tc>
        <w:tc>
          <w:tcPr>
            <w:tcW w:w="645" w:type="dxa"/>
            <w:shd w:val="clear" w:color="auto" w:fill="auto"/>
            <w:vAlign w:val="center"/>
          </w:tcPr>
          <w:p w14:paraId="0FCDC69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E16BB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6AA4EA7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扩建主变1台，容量31.5兆伏安；新建10千伏间隔12个</w:t>
            </w:r>
          </w:p>
        </w:tc>
        <w:tc>
          <w:tcPr>
            <w:tcW w:w="2855" w:type="dxa"/>
            <w:shd w:val="clear" w:color="auto" w:fill="auto"/>
            <w:vAlign w:val="center"/>
          </w:tcPr>
          <w:p w14:paraId="4FA03C9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ECAE83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7D9ECA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C567A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0C85D1E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03DB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DD62F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152 </w:t>
            </w:r>
          </w:p>
        </w:tc>
        <w:tc>
          <w:tcPr>
            <w:tcW w:w="1538" w:type="dxa"/>
            <w:shd w:val="clear" w:color="auto" w:fill="auto"/>
            <w:vAlign w:val="center"/>
          </w:tcPr>
          <w:p w14:paraId="3E745C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湖北咸宁通山厦铺110kV输变电工程</w:t>
            </w:r>
          </w:p>
        </w:tc>
        <w:tc>
          <w:tcPr>
            <w:tcW w:w="645" w:type="dxa"/>
            <w:shd w:val="clear" w:color="auto" w:fill="auto"/>
            <w:vAlign w:val="center"/>
          </w:tcPr>
          <w:p w14:paraId="4ADA990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76654A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1C4D40E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新建主变1台，容量31.5兆伏安；新建架空线路2条，长度31.61千米；新建10千伏间隔12个</w:t>
            </w:r>
          </w:p>
        </w:tc>
        <w:tc>
          <w:tcPr>
            <w:tcW w:w="2855" w:type="dxa"/>
            <w:shd w:val="clear" w:color="auto" w:fill="auto"/>
            <w:vAlign w:val="center"/>
          </w:tcPr>
          <w:p w14:paraId="5E52807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31AA48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482BF4E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5944A6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0.95 </w:t>
            </w:r>
          </w:p>
        </w:tc>
        <w:tc>
          <w:tcPr>
            <w:tcW w:w="1506" w:type="dxa"/>
            <w:shd w:val="clear" w:color="auto" w:fill="auto"/>
            <w:vAlign w:val="center"/>
          </w:tcPr>
          <w:p w14:paraId="061B790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CA3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D0A553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153 </w:t>
            </w:r>
          </w:p>
        </w:tc>
        <w:tc>
          <w:tcPr>
            <w:tcW w:w="1538" w:type="dxa"/>
            <w:shd w:val="clear" w:color="auto" w:fill="auto"/>
            <w:vAlign w:val="center"/>
          </w:tcPr>
          <w:p w14:paraId="237730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湖北咸宁通山厦铺－刘家岭35kV线路改造工程</w:t>
            </w:r>
          </w:p>
        </w:tc>
        <w:tc>
          <w:tcPr>
            <w:tcW w:w="645" w:type="dxa"/>
            <w:shd w:val="clear" w:color="auto" w:fill="auto"/>
            <w:vAlign w:val="center"/>
          </w:tcPr>
          <w:p w14:paraId="1AACBD1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735C4A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7B1DFFF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改造架空线路1条，长度16.88千米</w:t>
            </w:r>
          </w:p>
        </w:tc>
        <w:tc>
          <w:tcPr>
            <w:tcW w:w="2855" w:type="dxa"/>
            <w:shd w:val="clear" w:color="auto" w:fill="auto"/>
            <w:vAlign w:val="center"/>
          </w:tcPr>
          <w:p w14:paraId="1B1A304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A68757E">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14C779E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6088CEE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0.12 </w:t>
            </w:r>
          </w:p>
        </w:tc>
        <w:tc>
          <w:tcPr>
            <w:tcW w:w="1506" w:type="dxa"/>
            <w:shd w:val="clear" w:color="auto" w:fill="auto"/>
            <w:vAlign w:val="center"/>
          </w:tcPr>
          <w:p w14:paraId="36E45E2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74C7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75FB60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154 </w:t>
            </w:r>
          </w:p>
        </w:tc>
        <w:tc>
          <w:tcPr>
            <w:tcW w:w="1538" w:type="dxa"/>
            <w:shd w:val="clear" w:color="auto" w:fill="auto"/>
            <w:vAlign w:val="center"/>
          </w:tcPr>
          <w:p w14:paraId="41541C3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湖北咸宁通山洪港-杨林35kV线路改造工程</w:t>
            </w:r>
          </w:p>
        </w:tc>
        <w:tc>
          <w:tcPr>
            <w:tcW w:w="645" w:type="dxa"/>
            <w:shd w:val="clear" w:color="auto" w:fill="auto"/>
            <w:vAlign w:val="center"/>
          </w:tcPr>
          <w:p w14:paraId="408D26E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B9BA6B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6C095F5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改造架空线路1条，长度15.72千米</w:t>
            </w:r>
          </w:p>
        </w:tc>
        <w:tc>
          <w:tcPr>
            <w:tcW w:w="2855" w:type="dxa"/>
            <w:shd w:val="clear" w:color="auto" w:fill="auto"/>
            <w:vAlign w:val="center"/>
          </w:tcPr>
          <w:p w14:paraId="60ED4F8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5F952D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E7948F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2DEE0E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0.11 </w:t>
            </w:r>
          </w:p>
        </w:tc>
        <w:tc>
          <w:tcPr>
            <w:tcW w:w="1506" w:type="dxa"/>
            <w:shd w:val="clear" w:color="auto" w:fill="auto"/>
            <w:vAlign w:val="center"/>
          </w:tcPr>
          <w:p w14:paraId="14E7B3B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12A5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CF050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155 </w:t>
            </w:r>
          </w:p>
        </w:tc>
        <w:tc>
          <w:tcPr>
            <w:tcW w:w="1538" w:type="dxa"/>
            <w:shd w:val="clear" w:color="auto" w:fill="auto"/>
            <w:vAlign w:val="center"/>
          </w:tcPr>
          <w:p w14:paraId="76ED468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湖北咸宁通山株林35kV变电站主变扩建工程</w:t>
            </w:r>
          </w:p>
        </w:tc>
        <w:tc>
          <w:tcPr>
            <w:tcW w:w="645" w:type="dxa"/>
            <w:shd w:val="clear" w:color="auto" w:fill="auto"/>
            <w:vAlign w:val="center"/>
          </w:tcPr>
          <w:p w14:paraId="0299AC9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57FF43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5EEF600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扩建主变1台，容量10兆伏安；新建10千伏间隔6个</w:t>
            </w:r>
          </w:p>
        </w:tc>
        <w:tc>
          <w:tcPr>
            <w:tcW w:w="2855" w:type="dxa"/>
            <w:shd w:val="clear" w:color="auto" w:fill="auto"/>
            <w:vAlign w:val="center"/>
          </w:tcPr>
          <w:p w14:paraId="17FD451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53D8CB5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608D69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328DF62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187846C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AB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98CE6A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156 </w:t>
            </w:r>
          </w:p>
        </w:tc>
        <w:tc>
          <w:tcPr>
            <w:tcW w:w="1538" w:type="dxa"/>
            <w:shd w:val="clear" w:color="auto" w:fill="auto"/>
            <w:vAlign w:val="center"/>
          </w:tcPr>
          <w:p w14:paraId="074775C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湖北咸宁通山刘家岭35kV变电站1#主变增容工程</w:t>
            </w:r>
          </w:p>
        </w:tc>
        <w:tc>
          <w:tcPr>
            <w:tcW w:w="645" w:type="dxa"/>
            <w:shd w:val="clear" w:color="auto" w:fill="auto"/>
            <w:vAlign w:val="center"/>
          </w:tcPr>
          <w:p w14:paraId="702398E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4456B7A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35A4EF8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增容主变1台，容量10兆伏安；新建架空线路1条，长度2千米</w:t>
            </w:r>
          </w:p>
        </w:tc>
        <w:tc>
          <w:tcPr>
            <w:tcW w:w="2855" w:type="dxa"/>
            <w:shd w:val="clear" w:color="auto" w:fill="auto"/>
            <w:vAlign w:val="center"/>
          </w:tcPr>
          <w:p w14:paraId="6AF3D3C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34FB878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739C996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051551C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0.06 </w:t>
            </w:r>
          </w:p>
        </w:tc>
        <w:tc>
          <w:tcPr>
            <w:tcW w:w="1506" w:type="dxa"/>
            <w:shd w:val="clear" w:color="auto" w:fill="auto"/>
            <w:vAlign w:val="center"/>
          </w:tcPr>
          <w:p w14:paraId="240794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678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512A7C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157 </w:t>
            </w:r>
          </w:p>
        </w:tc>
        <w:tc>
          <w:tcPr>
            <w:tcW w:w="1538" w:type="dxa"/>
            <w:shd w:val="clear" w:color="auto" w:fill="auto"/>
            <w:vAlign w:val="center"/>
          </w:tcPr>
          <w:p w14:paraId="6BF895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湖北咸宁通山慈口35kV变电站主变扩建工程</w:t>
            </w:r>
          </w:p>
        </w:tc>
        <w:tc>
          <w:tcPr>
            <w:tcW w:w="645" w:type="dxa"/>
            <w:shd w:val="clear" w:color="auto" w:fill="auto"/>
            <w:vAlign w:val="center"/>
          </w:tcPr>
          <w:p w14:paraId="4DFD65E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17F24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72A7B96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扩建主变1台，容量10兆伏安；新建架空线路1条，长度16.5千米；新建10千伏间隔6个</w:t>
            </w:r>
          </w:p>
        </w:tc>
        <w:tc>
          <w:tcPr>
            <w:tcW w:w="2855" w:type="dxa"/>
            <w:shd w:val="clear" w:color="auto" w:fill="auto"/>
            <w:vAlign w:val="center"/>
          </w:tcPr>
          <w:p w14:paraId="262C577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4157BE6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083C38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313D0DB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0.16 </w:t>
            </w:r>
          </w:p>
        </w:tc>
        <w:tc>
          <w:tcPr>
            <w:tcW w:w="1506" w:type="dxa"/>
            <w:shd w:val="clear" w:color="auto" w:fill="auto"/>
            <w:vAlign w:val="center"/>
          </w:tcPr>
          <w:p w14:paraId="7648B0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FF3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2260C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158 </w:t>
            </w:r>
          </w:p>
        </w:tc>
        <w:tc>
          <w:tcPr>
            <w:tcW w:w="1538" w:type="dxa"/>
            <w:shd w:val="clear" w:color="auto" w:fill="auto"/>
            <w:vAlign w:val="center"/>
          </w:tcPr>
          <w:p w14:paraId="52A1CBD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湖北咸宁通山下泉35kV输变电工程</w:t>
            </w:r>
          </w:p>
        </w:tc>
        <w:tc>
          <w:tcPr>
            <w:tcW w:w="645" w:type="dxa"/>
            <w:shd w:val="clear" w:color="auto" w:fill="auto"/>
            <w:vAlign w:val="center"/>
          </w:tcPr>
          <w:p w14:paraId="580CDDD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F6733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通山县</w:t>
            </w:r>
          </w:p>
        </w:tc>
        <w:tc>
          <w:tcPr>
            <w:tcW w:w="3805" w:type="dxa"/>
            <w:shd w:val="clear" w:color="auto" w:fill="auto"/>
            <w:vAlign w:val="center"/>
          </w:tcPr>
          <w:p w14:paraId="4E50F3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新建主变1台，容量6.3兆伏安；新建架空线路2条，长度27.1千米；新建10千伏间隔6个</w:t>
            </w:r>
          </w:p>
        </w:tc>
        <w:tc>
          <w:tcPr>
            <w:tcW w:w="2855" w:type="dxa"/>
            <w:shd w:val="clear" w:color="auto" w:fill="auto"/>
            <w:vAlign w:val="center"/>
          </w:tcPr>
          <w:p w14:paraId="177A74E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78AD02F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785B8E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0B276E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14413CE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CE9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37331B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159 </w:t>
            </w:r>
          </w:p>
        </w:tc>
        <w:tc>
          <w:tcPr>
            <w:tcW w:w="1538" w:type="dxa"/>
            <w:shd w:val="clear" w:color="auto" w:fill="auto"/>
            <w:vAlign w:val="center"/>
          </w:tcPr>
          <w:p w14:paraId="2E59006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咸宁关刀220千伏输变电工程</w:t>
            </w:r>
          </w:p>
        </w:tc>
        <w:tc>
          <w:tcPr>
            <w:tcW w:w="645" w:type="dxa"/>
            <w:shd w:val="clear" w:color="auto" w:fill="auto"/>
            <w:vAlign w:val="center"/>
          </w:tcPr>
          <w:p w14:paraId="24400A5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21B422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349F0C8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新增主变2台，容量2×180兆伏安，新建线路26.4公里</w:t>
            </w:r>
          </w:p>
        </w:tc>
        <w:tc>
          <w:tcPr>
            <w:tcW w:w="2855" w:type="dxa"/>
            <w:shd w:val="clear" w:color="auto" w:fill="auto"/>
            <w:vAlign w:val="center"/>
          </w:tcPr>
          <w:p w14:paraId="4AF662C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规划</w:t>
            </w:r>
          </w:p>
        </w:tc>
        <w:tc>
          <w:tcPr>
            <w:tcW w:w="711" w:type="dxa"/>
            <w:shd w:val="clear" w:color="auto" w:fill="auto"/>
            <w:vAlign w:val="center"/>
          </w:tcPr>
          <w:p w14:paraId="58B6ACB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42" w:type="dxa"/>
            <w:shd w:val="clear" w:color="auto" w:fill="auto"/>
            <w:vAlign w:val="center"/>
          </w:tcPr>
          <w:p w14:paraId="3A6A9D0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p>
        </w:tc>
        <w:tc>
          <w:tcPr>
            <w:tcW w:w="967" w:type="dxa"/>
            <w:shd w:val="clear" w:color="auto" w:fill="auto"/>
            <w:vAlign w:val="center"/>
          </w:tcPr>
          <w:p w14:paraId="4C64857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2.00 </w:t>
            </w:r>
          </w:p>
        </w:tc>
        <w:tc>
          <w:tcPr>
            <w:tcW w:w="1506" w:type="dxa"/>
            <w:shd w:val="clear" w:color="auto" w:fill="auto"/>
            <w:vAlign w:val="center"/>
          </w:tcPr>
          <w:p w14:paraId="69438C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0A34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8C7A0A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160 </w:t>
            </w:r>
          </w:p>
        </w:tc>
        <w:tc>
          <w:tcPr>
            <w:tcW w:w="1538" w:type="dxa"/>
            <w:shd w:val="clear" w:color="auto" w:fill="auto"/>
            <w:vAlign w:val="center"/>
          </w:tcPr>
          <w:p w14:paraId="5A3E91B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湖北咸宁通城长垅110kV变电站扩建工程</w:t>
            </w:r>
          </w:p>
        </w:tc>
        <w:tc>
          <w:tcPr>
            <w:tcW w:w="645" w:type="dxa"/>
            <w:shd w:val="clear" w:color="auto" w:fill="auto"/>
            <w:vAlign w:val="center"/>
          </w:tcPr>
          <w:p w14:paraId="7D78D17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7F432DC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71E3588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w:t>
            </w:r>
          </w:p>
        </w:tc>
        <w:tc>
          <w:tcPr>
            <w:tcW w:w="2855" w:type="dxa"/>
            <w:shd w:val="clear" w:color="auto" w:fill="auto"/>
            <w:vAlign w:val="center"/>
          </w:tcPr>
          <w:p w14:paraId="635C641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5F74034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094CAC5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094DBDC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0.13 </w:t>
            </w:r>
          </w:p>
        </w:tc>
        <w:tc>
          <w:tcPr>
            <w:tcW w:w="1506" w:type="dxa"/>
            <w:shd w:val="clear" w:color="auto" w:fill="auto"/>
            <w:vAlign w:val="center"/>
          </w:tcPr>
          <w:p w14:paraId="58587A8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75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29BDC5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161 </w:t>
            </w:r>
          </w:p>
        </w:tc>
        <w:tc>
          <w:tcPr>
            <w:tcW w:w="1538" w:type="dxa"/>
            <w:shd w:val="clear" w:color="auto" w:fill="auto"/>
            <w:vAlign w:val="center"/>
          </w:tcPr>
          <w:p w14:paraId="394447C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湖北咸宁通城五里110kV输变电工程</w:t>
            </w:r>
          </w:p>
        </w:tc>
        <w:tc>
          <w:tcPr>
            <w:tcW w:w="645" w:type="dxa"/>
            <w:shd w:val="clear" w:color="auto" w:fill="auto"/>
            <w:vAlign w:val="center"/>
          </w:tcPr>
          <w:p w14:paraId="537706E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B217D0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5158F4C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新建主变2台，容量100兆伏安；新建架空线路2条，长度16.9千米；新建10千伏间隔24个</w:t>
            </w:r>
          </w:p>
        </w:tc>
        <w:tc>
          <w:tcPr>
            <w:tcW w:w="2855" w:type="dxa"/>
            <w:shd w:val="clear" w:color="auto" w:fill="auto"/>
            <w:vAlign w:val="center"/>
          </w:tcPr>
          <w:p w14:paraId="6998800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可研</w:t>
            </w:r>
          </w:p>
        </w:tc>
        <w:tc>
          <w:tcPr>
            <w:tcW w:w="711" w:type="dxa"/>
            <w:shd w:val="clear" w:color="auto" w:fill="auto"/>
            <w:vAlign w:val="center"/>
          </w:tcPr>
          <w:p w14:paraId="50EDCDC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742" w:type="dxa"/>
            <w:shd w:val="clear" w:color="auto" w:fill="auto"/>
            <w:vAlign w:val="center"/>
          </w:tcPr>
          <w:p w14:paraId="51878D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967" w:type="dxa"/>
            <w:shd w:val="clear" w:color="auto" w:fill="auto"/>
            <w:vAlign w:val="center"/>
          </w:tcPr>
          <w:p w14:paraId="7B698F9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0.96 </w:t>
            </w:r>
          </w:p>
        </w:tc>
        <w:tc>
          <w:tcPr>
            <w:tcW w:w="1506" w:type="dxa"/>
            <w:shd w:val="clear" w:color="auto" w:fill="auto"/>
            <w:vAlign w:val="center"/>
          </w:tcPr>
          <w:p w14:paraId="155542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8F8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891A2A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162 </w:t>
            </w:r>
          </w:p>
        </w:tc>
        <w:tc>
          <w:tcPr>
            <w:tcW w:w="1538" w:type="dxa"/>
            <w:shd w:val="clear" w:color="auto" w:fill="auto"/>
            <w:vAlign w:val="center"/>
          </w:tcPr>
          <w:p w14:paraId="79685F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湖北咸宁通城油坊110kV变电站扩建工程</w:t>
            </w:r>
          </w:p>
        </w:tc>
        <w:tc>
          <w:tcPr>
            <w:tcW w:w="645" w:type="dxa"/>
            <w:shd w:val="clear" w:color="auto" w:fill="auto"/>
            <w:vAlign w:val="center"/>
          </w:tcPr>
          <w:p w14:paraId="39C1330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DF0976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1EAF04C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4EC476E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6E601F1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7D26B04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0BB0B84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50401C1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A0C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093622D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163 </w:t>
            </w:r>
          </w:p>
        </w:tc>
        <w:tc>
          <w:tcPr>
            <w:tcW w:w="1538" w:type="dxa"/>
            <w:shd w:val="clear" w:color="auto" w:fill="auto"/>
            <w:vAlign w:val="center"/>
          </w:tcPr>
          <w:p w14:paraId="6835402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湖北咸宁通城樊牌110kV变电站扩建工程</w:t>
            </w:r>
          </w:p>
        </w:tc>
        <w:tc>
          <w:tcPr>
            <w:tcW w:w="645" w:type="dxa"/>
            <w:shd w:val="clear" w:color="auto" w:fill="auto"/>
            <w:vAlign w:val="center"/>
          </w:tcPr>
          <w:p w14:paraId="56455D6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1D9A64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2CE9DB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扩建主变1台，容量50兆伏安；新建10千伏间隔12个</w:t>
            </w:r>
          </w:p>
        </w:tc>
        <w:tc>
          <w:tcPr>
            <w:tcW w:w="2855" w:type="dxa"/>
            <w:shd w:val="clear" w:color="auto" w:fill="auto"/>
            <w:vAlign w:val="center"/>
          </w:tcPr>
          <w:p w14:paraId="79CCBB1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44DAFD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6D7AAE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6D533D2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696BD9C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15F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24CFE0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164 </w:t>
            </w:r>
          </w:p>
        </w:tc>
        <w:tc>
          <w:tcPr>
            <w:tcW w:w="1538" w:type="dxa"/>
            <w:shd w:val="clear" w:color="auto" w:fill="auto"/>
            <w:vAlign w:val="center"/>
          </w:tcPr>
          <w:p w14:paraId="4591347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湖北咸宁通城传宝岭110kV变电站扩建工程</w:t>
            </w:r>
          </w:p>
        </w:tc>
        <w:tc>
          <w:tcPr>
            <w:tcW w:w="645" w:type="dxa"/>
            <w:shd w:val="clear" w:color="auto" w:fill="auto"/>
            <w:vAlign w:val="center"/>
          </w:tcPr>
          <w:p w14:paraId="61F85F6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197C0E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7EEC28F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扩建主变1台，容量31.5兆伏安；新建10千伏间隔12个</w:t>
            </w:r>
          </w:p>
        </w:tc>
        <w:tc>
          <w:tcPr>
            <w:tcW w:w="2855" w:type="dxa"/>
            <w:shd w:val="clear" w:color="auto" w:fill="auto"/>
            <w:vAlign w:val="center"/>
          </w:tcPr>
          <w:p w14:paraId="468EBF9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8A1680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24E93E7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26A6249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0.14 </w:t>
            </w:r>
          </w:p>
        </w:tc>
        <w:tc>
          <w:tcPr>
            <w:tcW w:w="1506" w:type="dxa"/>
            <w:shd w:val="clear" w:color="auto" w:fill="auto"/>
            <w:vAlign w:val="center"/>
          </w:tcPr>
          <w:p w14:paraId="3CC9F23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2A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6D42BB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165 </w:t>
            </w:r>
          </w:p>
        </w:tc>
        <w:tc>
          <w:tcPr>
            <w:tcW w:w="1538" w:type="dxa"/>
            <w:shd w:val="clear" w:color="auto" w:fill="auto"/>
            <w:vAlign w:val="center"/>
          </w:tcPr>
          <w:p w14:paraId="0F56C29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湖北咸宁通城关刀220kV变电站110kV送出工程</w:t>
            </w:r>
          </w:p>
        </w:tc>
        <w:tc>
          <w:tcPr>
            <w:tcW w:w="645" w:type="dxa"/>
            <w:shd w:val="clear" w:color="auto" w:fill="auto"/>
            <w:vAlign w:val="center"/>
          </w:tcPr>
          <w:p w14:paraId="3608D639">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6623766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7BD5E5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新建架空线路4条，长度18千米</w:t>
            </w:r>
          </w:p>
        </w:tc>
        <w:tc>
          <w:tcPr>
            <w:tcW w:w="2855" w:type="dxa"/>
            <w:shd w:val="clear" w:color="auto" w:fill="auto"/>
            <w:vAlign w:val="center"/>
          </w:tcPr>
          <w:p w14:paraId="3D34E68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8041F2B">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2029</w:t>
            </w:r>
          </w:p>
        </w:tc>
        <w:tc>
          <w:tcPr>
            <w:tcW w:w="742" w:type="dxa"/>
            <w:shd w:val="clear" w:color="auto" w:fill="auto"/>
            <w:vAlign w:val="center"/>
          </w:tcPr>
          <w:p w14:paraId="6451EEE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2DA452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0.05 </w:t>
            </w:r>
          </w:p>
        </w:tc>
        <w:tc>
          <w:tcPr>
            <w:tcW w:w="1506" w:type="dxa"/>
            <w:shd w:val="clear" w:color="auto" w:fill="auto"/>
            <w:vAlign w:val="center"/>
          </w:tcPr>
          <w:p w14:paraId="3DD810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641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617A90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166 </w:t>
            </w:r>
          </w:p>
        </w:tc>
        <w:tc>
          <w:tcPr>
            <w:tcW w:w="1538" w:type="dxa"/>
            <w:shd w:val="clear" w:color="auto" w:fill="auto"/>
            <w:vAlign w:val="center"/>
          </w:tcPr>
          <w:p w14:paraId="1D79A41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湖北咸宁通城荻田35kV变电站扩建工程</w:t>
            </w:r>
          </w:p>
        </w:tc>
        <w:tc>
          <w:tcPr>
            <w:tcW w:w="645" w:type="dxa"/>
            <w:shd w:val="clear" w:color="auto" w:fill="auto"/>
            <w:vAlign w:val="center"/>
          </w:tcPr>
          <w:p w14:paraId="74C3BF02">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续建</w:t>
            </w:r>
          </w:p>
        </w:tc>
        <w:tc>
          <w:tcPr>
            <w:tcW w:w="855" w:type="dxa"/>
            <w:shd w:val="clear" w:color="auto" w:fill="auto"/>
            <w:vAlign w:val="center"/>
          </w:tcPr>
          <w:p w14:paraId="1FB70D4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44B6A15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扩建主变1台，容量20兆伏安；新建架空线路1条，长度19.3千米</w:t>
            </w:r>
          </w:p>
        </w:tc>
        <w:tc>
          <w:tcPr>
            <w:tcW w:w="2855" w:type="dxa"/>
            <w:shd w:val="clear" w:color="auto" w:fill="auto"/>
            <w:vAlign w:val="center"/>
          </w:tcPr>
          <w:p w14:paraId="4C11064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在建</w:t>
            </w:r>
          </w:p>
        </w:tc>
        <w:tc>
          <w:tcPr>
            <w:tcW w:w="711" w:type="dxa"/>
            <w:shd w:val="clear" w:color="auto" w:fill="auto"/>
            <w:vAlign w:val="center"/>
          </w:tcPr>
          <w:p w14:paraId="5818ACB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228F3B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967" w:type="dxa"/>
            <w:shd w:val="clear" w:color="auto" w:fill="auto"/>
            <w:vAlign w:val="center"/>
          </w:tcPr>
          <w:p w14:paraId="14F3E8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0.28 </w:t>
            </w:r>
          </w:p>
        </w:tc>
        <w:tc>
          <w:tcPr>
            <w:tcW w:w="1506" w:type="dxa"/>
            <w:shd w:val="clear" w:color="auto" w:fill="auto"/>
            <w:vAlign w:val="center"/>
          </w:tcPr>
          <w:p w14:paraId="595ECC4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2324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1638DF2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167 </w:t>
            </w:r>
          </w:p>
        </w:tc>
        <w:tc>
          <w:tcPr>
            <w:tcW w:w="1538" w:type="dxa"/>
            <w:shd w:val="clear" w:color="auto" w:fill="auto"/>
            <w:vAlign w:val="center"/>
          </w:tcPr>
          <w:p w14:paraId="40A442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湖北咸宁通城大坪35kV变电站增容改造工程</w:t>
            </w:r>
          </w:p>
        </w:tc>
        <w:tc>
          <w:tcPr>
            <w:tcW w:w="645" w:type="dxa"/>
            <w:shd w:val="clear" w:color="auto" w:fill="auto"/>
            <w:vAlign w:val="center"/>
          </w:tcPr>
          <w:p w14:paraId="52FC630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89AC8F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4986084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增容主变1台，容量10兆伏安</w:t>
            </w:r>
          </w:p>
        </w:tc>
        <w:tc>
          <w:tcPr>
            <w:tcW w:w="2855" w:type="dxa"/>
            <w:shd w:val="clear" w:color="auto" w:fill="auto"/>
            <w:vAlign w:val="center"/>
          </w:tcPr>
          <w:p w14:paraId="25431A6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73AF171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584AFD5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1A6C655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1A2426D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497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D863A4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168 </w:t>
            </w:r>
          </w:p>
        </w:tc>
        <w:tc>
          <w:tcPr>
            <w:tcW w:w="1538" w:type="dxa"/>
            <w:shd w:val="clear" w:color="auto" w:fill="auto"/>
            <w:vAlign w:val="center"/>
          </w:tcPr>
          <w:p w14:paraId="3514DFC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湖北咸宁通城盘石35kV输变电工程</w:t>
            </w:r>
          </w:p>
        </w:tc>
        <w:tc>
          <w:tcPr>
            <w:tcW w:w="645" w:type="dxa"/>
            <w:shd w:val="clear" w:color="auto" w:fill="auto"/>
            <w:vAlign w:val="center"/>
          </w:tcPr>
          <w:p w14:paraId="0C8C312F">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0849345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180C61F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新建主变2台，容量20兆伏安；新建架空线路2条，长度12千米；新建10千伏间隔12个</w:t>
            </w:r>
          </w:p>
        </w:tc>
        <w:tc>
          <w:tcPr>
            <w:tcW w:w="2855" w:type="dxa"/>
            <w:shd w:val="clear" w:color="auto" w:fill="auto"/>
            <w:vAlign w:val="center"/>
          </w:tcPr>
          <w:p w14:paraId="73D67C2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67C309D7">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0BB28FC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769A78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0.28 </w:t>
            </w:r>
          </w:p>
        </w:tc>
        <w:tc>
          <w:tcPr>
            <w:tcW w:w="1506" w:type="dxa"/>
            <w:shd w:val="clear" w:color="auto" w:fill="auto"/>
            <w:vAlign w:val="center"/>
          </w:tcPr>
          <w:p w14:paraId="530415D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34E1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6A79F94">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169 </w:t>
            </w:r>
          </w:p>
        </w:tc>
        <w:tc>
          <w:tcPr>
            <w:tcW w:w="1538" w:type="dxa"/>
            <w:shd w:val="clear" w:color="auto" w:fill="auto"/>
            <w:vAlign w:val="center"/>
          </w:tcPr>
          <w:p w14:paraId="67B661A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湖北咸宁通城程凤35kV变电站扩建工程</w:t>
            </w:r>
          </w:p>
        </w:tc>
        <w:tc>
          <w:tcPr>
            <w:tcW w:w="645" w:type="dxa"/>
            <w:shd w:val="clear" w:color="auto" w:fill="auto"/>
            <w:vAlign w:val="center"/>
          </w:tcPr>
          <w:p w14:paraId="3C2218A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55908A45">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0874195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扩建主变1台，容量10兆伏安；新建10千伏间隔6个</w:t>
            </w:r>
          </w:p>
        </w:tc>
        <w:tc>
          <w:tcPr>
            <w:tcW w:w="2855" w:type="dxa"/>
            <w:shd w:val="clear" w:color="auto" w:fill="auto"/>
            <w:vAlign w:val="center"/>
          </w:tcPr>
          <w:p w14:paraId="69E294B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2BA0B754">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2180180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75442A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77617237">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159B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783B848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170 </w:t>
            </w:r>
          </w:p>
        </w:tc>
        <w:tc>
          <w:tcPr>
            <w:tcW w:w="1538" w:type="dxa"/>
            <w:shd w:val="clear" w:color="auto" w:fill="auto"/>
            <w:vAlign w:val="center"/>
          </w:tcPr>
          <w:p w14:paraId="6BCA99E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湖北咸宁通城上坪35kV变电站扩建工程</w:t>
            </w:r>
          </w:p>
        </w:tc>
        <w:tc>
          <w:tcPr>
            <w:tcW w:w="645" w:type="dxa"/>
            <w:shd w:val="clear" w:color="auto" w:fill="auto"/>
            <w:vAlign w:val="center"/>
          </w:tcPr>
          <w:p w14:paraId="72617C08">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119C827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3EA725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扩建主变1台，容量10兆伏安；新建10千伏间隔6个</w:t>
            </w:r>
          </w:p>
        </w:tc>
        <w:tc>
          <w:tcPr>
            <w:tcW w:w="2855" w:type="dxa"/>
            <w:shd w:val="clear" w:color="auto" w:fill="auto"/>
            <w:vAlign w:val="center"/>
          </w:tcPr>
          <w:p w14:paraId="31371E0C">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w:t>
            </w:r>
          </w:p>
        </w:tc>
        <w:tc>
          <w:tcPr>
            <w:tcW w:w="711" w:type="dxa"/>
            <w:shd w:val="clear" w:color="auto" w:fill="auto"/>
            <w:vAlign w:val="center"/>
          </w:tcPr>
          <w:p w14:paraId="0E5E4C8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742" w:type="dxa"/>
            <w:shd w:val="clear" w:color="auto" w:fill="auto"/>
            <w:vAlign w:val="center"/>
          </w:tcPr>
          <w:p w14:paraId="3DC6A68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2028</w:t>
            </w:r>
          </w:p>
        </w:tc>
        <w:tc>
          <w:tcPr>
            <w:tcW w:w="967" w:type="dxa"/>
            <w:shd w:val="clear" w:color="auto" w:fill="auto"/>
            <w:vAlign w:val="center"/>
          </w:tcPr>
          <w:p w14:paraId="4814363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0.04 </w:t>
            </w:r>
          </w:p>
        </w:tc>
        <w:tc>
          <w:tcPr>
            <w:tcW w:w="1506" w:type="dxa"/>
            <w:shd w:val="clear" w:color="auto" w:fill="auto"/>
            <w:vAlign w:val="center"/>
          </w:tcPr>
          <w:p w14:paraId="5F773AB2">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咸宁供电公司</w:t>
            </w:r>
          </w:p>
        </w:tc>
      </w:tr>
      <w:tr w14:paraId="4DF6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56F4B29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171 </w:t>
            </w:r>
          </w:p>
        </w:tc>
        <w:tc>
          <w:tcPr>
            <w:tcW w:w="1538" w:type="dxa"/>
            <w:shd w:val="clear" w:color="auto" w:fill="auto"/>
            <w:vAlign w:val="center"/>
          </w:tcPr>
          <w:p w14:paraId="41F64D0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通城县城市配电网基础设施更新改造项目</w:t>
            </w:r>
          </w:p>
        </w:tc>
        <w:tc>
          <w:tcPr>
            <w:tcW w:w="645" w:type="dxa"/>
            <w:shd w:val="clear" w:color="auto" w:fill="auto"/>
            <w:vAlign w:val="center"/>
          </w:tcPr>
          <w:p w14:paraId="3E0E6903">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5FFB3EB8">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7117E591">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在通城县目前已经建成的供电系统基础上，实施城区10kV中压配电网线路标准化改造60公里，实施35kV高压线路标准化改造10公里，扩建110KV配电变压器50台，升级改造智能配电表，优化用电信息采集系统。</w:t>
            </w:r>
          </w:p>
        </w:tc>
        <w:tc>
          <w:tcPr>
            <w:tcW w:w="2855" w:type="dxa"/>
            <w:shd w:val="clear" w:color="auto" w:fill="auto"/>
            <w:vAlign w:val="center"/>
          </w:tcPr>
          <w:p w14:paraId="672D72E6">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正在实施阶段</w:t>
            </w:r>
          </w:p>
        </w:tc>
        <w:tc>
          <w:tcPr>
            <w:tcW w:w="711" w:type="dxa"/>
            <w:shd w:val="clear" w:color="auto" w:fill="auto"/>
            <w:vAlign w:val="center"/>
          </w:tcPr>
          <w:p w14:paraId="790FFAAA">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564D9E4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595D2DD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5.20 </w:t>
            </w:r>
          </w:p>
        </w:tc>
        <w:tc>
          <w:tcPr>
            <w:tcW w:w="1506" w:type="dxa"/>
            <w:shd w:val="clear" w:color="auto" w:fill="auto"/>
            <w:vAlign w:val="center"/>
          </w:tcPr>
          <w:p w14:paraId="54349999">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通城城发隽辉新能源有限公司</w:t>
            </w:r>
          </w:p>
        </w:tc>
      </w:tr>
      <w:tr w14:paraId="7AEE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39E69EC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172 </w:t>
            </w:r>
          </w:p>
        </w:tc>
        <w:tc>
          <w:tcPr>
            <w:tcW w:w="1538" w:type="dxa"/>
            <w:shd w:val="clear" w:color="auto" w:fill="auto"/>
            <w:vAlign w:val="center"/>
          </w:tcPr>
          <w:p w14:paraId="58B64AE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通城县中低压农配网改造项目</w:t>
            </w:r>
          </w:p>
        </w:tc>
        <w:tc>
          <w:tcPr>
            <w:tcW w:w="645" w:type="dxa"/>
            <w:shd w:val="clear" w:color="auto" w:fill="auto"/>
            <w:vAlign w:val="center"/>
          </w:tcPr>
          <w:p w14:paraId="7C64849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新建</w:t>
            </w:r>
          </w:p>
        </w:tc>
        <w:tc>
          <w:tcPr>
            <w:tcW w:w="855" w:type="dxa"/>
            <w:shd w:val="clear" w:color="auto" w:fill="auto"/>
            <w:vAlign w:val="center"/>
          </w:tcPr>
          <w:p w14:paraId="7A3267FA">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通城县</w:t>
            </w:r>
          </w:p>
        </w:tc>
        <w:tc>
          <w:tcPr>
            <w:tcW w:w="3805" w:type="dxa"/>
            <w:shd w:val="clear" w:color="auto" w:fill="auto"/>
            <w:vAlign w:val="center"/>
          </w:tcPr>
          <w:p w14:paraId="6E60035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本项目建设内容为在通城县目前已经建成的供电系统基础上，改造10kV线路113公里，改造10kV配变350台，改造0.4kV线路420公里。</w:t>
            </w:r>
          </w:p>
        </w:tc>
        <w:tc>
          <w:tcPr>
            <w:tcW w:w="2855" w:type="dxa"/>
            <w:shd w:val="clear" w:color="auto" w:fill="auto"/>
            <w:vAlign w:val="center"/>
          </w:tcPr>
          <w:p w14:paraId="1BE03EB5">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正在实施阶段</w:t>
            </w:r>
          </w:p>
        </w:tc>
        <w:tc>
          <w:tcPr>
            <w:tcW w:w="711" w:type="dxa"/>
            <w:shd w:val="clear" w:color="auto" w:fill="auto"/>
            <w:vAlign w:val="center"/>
          </w:tcPr>
          <w:p w14:paraId="6823F2D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2025</w:t>
            </w:r>
          </w:p>
        </w:tc>
        <w:tc>
          <w:tcPr>
            <w:tcW w:w="742" w:type="dxa"/>
            <w:shd w:val="clear" w:color="auto" w:fill="auto"/>
            <w:vAlign w:val="center"/>
          </w:tcPr>
          <w:p w14:paraId="2C6AF2A3">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2027</w:t>
            </w:r>
          </w:p>
        </w:tc>
        <w:tc>
          <w:tcPr>
            <w:tcW w:w="967" w:type="dxa"/>
            <w:shd w:val="clear" w:color="auto" w:fill="auto"/>
            <w:vAlign w:val="center"/>
          </w:tcPr>
          <w:p w14:paraId="44131F6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2.49 </w:t>
            </w:r>
          </w:p>
        </w:tc>
        <w:tc>
          <w:tcPr>
            <w:tcW w:w="1506" w:type="dxa"/>
            <w:shd w:val="clear" w:color="auto" w:fill="auto"/>
            <w:vAlign w:val="center"/>
          </w:tcPr>
          <w:p w14:paraId="4666587B">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通城城发隽辉新能源有限公司</w:t>
            </w:r>
          </w:p>
        </w:tc>
      </w:tr>
      <w:tr w14:paraId="53C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0" w:type="dxa"/>
            <w:shd w:val="clear" w:color="auto" w:fill="auto"/>
            <w:vAlign w:val="center"/>
          </w:tcPr>
          <w:p w14:paraId="43809E1C">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173 </w:t>
            </w:r>
          </w:p>
        </w:tc>
        <w:tc>
          <w:tcPr>
            <w:tcW w:w="1538" w:type="dxa"/>
            <w:shd w:val="clear" w:color="auto" w:fill="auto"/>
            <w:vAlign w:val="center"/>
          </w:tcPr>
          <w:p w14:paraId="73E606F6">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湖北咸宁10千伏配网项目工程</w:t>
            </w:r>
          </w:p>
        </w:tc>
        <w:tc>
          <w:tcPr>
            <w:tcW w:w="645" w:type="dxa"/>
            <w:shd w:val="clear" w:color="auto" w:fill="auto"/>
            <w:vAlign w:val="center"/>
          </w:tcPr>
          <w:p w14:paraId="2CCB0E71">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谋划</w:t>
            </w:r>
          </w:p>
        </w:tc>
        <w:tc>
          <w:tcPr>
            <w:tcW w:w="855" w:type="dxa"/>
            <w:shd w:val="clear" w:color="auto" w:fill="auto"/>
            <w:vAlign w:val="center"/>
          </w:tcPr>
          <w:p w14:paraId="3018ED80">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咸宁市</w:t>
            </w:r>
          </w:p>
        </w:tc>
        <w:tc>
          <w:tcPr>
            <w:tcW w:w="3805" w:type="dxa"/>
            <w:shd w:val="clear" w:color="auto" w:fill="auto"/>
            <w:vAlign w:val="center"/>
          </w:tcPr>
          <w:p w14:paraId="4F99F3DE">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eastAsia" w:ascii="Times New Roman" w:hAnsi="Times New Roman" w:cs="Times New Roman"/>
                <w:sz w:val="21"/>
                <w:szCs w:val="16"/>
                <w:lang w:val="en-US" w:eastAsia="zh-CN"/>
              </w:rPr>
              <w:t>-</w:t>
            </w:r>
          </w:p>
        </w:tc>
        <w:tc>
          <w:tcPr>
            <w:tcW w:w="2855" w:type="dxa"/>
            <w:shd w:val="clear" w:color="auto" w:fill="auto"/>
            <w:vAlign w:val="center"/>
          </w:tcPr>
          <w:p w14:paraId="102690E0">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p>
        </w:tc>
        <w:tc>
          <w:tcPr>
            <w:tcW w:w="711" w:type="dxa"/>
            <w:shd w:val="clear" w:color="auto" w:fill="auto"/>
            <w:vAlign w:val="center"/>
          </w:tcPr>
          <w:p w14:paraId="562A5B5D">
            <w:pPr>
              <w:snapToGrid w:val="0"/>
              <w:spacing w:line="240" w:lineRule="auto"/>
              <w:ind w:left="0" w:leftChars="0" w:right="0" w:rightChars="0" w:firstLine="0" w:firstLineChars="0"/>
              <w:jc w:val="left"/>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2026</w:t>
            </w:r>
          </w:p>
        </w:tc>
        <w:tc>
          <w:tcPr>
            <w:tcW w:w="742" w:type="dxa"/>
            <w:shd w:val="clear" w:color="auto" w:fill="auto"/>
            <w:vAlign w:val="center"/>
          </w:tcPr>
          <w:p w14:paraId="15C65F1F">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2030</w:t>
            </w:r>
          </w:p>
        </w:tc>
        <w:tc>
          <w:tcPr>
            <w:tcW w:w="967" w:type="dxa"/>
            <w:shd w:val="clear" w:color="auto" w:fill="auto"/>
            <w:vAlign w:val="center"/>
          </w:tcPr>
          <w:p w14:paraId="1D06393D">
            <w:pPr>
              <w:snapToGrid w:val="0"/>
              <w:spacing w:line="240" w:lineRule="auto"/>
              <w:ind w:left="0" w:leftChars="0" w:right="0" w:rightChars="0" w:firstLine="0" w:firstLineChars="0"/>
              <w:jc w:val="center"/>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 xml:space="preserve">19.26 </w:t>
            </w:r>
          </w:p>
        </w:tc>
        <w:tc>
          <w:tcPr>
            <w:tcW w:w="1506" w:type="dxa"/>
            <w:shd w:val="clear" w:color="auto" w:fill="auto"/>
            <w:vAlign w:val="center"/>
          </w:tcPr>
          <w:p w14:paraId="6E257F2E">
            <w:pPr>
              <w:snapToGrid w:val="0"/>
              <w:spacing w:line="240" w:lineRule="auto"/>
              <w:ind w:left="0" w:leftChars="0" w:right="0" w:rightChars="0" w:firstLine="0" w:firstLineChars="0"/>
              <w:jc w:val="center"/>
              <w:rPr>
                <w:rFonts w:hint="default" w:ascii="Times New Roman" w:hAnsi="Times New Roman" w:eastAsia="仿宋_GB2312" w:cs="Times New Roman"/>
                <w:kern w:val="2"/>
                <w:sz w:val="21"/>
                <w:szCs w:val="16"/>
                <w:lang w:val="en-US" w:eastAsia="zh-CN" w:bidi="ar-SA"/>
              </w:rPr>
            </w:pPr>
            <w:r>
              <w:rPr>
                <w:rFonts w:hint="default" w:ascii="Times New Roman" w:hAnsi="Times New Roman" w:cs="Times New Roman"/>
                <w:sz w:val="21"/>
                <w:szCs w:val="16"/>
                <w:lang w:val="en-US" w:eastAsia="zh-CN"/>
              </w:rPr>
              <w:t>咸宁供电公司</w:t>
            </w:r>
          </w:p>
        </w:tc>
      </w:tr>
    </w:tbl>
    <w:p w14:paraId="49FEE431">
      <w:pPr>
        <w:ind w:left="0" w:leftChars="0" w:firstLine="0" w:firstLineChars="0"/>
        <w:rPr>
          <w:rFonts w:hint="default" w:ascii="Times New Roman" w:hAnsi="Times New Roman" w:cs="Times New Roman"/>
          <w:lang w:val="en-US" w:eastAsia="zh-CN"/>
        </w:rPr>
      </w:pPr>
    </w:p>
    <w:p w14:paraId="471F9CDA">
      <w:pPr>
        <w:rPr>
          <w:rFonts w:hint="default" w:ascii="Times New Roman" w:hAnsi="Times New Roman" w:cs="Times New Roman"/>
          <w:lang w:val="en-US" w:eastAsia="zh-CN"/>
        </w:rPr>
      </w:pPr>
    </w:p>
    <w:sectPr>
      <w:pgSz w:w="16838" w:h="11906" w:orient="landscape"/>
      <w:pgMar w:top="1803" w:right="1440" w:bottom="1803" w:left="1440"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FF56">
    <w:pPr>
      <w:pStyle w:val="10"/>
      <w:ind w:firstLine="360"/>
      <w:jc w:val="center"/>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A02A">
    <w:pPr>
      <w:pStyle w:val="10"/>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DE5F">
    <w:pPr>
      <w:pStyle w:val="10"/>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BABF">
    <w:pPr>
      <w:pStyle w:val="10"/>
      <w:ind w:firstLine="360"/>
      <w:jc w:val="center"/>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90E64">
                          <w:pPr>
                            <w:pStyle w:val="10"/>
                            <w:ind w:left="0" w:leftChars="0" w:firstLine="0" w:firstLineChars="0"/>
                            <w:rPr>
                              <w:rFonts w:hint="default" w:ascii="Times New Roman" w:hAnsi="Times New Roman" w:eastAsia="仿宋_GB2312"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990E64">
                    <w:pPr>
                      <w:pStyle w:val="10"/>
                      <w:ind w:left="0" w:leftChars="0" w:firstLine="0" w:firstLineChars="0"/>
                      <w:rPr>
                        <w:rFonts w:hint="default" w:ascii="Times New Roman" w:hAnsi="Times New Roman" w:eastAsia="仿宋_GB2312"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A04E">
    <w:pPr>
      <w:pStyle w:val="10"/>
      <w:ind w:firstLine="36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59841">
                          <w:pPr>
                            <w:pStyle w:val="10"/>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05859841">
                    <w:pPr>
                      <w:pStyle w:val="10"/>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467C">
    <w:pPr>
      <w:pStyle w:val="11"/>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483B">
    <w:pPr>
      <w:pStyle w:val="11"/>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9D08">
    <w:pPr>
      <w:pStyle w:val="11"/>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94AD0"/>
    <w:multiLevelType w:val="multilevel"/>
    <w:tmpl w:val="24D94AD0"/>
    <w:lvl w:ilvl="0" w:tentative="0">
      <w:start w:val="1"/>
      <w:numFmt w:val="chineseCountingThousand"/>
      <w:pStyle w:val="2"/>
      <w:suff w:val="space"/>
      <w:lvlText w:val="%1、"/>
      <w:lvlJc w:val="left"/>
      <w:pPr>
        <w:ind w:left="0" w:firstLine="0"/>
      </w:pPr>
      <w:rPr>
        <w:rFonts w:hint="eastAsia" w:ascii="黑体" w:eastAsia="黑体"/>
        <w:sz w:val="32"/>
      </w:rPr>
    </w:lvl>
    <w:lvl w:ilvl="1" w:tentative="0">
      <w:start w:val="1"/>
      <w:numFmt w:val="chineseCountingThousand"/>
      <w:pStyle w:val="3"/>
      <w:suff w:val="space"/>
      <w:lvlText w:val="（%2）"/>
      <w:lvlJc w:val="left"/>
      <w:pPr>
        <w:ind w:left="1701" w:firstLine="0"/>
      </w:pPr>
      <w:rPr>
        <w:rFonts w:hint="eastAsia" w:ascii="楷体_GB2312" w:eastAsia="楷体_GB2312"/>
        <w:sz w:val="32"/>
        <w:lang w:val="en-US"/>
      </w:rPr>
    </w:lvl>
    <w:lvl w:ilvl="2" w:tentative="0">
      <w:start w:val="1"/>
      <w:numFmt w:val="decimal"/>
      <w:pStyle w:val="4"/>
      <w:suff w:val="space"/>
      <w:lvlText w:val="%3."/>
      <w:lvlJc w:val="left"/>
      <w:pPr>
        <w:ind w:left="0" w:firstLine="0"/>
      </w:pPr>
      <w:rPr>
        <w:rFonts w:hint="eastAsia" w:ascii="仿宋_GB2312" w:eastAsia="仿宋_GB2312"/>
        <w:sz w:val="32"/>
      </w:rPr>
    </w:lvl>
    <w:lvl w:ilvl="3" w:tentative="0">
      <w:start w:val="1"/>
      <w:numFmt w:val="decimal"/>
      <w:pStyle w:val="5"/>
      <w:suff w:val="space"/>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D4"/>
    <w:rsid w:val="000011B7"/>
    <w:rsid w:val="00001280"/>
    <w:rsid w:val="0000161D"/>
    <w:rsid w:val="000033E6"/>
    <w:rsid w:val="00006A38"/>
    <w:rsid w:val="00007883"/>
    <w:rsid w:val="00007F8B"/>
    <w:rsid w:val="00011595"/>
    <w:rsid w:val="00013952"/>
    <w:rsid w:val="00013D51"/>
    <w:rsid w:val="00014D17"/>
    <w:rsid w:val="00016583"/>
    <w:rsid w:val="00022813"/>
    <w:rsid w:val="000234BD"/>
    <w:rsid w:val="00023708"/>
    <w:rsid w:val="000304FA"/>
    <w:rsid w:val="00030E06"/>
    <w:rsid w:val="00031596"/>
    <w:rsid w:val="00034CF5"/>
    <w:rsid w:val="0003628E"/>
    <w:rsid w:val="00037BD8"/>
    <w:rsid w:val="000401B5"/>
    <w:rsid w:val="000407B3"/>
    <w:rsid w:val="00040D66"/>
    <w:rsid w:val="000450BE"/>
    <w:rsid w:val="00047DC8"/>
    <w:rsid w:val="00047FC0"/>
    <w:rsid w:val="00053E0E"/>
    <w:rsid w:val="00057D6E"/>
    <w:rsid w:val="000606A8"/>
    <w:rsid w:val="00060BDD"/>
    <w:rsid w:val="0006135C"/>
    <w:rsid w:val="00061BBC"/>
    <w:rsid w:val="00061FC9"/>
    <w:rsid w:val="000628CE"/>
    <w:rsid w:val="00064FCB"/>
    <w:rsid w:val="0006536D"/>
    <w:rsid w:val="00072445"/>
    <w:rsid w:val="0007399A"/>
    <w:rsid w:val="000762B1"/>
    <w:rsid w:val="00077926"/>
    <w:rsid w:val="00077BE3"/>
    <w:rsid w:val="0008140B"/>
    <w:rsid w:val="00081A1A"/>
    <w:rsid w:val="00081E09"/>
    <w:rsid w:val="000828D5"/>
    <w:rsid w:val="00082F7B"/>
    <w:rsid w:val="000831DA"/>
    <w:rsid w:val="00083F50"/>
    <w:rsid w:val="000946CC"/>
    <w:rsid w:val="00094838"/>
    <w:rsid w:val="0009653D"/>
    <w:rsid w:val="000A1B94"/>
    <w:rsid w:val="000A2576"/>
    <w:rsid w:val="000A5C59"/>
    <w:rsid w:val="000B02A1"/>
    <w:rsid w:val="000B3414"/>
    <w:rsid w:val="000B5EC8"/>
    <w:rsid w:val="000B615A"/>
    <w:rsid w:val="000B776D"/>
    <w:rsid w:val="000C0E26"/>
    <w:rsid w:val="000C0F09"/>
    <w:rsid w:val="000C1C2B"/>
    <w:rsid w:val="000C3435"/>
    <w:rsid w:val="000C36BE"/>
    <w:rsid w:val="000C4A08"/>
    <w:rsid w:val="000C4F74"/>
    <w:rsid w:val="000C518A"/>
    <w:rsid w:val="000C7205"/>
    <w:rsid w:val="000C748D"/>
    <w:rsid w:val="000D10C8"/>
    <w:rsid w:val="000D4360"/>
    <w:rsid w:val="000D43BB"/>
    <w:rsid w:val="000D51D5"/>
    <w:rsid w:val="000D52EE"/>
    <w:rsid w:val="000D6322"/>
    <w:rsid w:val="000D773A"/>
    <w:rsid w:val="000D77F2"/>
    <w:rsid w:val="000D7E56"/>
    <w:rsid w:val="000E2B29"/>
    <w:rsid w:val="000E2CD5"/>
    <w:rsid w:val="000E39D1"/>
    <w:rsid w:val="000F14F6"/>
    <w:rsid w:val="000F3B2F"/>
    <w:rsid w:val="000F488C"/>
    <w:rsid w:val="000F5797"/>
    <w:rsid w:val="00100D78"/>
    <w:rsid w:val="00101B7C"/>
    <w:rsid w:val="00101F83"/>
    <w:rsid w:val="00113454"/>
    <w:rsid w:val="0011381C"/>
    <w:rsid w:val="00114452"/>
    <w:rsid w:val="00114B38"/>
    <w:rsid w:val="001156C6"/>
    <w:rsid w:val="00116387"/>
    <w:rsid w:val="00116563"/>
    <w:rsid w:val="00120FB4"/>
    <w:rsid w:val="00121B2C"/>
    <w:rsid w:val="00122550"/>
    <w:rsid w:val="0012366E"/>
    <w:rsid w:val="00123DCB"/>
    <w:rsid w:val="0012615B"/>
    <w:rsid w:val="00132A85"/>
    <w:rsid w:val="001336AC"/>
    <w:rsid w:val="001343F3"/>
    <w:rsid w:val="001346EC"/>
    <w:rsid w:val="00137170"/>
    <w:rsid w:val="00140A1E"/>
    <w:rsid w:val="001434A4"/>
    <w:rsid w:val="001449ED"/>
    <w:rsid w:val="0014581C"/>
    <w:rsid w:val="00150279"/>
    <w:rsid w:val="001511BA"/>
    <w:rsid w:val="00153D51"/>
    <w:rsid w:val="00155F95"/>
    <w:rsid w:val="00156422"/>
    <w:rsid w:val="0015675E"/>
    <w:rsid w:val="00156AB0"/>
    <w:rsid w:val="00156EAE"/>
    <w:rsid w:val="00160FF5"/>
    <w:rsid w:val="00161C6F"/>
    <w:rsid w:val="00163593"/>
    <w:rsid w:val="001648C6"/>
    <w:rsid w:val="00164C4D"/>
    <w:rsid w:val="001665B6"/>
    <w:rsid w:val="0016780F"/>
    <w:rsid w:val="00174A77"/>
    <w:rsid w:val="00176EE3"/>
    <w:rsid w:val="00180D8E"/>
    <w:rsid w:val="001811DF"/>
    <w:rsid w:val="001819E6"/>
    <w:rsid w:val="00182939"/>
    <w:rsid w:val="00182CAD"/>
    <w:rsid w:val="00182CF6"/>
    <w:rsid w:val="00183FEE"/>
    <w:rsid w:val="00187920"/>
    <w:rsid w:val="00190BFF"/>
    <w:rsid w:val="00192395"/>
    <w:rsid w:val="00193604"/>
    <w:rsid w:val="001940F7"/>
    <w:rsid w:val="001953F5"/>
    <w:rsid w:val="001970B8"/>
    <w:rsid w:val="00197A87"/>
    <w:rsid w:val="00197BF9"/>
    <w:rsid w:val="001A09EC"/>
    <w:rsid w:val="001A28F0"/>
    <w:rsid w:val="001A437E"/>
    <w:rsid w:val="001A6243"/>
    <w:rsid w:val="001A62FD"/>
    <w:rsid w:val="001A6E5A"/>
    <w:rsid w:val="001B14D4"/>
    <w:rsid w:val="001B15FF"/>
    <w:rsid w:val="001B727D"/>
    <w:rsid w:val="001C2C1A"/>
    <w:rsid w:val="001C76AA"/>
    <w:rsid w:val="001D10DD"/>
    <w:rsid w:val="001D2CDB"/>
    <w:rsid w:val="001D40AE"/>
    <w:rsid w:val="001D4FE7"/>
    <w:rsid w:val="001E05E2"/>
    <w:rsid w:val="001E10B5"/>
    <w:rsid w:val="001E171E"/>
    <w:rsid w:val="001E2BF9"/>
    <w:rsid w:val="001E6180"/>
    <w:rsid w:val="001E7B3B"/>
    <w:rsid w:val="001F043D"/>
    <w:rsid w:val="001F5F22"/>
    <w:rsid w:val="001F6C5D"/>
    <w:rsid w:val="001F72D7"/>
    <w:rsid w:val="00200B29"/>
    <w:rsid w:val="002059F4"/>
    <w:rsid w:val="00210660"/>
    <w:rsid w:val="0021127E"/>
    <w:rsid w:val="00211DA3"/>
    <w:rsid w:val="00214AC5"/>
    <w:rsid w:val="002163A9"/>
    <w:rsid w:val="00216F8D"/>
    <w:rsid w:val="00220E42"/>
    <w:rsid w:val="00222A22"/>
    <w:rsid w:val="00222B3D"/>
    <w:rsid w:val="00226306"/>
    <w:rsid w:val="002268D0"/>
    <w:rsid w:val="00236292"/>
    <w:rsid w:val="00241614"/>
    <w:rsid w:val="0024380E"/>
    <w:rsid w:val="00243CC9"/>
    <w:rsid w:val="00245360"/>
    <w:rsid w:val="00250F71"/>
    <w:rsid w:val="00251146"/>
    <w:rsid w:val="00251981"/>
    <w:rsid w:val="00251F0D"/>
    <w:rsid w:val="00253280"/>
    <w:rsid w:val="00254362"/>
    <w:rsid w:val="00255F27"/>
    <w:rsid w:val="00257AAB"/>
    <w:rsid w:val="00261268"/>
    <w:rsid w:val="00263068"/>
    <w:rsid w:val="00267301"/>
    <w:rsid w:val="00267846"/>
    <w:rsid w:val="00267B3B"/>
    <w:rsid w:val="00267D29"/>
    <w:rsid w:val="00271F76"/>
    <w:rsid w:val="002735B6"/>
    <w:rsid w:val="002742A6"/>
    <w:rsid w:val="00274641"/>
    <w:rsid w:val="002761C1"/>
    <w:rsid w:val="00280154"/>
    <w:rsid w:val="002806B4"/>
    <w:rsid w:val="002829F2"/>
    <w:rsid w:val="00283C88"/>
    <w:rsid w:val="00284780"/>
    <w:rsid w:val="00284CA2"/>
    <w:rsid w:val="00287EF9"/>
    <w:rsid w:val="00294554"/>
    <w:rsid w:val="002952F0"/>
    <w:rsid w:val="002A06A6"/>
    <w:rsid w:val="002B09C3"/>
    <w:rsid w:val="002B50E1"/>
    <w:rsid w:val="002C09F6"/>
    <w:rsid w:val="002C2270"/>
    <w:rsid w:val="002C6889"/>
    <w:rsid w:val="002D1ED1"/>
    <w:rsid w:val="002D218E"/>
    <w:rsid w:val="002D3031"/>
    <w:rsid w:val="002D3BD9"/>
    <w:rsid w:val="002D4E4A"/>
    <w:rsid w:val="002D513B"/>
    <w:rsid w:val="002E0AA5"/>
    <w:rsid w:val="002E11B6"/>
    <w:rsid w:val="002E1417"/>
    <w:rsid w:val="002E1A61"/>
    <w:rsid w:val="002E439C"/>
    <w:rsid w:val="002F4CD4"/>
    <w:rsid w:val="002F5741"/>
    <w:rsid w:val="0030097C"/>
    <w:rsid w:val="0030129F"/>
    <w:rsid w:val="00301DD6"/>
    <w:rsid w:val="00303157"/>
    <w:rsid w:val="00303A0C"/>
    <w:rsid w:val="00303F98"/>
    <w:rsid w:val="003042B2"/>
    <w:rsid w:val="00304C80"/>
    <w:rsid w:val="003079C1"/>
    <w:rsid w:val="00307F81"/>
    <w:rsid w:val="00310F09"/>
    <w:rsid w:val="00312252"/>
    <w:rsid w:val="003132D3"/>
    <w:rsid w:val="0031365D"/>
    <w:rsid w:val="00315889"/>
    <w:rsid w:val="003162E4"/>
    <w:rsid w:val="0032109A"/>
    <w:rsid w:val="0032136C"/>
    <w:rsid w:val="00321A39"/>
    <w:rsid w:val="00321C75"/>
    <w:rsid w:val="00322F4E"/>
    <w:rsid w:val="00323AC0"/>
    <w:rsid w:val="00324A4A"/>
    <w:rsid w:val="00326A19"/>
    <w:rsid w:val="00331762"/>
    <w:rsid w:val="003346CD"/>
    <w:rsid w:val="00335999"/>
    <w:rsid w:val="00335A4C"/>
    <w:rsid w:val="00341671"/>
    <w:rsid w:val="00341930"/>
    <w:rsid w:val="00341DBD"/>
    <w:rsid w:val="00343281"/>
    <w:rsid w:val="00343C2F"/>
    <w:rsid w:val="00344552"/>
    <w:rsid w:val="003523B6"/>
    <w:rsid w:val="00353B24"/>
    <w:rsid w:val="003565D8"/>
    <w:rsid w:val="00357A70"/>
    <w:rsid w:val="003624E1"/>
    <w:rsid w:val="00363ADB"/>
    <w:rsid w:val="00366950"/>
    <w:rsid w:val="00367D35"/>
    <w:rsid w:val="00370CC5"/>
    <w:rsid w:val="00374664"/>
    <w:rsid w:val="00374A56"/>
    <w:rsid w:val="00375547"/>
    <w:rsid w:val="003760D3"/>
    <w:rsid w:val="00376767"/>
    <w:rsid w:val="00377E23"/>
    <w:rsid w:val="00381B12"/>
    <w:rsid w:val="00381EA3"/>
    <w:rsid w:val="00382978"/>
    <w:rsid w:val="003855D4"/>
    <w:rsid w:val="003858C8"/>
    <w:rsid w:val="003872AD"/>
    <w:rsid w:val="003A0008"/>
    <w:rsid w:val="003A1C16"/>
    <w:rsid w:val="003A24A4"/>
    <w:rsid w:val="003A26D2"/>
    <w:rsid w:val="003A3357"/>
    <w:rsid w:val="003A4243"/>
    <w:rsid w:val="003A537A"/>
    <w:rsid w:val="003B0C94"/>
    <w:rsid w:val="003B11AD"/>
    <w:rsid w:val="003B1452"/>
    <w:rsid w:val="003B1B67"/>
    <w:rsid w:val="003B20E4"/>
    <w:rsid w:val="003B37FC"/>
    <w:rsid w:val="003B41D2"/>
    <w:rsid w:val="003B7E15"/>
    <w:rsid w:val="003C051F"/>
    <w:rsid w:val="003C210B"/>
    <w:rsid w:val="003C4B39"/>
    <w:rsid w:val="003C4BE7"/>
    <w:rsid w:val="003C60F4"/>
    <w:rsid w:val="003C639F"/>
    <w:rsid w:val="003C7FAE"/>
    <w:rsid w:val="003D229C"/>
    <w:rsid w:val="003D3066"/>
    <w:rsid w:val="003D37E9"/>
    <w:rsid w:val="003D4127"/>
    <w:rsid w:val="003D5465"/>
    <w:rsid w:val="003D66DF"/>
    <w:rsid w:val="003E0FA2"/>
    <w:rsid w:val="003E655C"/>
    <w:rsid w:val="003E7B73"/>
    <w:rsid w:val="003F5745"/>
    <w:rsid w:val="00400A6C"/>
    <w:rsid w:val="004042FD"/>
    <w:rsid w:val="0040476F"/>
    <w:rsid w:val="00405822"/>
    <w:rsid w:val="00405DBD"/>
    <w:rsid w:val="00406DCF"/>
    <w:rsid w:val="004122E5"/>
    <w:rsid w:val="004159A9"/>
    <w:rsid w:val="00416EAF"/>
    <w:rsid w:val="00417CB3"/>
    <w:rsid w:val="004216A8"/>
    <w:rsid w:val="00425214"/>
    <w:rsid w:val="00426EE7"/>
    <w:rsid w:val="004271B5"/>
    <w:rsid w:val="00431300"/>
    <w:rsid w:val="00431663"/>
    <w:rsid w:val="004317DC"/>
    <w:rsid w:val="00432968"/>
    <w:rsid w:val="00435478"/>
    <w:rsid w:val="004362C7"/>
    <w:rsid w:val="00436EB4"/>
    <w:rsid w:val="0044095F"/>
    <w:rsid w:val="0044121C"/>
    <w:rsid w:val="00441A96"/>
    <w:rsid w:val="004435A1"/>
    <w:rsid w:val="00444B41"/>
    <w:rsid w:val="00445D21"/>
    <w:rsid w:val="00446D10"/>
    <w:rsid w:val="004477B1"/>
    <w:rsid w:val="00447E8B"/>
    <w:rsid w:val="00447F2F"/>
    <w:rsid w:val="00450141"/>
    <w:rsid w:val="004501F7"/>
    <w:rsid w:val="00456B53"/>
    <w:rsid w:val="00457574"/>
    <w:rsid w:val="00461D0D"/>
    <w:rsid w:val="00463331"/>
    <w:rsid w:val="0046354C"/>
    <w:rsid w:val="00463C51"/>
    <w:rsid w:val="0047195E"/>
    <w:rsid w:val="00471FFE"/>
    <w:rsid w:val="00472119"/>
    <w:rsid w:val="00475842"/>
    <w:rsid w:val="004764F3"/>
    <w:rsid w:val="0047762D"/>
    <w:rsid w:val="00482206"/>
    <w:rsid w:val="004828F6"/>
    <w:rsid w:val="00483424"/>
    <w:rsid w:val="00484F0B"/>
    <w:rsid w:val="00485422"/>
    <w:rsid w:val="004854FF"/>
    <w:rsid w:val="00485A4D"/>
    <w:rsid w:val="00486D96"/>
    <w:rsid w:val="00486EDC"/>
    <w:rsid w:val="00487A5C"/>
    <w:rsid w:val="004925D8"/>
    <w:rsid w:val="00492E10"/>
    <w:rsid w:val="00492E83"/>
    <w:rsid w:val="00494110"/>
    <w:rsid w:val="004963EB"/>
    <w:rsid w:val="00496FCD"/>
    <w:rsid w:val="004A0379"/>
    <w:rsid w:val="004A138F"/>
    <w:rsid w:val="004A20F1"/>
    <w:rsid w:val="004A51B6"/>
    <w:rsid w:val="004A6134"/>
    <w:rsid w:val="004A6136"/>
    <w:rsid w:val="004A7818"/>
    <w:rsid w:val="004B0090"/>
    <w:rsid w:val="004B08FF"/>
    <w:rsid w:val="004B155B"/>
    <w:rsid w:val="004B1CC9"/>
    <w:rsid w:val="004B31D3"/>
    <w:rsid w:val="004B442C"/>
    <w:rsid w:val="004B59E5"/>
    <w:rsid w:val="004B7FC4"/>
    <w:rsid w:val="004C14C7"/>
    <w:rsid w:val="004D7E8B"/>
    <w:rsid w:val="004E39D0"/>
    <w:rsid w:val="004E555F"/>
    <w:rsid w:val="004E5D61"/>
    <w:rsid w:val="004E74D1"/>
    <w:rsid w:val="004F28C6"/>
    <w:rsid w:val="004F3A2A"/>
    <w:rsid w:val="004F3C32"/>
    <w:rsid w:val="004F60B3"/>
    <w:rsid w:val="00500F83"/>
    <w:rsid w:val="005018E9"/>
    <w:rsid w:val="00502108"/>
    <w:rsid w:val="0050294F"/>
    <w:rsid w:val="0050459D"/>
    <w:rsid w:val="005116A3"/>
    <w:rsid w:val="00511D5F"/>
    <w:rsid w:val="00512E7A"/>
    <w:rsid w:val="00513331"/>
    <w:rsid w:val="00513689"/>
    <w:rsid w:val="005136C0"/>
    <w:rsid w:val="0051377D"/>
    <w:rsid w:val="00515D12"/>
    <w:rsid w:val="0051614D"/>
    <w:rsid w:val="0051700B"/>
    <w:rsid w:val="005215B4"/>
    <w:rsid w:val="005272CE"/>
    <w:rsid w:val="00530E9E"/>
    <w:rsid w:val="00532D8B"/>
    <w:rsid w:val="00533E7C"/>
    <w:rsid w:val="00534136"/>
    <w:rsid w:val="005344F0"/>
    <w:rsid w:val="00534B64"/>
    <w:rsid w:val="00534BD5"/>
    <w:rsid w:val="00536E0F"/>
    <w:rsid w:val="00540C05"/>
    <w:rsid w:val="00540C6C"/>
    <w:rsid w:val="00540FC8"/>
    <w:rsid w:val="005443A8"/>
    <w:rsid w:val="00545EC4"/>
    <w:rsid w:val="00550833"/>
    <w:rsid w:val="00550FFD"/>
    <w:rsid w:val="00551115"/>
    <w:rsid w:val="00552D35"/>
    <w:rsid w:val="00552D40"/>
    <w:rsid w:val="005538EB"/>
    <w:rsid w:val="00555230"/>
    <w:rsid w:val="00557C43"/>
    <w:rsid w:val="005619C1"/>
    <w:rsid w:val="005627E3"/>
    <w:rsid w:val="00563B53"/>
    <w:rsid w:val="00563F35"/>
    <w:rsid w:val="00565108"/>
    <w:rsid w:val="005653D3"/>
    <w:rsid w:val="0057009F"/>
    <w:rsid w:val="005721D8"/>
    <w:rsid w:val="00572429"/>
    <w:rsid w:val="00572DEB"/>
    <w:rsid w:val="00572F40"/>
    <w:rsid w:val="0057337E"/>
    <w:rsid w:val="005754B6"/>
    <w:rsid w:val="00576E6D"/>
    <w:rsid w:val="00580671"/>
    <w:rsid w:val="00580742"/>
    <w:rsid w:val="00581C0B"/>
    <w:rsid w:val="00583F2E"/>
    <w:rsid w:val="005855F1"/>
    <w:rsid w:val="005859D9"/>
    <w:rsid w:val="0058674B"/>
    <w:rsid w:val="00592278"/>
    <w:rsid w:val="00593B9C"/>
    <w:rsid w:val="005952E6"/>
    <w:rsid w:val="00596030"/>
    <w:rsid w:val="005965C1"/>
    <w:rsid w:val="00597764"/>
    <w:rsid w:val="005A1A8E"/>
    <w:rsid w:val="005A2B46"/>
    <w:rsid w:val="005A3C69"/>
    <w:rsid w:val="005A536E"/>
    <w:rsid w:val="005A621C"/>
    <w:rsid w:val="005A739B"/>
    <w:rsid w:val="005B1AB0"/>
    <w:rsid w:val="005B2456"/>
    <w:rsid w:val="005B64BE"/>
    <w:rsid w:val="005C10AB"/>
    <w:rsid w:val="005C1E52"/>
    <w:rsid w:val="005C35EC"/>
    <w:rsid w:val="005C3A25"/>
    <w:rsid w:val="005C4A54"/>
    <w:rsid w:val="005C4C0C"/>
    <w:rsid w:val="005C5728"/>
    <w:rsid w:val="005C5E4F"/>
    <w:rsid w:val="005C6026"/>
    <w:rsid w:val="005C60F5"/>
    <w:rsid w:val="005C62D5"/>
    <w:rsid w:val="005C72F7"/>
    <w:rsid w:val="005C741E"/>
    <w:rsid w:val="005D478E"/>
    <w:rsid w:val="005D5CF9"/>
    <w:rsid w:val="005E25A2"/>
    <w:rsid w:val="005E2C26"/>
    <w:rsid w:val="005E716A"/>
    <w:rsid w:val="005E7895"/>
    <w:rsid w:val="005F1B0B"/>
    <w:rsid w:val="005F1F04"/>
    <w:rsid w:val="005F2324"/>
    <w:rsid w:val="00600B69"/>
    <w:rsid w:val="0060126B"/>
    <w:rsid w:val="0060526D"/>
    <w:rsid w:val="00606E34"/>
    <w:rsid w:val="0061095A"/>
    <w:rsid w:val="006124B3"/>
    <w:rsid w:val="006156E4"/>
    <w:rsid w:val="0061696A"/>
    <w:rsid w:val="00617FD6"/>
    <w:rsid w:val="00620003"/>
    <w:rsid w:val="00620C0E"/>
    <w:rsid w:val="00623076"/>
    <w:rsid w:val="00624C98"/>
    <w:rsid w:val="00625AD3"/>
    <w:rsid w:val="006301E3"/>
    <w:rsid w:val="0063358C"/>
    <w:rsid w:val="00634D53"/>
    <w:rsid w:val="00635FA4"/>
    <w:rsid w:val="006414AB"/>
    <w:rsid w:val="0064335A"/>
    <w:rsid w:val="00643452"/>
    <w:rsid w:val="006438DB"/>
    <w:rsid w:val="00644FB8"/>
    <w:rsid w:val="006502A2"/>
    <w:rsid w:val="00651262"/>
    <w:rsid w:val="00652A60"/>
    <w:rsid w:val="00653C17"/>
    <w:rsid w:val="00654AE7"/>
    <w:rsid w:val="006562E3"/>
    <w:rsid w:val="006606E7"/>
    <w:rsid w:val="00660ED1"/>
    <w:rsid w:val="00665EE4"/>
    <w:rsid w:val="00670683"/>
    <w:rsid w:val="0067085D"/>
    <w:rsid w:val="00675617"/>
    <w:rsid w:val="00675B45"/>
    <w:rsid w:val="006763FF"/>
    <w:rsid w:val="00680972"/>
    <w:rsid w:val="00680CEF"/>
    <w:rsid w:val="006814D0"/>
    <w:rsid w:val="00681ADA"/>
    <w:rsid w:val="00683ED0"/>
    <w:rsid w:val="0069278C"/>
    <w:rsid w:val="00692E47"/>
    <w:rsid w:val="00693146"/>
    <w:rsid w:val="006950ED"/>
    <w:rsid w:val="006951D1"/>
    <w:rsid w:val="00695C94"/>
    <w:rsid w:val="00695E9D"/>
    <w:rsid w:val="006963D9"/>
    <w:rsid w:val="00697BE4"/>
    <w:rsid w:val="006A00CE"/>
    <w:rsid w:val="006A1DC2"/>
    <w:rsid w:val="006A7275"/>
    <w:rsid w:val="006A7352"/>
    <w:rsid w:val="006A7818"/>
    <w:rsid w:val="006A7D3F"/>
    <w:rsid w:val="006B21D9"/>
    <w:rsid w:val="006B2C4E"/>
    <w:rsid w:val="006B38E0"/>
    <w:rsid w:val="006B3BC2"/>
    <w:rsid w:val="006B3EE9"/>
    <w:rsid w:val="006C0214"/>
    <w:rsid w:val="006C1828"/>
    <w:rsid w:val="006C441A"/>
    <w:rsid w:val="006C6642"/>
    <w:rsid w:val="006D0FA8"/>
    <w:rsid w:val="006D55C9"/>
    <w:rsid w:val="006D70D8"/>
    <w:rsid w:val="006D72B0"/>
    <w:rsid w:val="006E33E0"/>
    <w:rsid w:val="006E4451"/>
    <w:rsid w:val="006E5266"/>
    <w:rsid w:val="006E5476"/>
    <w:rsid w:val="006F108C"/>
    <w:rsid w:val="006F20CB"/>
    <w:rsid w:val="006F4549"/>
    <w:rsid w:val="006F5902"/>
    <w:rsid w:val="00701DC2"/>
    <w:rsid w:val="00702310"/>
    <w:rsid w:val="00702F40"/>
    <w:rsid w:val="00705AC6"/>
    <w:rsid w:val="00705D0B"/>
    <w:rsid w:val="00706094"/>
    <w:rsid w:val="00706A00"/>
    <w:rsid w:val="0071018A"/>
    <w:rsid w:val="00711413"/>
    <w:rsid w:val="007135A7"/>
    <w:rsid w:val="0071409D"/>
    <w:rsid w:val="00715082"/>
    <w:rsid w:val="00715379"/>
    <w:rsid w:val="0071573F"/>
    <w:rsid w:val="00716247"/>
    <w:rsid w:val="00717054"/>
    <w:rsid w:val="00717FB1"/>
    <w:rsid w:val="0072068D"/>
    <w:rsid w:val="00721389"/>
    <w:rsid w:val="007222D2"/>
    <w:rsid w:val="00723A88"/>
    <w:rsid w:val="00730060"/>
    <w:rsid w:val="00731DEC"/>
    <w:rsid w:val="00733534"/>
    <w:rsid w:val="00734828"/>
    <w:rsid w:val="00734FF1"/>
    <w:rsid w:val="0073727A"/>
    <w:rsid w:val="00737C27"/>
    <w:rsid w:val="00741725"/>
    <w:rsid w:val="00742C6F"/>
    <w:rsid w:val="00744196"/>
    <w:rsid w:val="0074457C"/>
    <w:rsid w:val="00744720"/>
    <w:rsid w:val="00746CB9"/>
    <w:rsid w:val="00750501"/>
    <w:rsid w:val="00756579"/>
    <w:rsid w:val="007575D9"/>
    <w:rsid w:val="00757A7F"/>
    <w:rsid w:val="007600FC"/>
    <w:rsid w:val="00760109"/>
    <w:rsid w:val="007629A7"/>
    <w:rsid w:val="00767162"/>
    <w:rsid w:val="007679EE"/>
    <w:rsid w:val="00770CC4"/>
    <w:rsid w:val="0077182C"/>
    <w:rsid w:val="00772711"/>
    <w:rsid w:val="00775ABA"/>
    <w:rsid w:val="00775C04"/>
    <w:rsid w:val="00776CA6"/>
    <w:rsid w:val="007775AF"/>
    <w:rsid w:val="00777F9B"/>
    <w:rsid w:val="007807B7"/>
    <w:rsid w:val="007831FC"/>
    <w:rsid w:val="00784E04"/>
    <w:rsid w:val="00785933"/>
    <w:rsid w:val="0078617E"/>
    <w:rsid w:val="00790228"/>
    <w:rsid w:val="007907B7"/>
    <w:rsid w:val="00791CA1"/>
    <w:rsid w:val="007929AE"/>
    <w:rsid w:val="00797306"/>
    <w:rsid w:val="00797DBD"/>
    <w:rsid w:val="007A0007"/>
    <w:rsid w:val="007A12B0"/>
    <w:rsid w:val="007A4240"/>
    <w:rsid w:val="007A7E96"/>
    <w:rsid w:val="007B01AF"/>
    <w:rsid w:val="007B69E2"/>
    <w:rsid w:val="007C046C"/>
    <w:rsid w:val="007C0C49"/>
    <w:rsid w:val="007C2D37"/>
    <w:rsid w:val="007C5802"/>
    <w:rsid w:val="007C75F0"/>
    <w:rsid w:val="007C7A5F"/>
    <w:rsid w:val="007C7B1F"/>
    <w:rsid w:val="007D160B"/>
    <w:rsid w:val="007D6E45"/>
    <w:rsid w:val="007E2A34"/>
    <w:rsid w:val="007E4E35"/>
    <w:rsid w:val="007E6112"/>
    <w:rsid w:val="007F07AF"/>
    <w:rsid w:val="007F08FC"/>
    <w:rsid w:val="007F0997"/>
    <w:rsid w:val="007F1403"/>
    <w:rsid w:val="007F5A4F"/>
    <w:rsid w:val="007F6E86"/>
    <w:rsid w:val="00801D3D"/>
    <w:rsid w:val="00801DDB"/>
    <w:rsid w:val="00802232"/>
    <w:rsid w:val="008024F8"/>
    <w:rsid w:val="0081230C"/>
    <w:rsid w:val="00812377"/>
    <w:rsid w:val="008132BC"/>
    <w:rsid w:val="00815277"/>
    <w:rsid w:val="00815675"/>
    <w:rsid w:val="00815E82"/>
    <w:rsid w:val="00816FAB"/>
    <w:rsid w:val="0082263A"/>
    <w:rsid w:val="00823E74"/>
    <w:rsid w:val="008240C3"/>
    <w:rsid w:val="008260B5"/>
    <w:rsid w:val="00827290"/>
    <w:rsid w:val="00827420"/>
    <w:rsid w:val="00830137"/>
    <w:rsid w:val="00831CBB"/>
    <w:rsid w:val="00832718"/>
    <w:rsid w:val="00832935"/>
    <w:rsid w:val="008336B0"/>
    <w:rsid w:val="00833758"/>
    <w:rsid w:val="008347B4"/>
    <w:rsid w:val="0084018D"/>
    <w:rsid w:val="008406E0"/>
    <w:rsid w:val="00841575"/>
    <w:rsid w:val="008433A2"/>
    <w:rsid w:val="00843C87"/>
    <w:rsid w:val="00844280"/>
    <w:rsid w:val="00844CD6"/>
    <w:rsid w:val="00845DF5"/>
    <w:rsid w:val="00845FC1"/>
    <w:rsid w:val="00846E85"/>
    <w:rsid w:val="0085281A"/>
    <w:rsid w:val="008528F9"/>
    <w:rsid w:val="00853443"/>
    <w:rsid w:val="008552CB"/>
    <w:rsid w:val="00855822"/>
    <w:rsid w:val="00860743"/>
    <w:rsid w:val="008616CD"/>
    <w:rsid w:val="00871C10"/>
    <w:rsid w:val="00871F30"/>
    <w:rsid w:val="00872071"/>
    <w:rsid w:val="00874952"/>
    <w:rsid w:val="00875248"/>
    <w:rsid w:val="00875449"/>
    <w:rsid w:val="00880D46"/>
    <w:rsid w:val="008859A7"/>
    <w:rsid w:val="0089108A"/>
    <w:rsid w:val="00891210"/>
    <w:rsid w:val="008918BA"/>
    <w:rsid w:val="00891FB2"/>
    <w:rsid w:val="008A0C15"/>
    <w:rsid w:val="008A2F32"/>
    <w:rsid w:val="008A3110"/>
    <w:rsid w:val="008A5B3C"/>
    <w:rsid w:val="008B22CD"/>
    <w:rsid w:val="008B6208"/>
    <w:rsid w:val="008C19CF"/>
    <w:rsid w:val="008C7175"/>
    <w:rsid w:val="008C73A1"/>
    <w:rsid w:val="008C7F67"/>
    <w:rsid w:val="008D03CC"/>
    <w:rsid w:val="008D1B20"/>
    <w:rsid w:val="008D1DD3"/>
    <w:rsid w:val="008D4D05"/>
    <w:rsid w:val="008D6164"/>
    <w:rsid w:val="008D68C2"/>
    <w:rsid w:val="008E0BA0"/>
    <w:rsid w:val="008E1331"/>
    <w:rsid w:val="008E13DD"/>
    <w:rsid w:val="008E1685"/>
    <w:rsid w:val="008E496D"/>
    <w:rsid w:val="008F0356"/>
    <w:rsid w:val="008F2A64"/>
    <w:rsid w:val="008F329D"/>
    <w:rsid w:val="008F3E12"/>
    <w:rsid w:val="008F511A"/>
    <w:rsid w:val="008F5CA8"/>
    <w:rsid w:val="008F6225"/>
    <w:rsid w:val="00900352"/>
    <w:rsid w:val="00900D89"/>
    <w:rsid w:val="00900F88"/>
    <w:rsid w:val="00901160"/>
    <w:rsid w:val="00905ED1"/>
    <w:rsid w:val="00906993"/>
    <w:rsid w:val="00911F15"/>
    <w:rsid w:val="009144BD"/>
    <w:rsid w:val="00915AB2"/>
    <w:rsid w:val="00915D3F"/>
    <w:rsid w:val="009163DD"/>
    <w:rsid w:val="00920DD9"/>
    <w:rsid w:val="00925F33"/>
    <w:rsid w:val="0092642D"/>
    <w:rsid w:val="0093052D"/>
    <w:rsid w:val="00931470"/>
    <w:rsid w:val="00932457"/>
    <w:rsid w:val="00932ADC"/>
    <w:rsid w:val="00936487"/>
    <w:rsid w:val="009448D4"/>
    <w:rsid w:val="00946B72"/>
    <w:rsid w:val="009479FE"/>
    <w:rsid w:val="009506D2"/>
    <w:rsid w:val="0095143F"/>
    <w:rsid w:val="0095264D"/>
    <w:rsid w:val="0095346D"/>
    <w:rsid w:val="009542AC"/>
    <w:rsid w:val="009567A9"/>
    <w:rsid w:val="009657DF"/>
    <w:rsid w:val="00965FE2"/>
    <w:rsid w:val="009675C0"/>
    <w:rsid w:val="009709AF"/>
    <w:rsid w:val="00971ECD"/>
    <w:rsid w:val="00972A7B"/>
    <w:rsid w:val="00975C63"/>
    <w:rsid w:val="00976B97"/>
    <w:rsid w:val="009846E2"/>
    <w:rsid w:val="00985157"/>
    <w:rsid w:val="0098574B"/>
    <w:rsid w:val="009864FC"/>
    <w:rsid w:val="00986C31"/>
    <w:rsid w:val="00987036"/>
    <w:rsid w:val="00991F4F"/>
    <w:rsid w:val="0099372C"/>
    <w:rsid w:val="00993A58"/>
    <w:rsid w:val="009947FC"/>
    <w:rsid w:val="009A3D0F"/>
    <w:rsid w:val="009A6C70"/>
    <w:rsid w:val="009A6D47"/>
    <w:rsid w:val="009A7CE6"/>
    <w:rsid w:val="009B15BB"/>
    <w:rsid w:val="009B2425"/>
    <w:rsid w:val="009B2C8A"/>
    <w:rsid w:val="009B371E"/>
    <w:rsid w:val="009B4760"/>
    <w:rsid w:val="009B6D7A"/>
    <w:rsid w:val="009C0544"/>
    <w:rsid w:val="009C06A3"/>
    <w:rsid w:val="009C1588"/>
    <w:rsid w:val="009C59C4"/>
    <w:rsid w:val="009C7882"/>
    <w:rsid w:val="009C7CD5"/>
    <w:rsid w:val="009D0BD3"/>
    <w:rsid w:val="009D2AA0"/>
    <w:rsid w:val="009D377D"/>
    <w:rsid w:val="009D3917"/>
    <w:rsid w:val="009D634F"/>
    <w:rsid w:val="009D66F2"/>
    <w:rsid w:val="009E235F"/>
    <w:rsid w:val="009E2A25"/>
    <w:rsid w:val="009E2F14"/>
    <w:rsid w:val="009E33E1"/>
    <w:rsid w:val="009E3FF9"/>
    <w:rsid w:val="009E74E9"/>
    <w:rsid w:val="009E7ACA"/>
    <w:rsid w:val="009F14AB"/>
    <w:rsid w:val="009F1E57"/>
    <w:rsid w:val="009F580B"/>
    <w:rsid w:val="009F5B52"/>
    <w:rsid w:val="009F5C7D"/>
    <w:rsid w:val="009F7322"/>
    <w:rsid w:val="00A00CA2"/>
    <w:rsid w:val="00A03E5B"/>
    <w:rsid w:val="00A04195"/>
    <w:rsid w:val="00A076AF"/>
    <w:rsid w:val="00A136CE"/>
    <w:rsid w:val="00A13BED"/>
    <w:rsid w:val="00A1583A"/>
    <w:rsid w:val="00A170B0"/>
    <w:rsid w:val="00A20248"/>
    <w:rsid w:val="00A21CB3"/>
    <w:rsid w:val="00A2237C"/>
    <w:rsid w:val="00A23AF5"/>
    <w:rsid w:val="00A2530D"/>
    <w:rsid w:val="00A2585B"/>
    <w:rsid w:val="00A25A46"/>
    <w:rsid w:val="00A25F19"/>
    <w:rsid w:val="00A264C5"/>
    <w:rsid w:val="00A265C3"/>
    <w:rsid w:val="00A31023"/>
    <w:rsid w:val="00A32C64"/>
    <w:rsid w:val="00A32C77"/>
    <w:rsid w:val="00A3483F"/>
    <w:rsid w:val="00A366C9"/>
    <w:rsid w:val="00A36BFE"/>
    <w:rsid w:val="00A424F4"/>
    <w:rsid w:val="00A4306B"/>
    <w:rsid w:val="00A450B9"/>
    <w:rsid w:val="00A45617"/>
    <w:rsid w:val="00A46980"/>
    <w:rsid w:val="00A5128B"/>
    <w:rsid w:val="00A51C8D"/>
    <w:rsid w:val="00A53633"/>
    <w:rsid w:val="00A554A0"/>
    <w:rsid w:val="00A57135"/>
    <w:rsid w:val="00A575DD"/>
    <w:rsid w:val="00A57DC1"/>
    <w:rsid w:val="00A6092F"/>
    <w:rsid w:val="00A61D71"/>
    <w:rsid w:val="00A63ABB"/>
    <w:rsid w:val="00A63B46"/>
    <w:rsid w:val="00A650CD"/>
    <w:rsid w:val="00A65EDA"/>
    <w:rsid w:val="00A66243"/>
    <w:rsid w:val="00A67370"/>
    <w:rsid w:val="00A71EA3"/>
    <w:rsid w:val="00A742DB"/>
    <w:rsid w:val="00A763C2"/>
    <w:rsid w:val="00A81609"/>
    <w:rsid w:val="00A81923"/>
    <w:rsid w:val="00A86687"/>
    <w:rsid w:val="00A8722E"/>
    <w:rsid w:val="00A90FA7"/>
    <w:rsid w:val="00A914FF"/>
    <w:rsid w:val="00A927E3"/>
    <w:rsid w:val="00A9395F"/>
    <w:rsid w:val="00A93DE3"/>
    <w:rsid w:val="00A94B72"/>
    <w:rsid w:val="00A9587C"/>
    <w:rsid w:val="00A9594B"/>
    <w:rsid w:val="00A9665B"/>
    <w:rsid w:val="00A97429"/>
    <w:rsid w:val="00AA0945"/>
    <w:rsid w:val="00AA31C2"/>
    <w:rsid w:val="00AA4A04"/>
    <w:rsid w:val="00AA755F"/>
    <w:rsid w:val="00AA7C1A"/>
    <w:rsid w:val="00AB1671"/>
    <w:rsid w:val="00AB42E9"/>
    <w:rsid w:val="00AB5999"/>
    <w:rsid w:val="00AC16AA"/>
    <w:rsid w:val="00AC34E1"/>
    <w:rsid w:val="00AC3746"/>
    <w:rsid w:val="00AC4895"/>
    <w:rsid w:val="00AC6A8B"/>
    <w:rsid w:val="00AC76C8"/>
    <w:rsid w:val="00AD1F4C"/>
    <w:rsid w:val="00AD5F21"/>
    <w:rsid w:val="00AD61F0"/>
    <w:rsid w:val="00AE03D2"/>
    <w:rsid w:val="00AE0FED"/>
    <w:rsid w:val="00AE15A1"/>
    <w:rsid w:val="00AE3BCA"/>
    <w:rsid w:val="00AE4722"/>
    <w:rsid w:val="00AE7731"/>
    <w:rsid w:val="00AF3170"/>
    <w:rsid w:val="00AF3299"/>
    <w:rsid w:val="00AF39EB"/>
    <w:rsid w:val="00AF7035"/>
    <w:rsid w:val="00B01DBA"/>
    <w:rsid w:val="00B0439D"/>
    <w:rsid w:val="00B07468"/>
    <w:rsid w:val="00B07BDC"/>
    <w:rsid w:val="00B10731"/>
    <w:rsid w:val="00B130F0"/>
    <w:rsid w:val="00B13CC4"/>
    <w:rsid w:val="00B2345B"/>
    <w:rsid w:val="00B24D63"/>
    <w:rsid w:val="00B277B2"/>
    <w:rsid w:val="00B277D5"/>
    <w:rsid w:val="00B323B5"/>
    <w:rsid w:val="00B331C0"/>
    <w:rsid w:val="00B33E6A"/>
    <w:rsid w:val="00B343A4"/>
    <w:rsid w:val="00B41E42"/>
    <w:rsid w:val="00B43B5E"/>
    <w:rsid w:val="00B44A7D"/>
    <w:rsid w:val="00B4563C"/>
    <w:rsid w:val="00B45F0D"/>
    <w:rsid w:val="00B5067F"/>
    <w:rsid w:val="00B525AD"/>
    <w:rsid w:val="00B52D8A"/>
    <w:rsid w:val="00B539AC"/>
    <w:rsid w:val="00B541C4"/>
    <w:rsid w:val="00B56284"/>
    <w:rsid w:val="00B56470"/>
    <w:rsid w:val="00B56F38"/>
    <w:rsid w:val="00B572A9"/>
    <w:rsid w:val="00B61DC8"/>
    <w:rsid w:val="00B640F2"/>
    <w:rsid w:val="00B65F81"/>
    <w:rsid w:val="00B7092D"/>
    <w:rsid w:val="00B74A5A"/>
    <w:rsid w:val="00B856E4"/>
    <w:rsid w:val="00B858D4"/>
    <w:rsid w:val="00B8679E"/>
    <w:rsid w:val="00B934C2"/>
    <w:rsid w:val="00B949BE"/>
    <w:rsid w:val="00B96DCB"/>
    <w:rsid w:val="00BA09F2"/>
    <w:rsid w:val="00BA21DD"/>
    <w:rsid w:val="00BA30D6"/>
    <w:rsid w:val="00BA4568"/>
    <w:rsid w:val="00BA58B4"/>
    <w:rsid w:val="00BB03CB"/>
    <w:rsid w:val="00BB111A"/>
    <w:rsid w:val="00BB50B1"/>
    <w:rsid w:val="00BC038C"/>
    <w:rsid w:val="00BC03A1"/>
    <w:rsid w:val="00BC0562"/>
    <w:rsid w:val="00BC087D"/>
    <w:rsid w:val="00BC1F62"/>
    <w:rsid w:val="00BC5465"/>
    <w:rsid w:val="00BC65EB"/>
    <w:rsid w:val="00BD08FE"/>
    <w:rsid w:val="00BD218D"/>
    <w:rsid w:val="00BE0AB1"/>
    <w:rsid w:val="00BE347E"/>
    <w:rsid w:val="00BE4291"/>
    <w:rsid w:val="00BE5853"/>
    <w:rsid w:val="00BE60A9"/>
    <w:rsid w:val="00BE6C78"/>
    <w:rsid w:val="00BE77F9"/>
    <w:rsid w:val="00BF1557"/>
    <w:rsid w:val="00BF36B5"/>
    <w:rsid w:val="00BF5956"/>
    <w:rsid w:val="00BF5A1D"/>
    <w:rsid w:val="00BF6E5C"/>
    <w:rsid w:val="00BF6E8B"/>
    <w:rsid w:val="00C0083E"/>
    <w:rsid w:val="00C02139"/>
    <w:rsid w:val="00C04DBD"/>
    <w:rsid w:val="00C05D1F"/>
    <w:rsid w:val="00C0715A"/>
    <w:rsid w:val="00C11795"/>
    <w:rsid w:val="00C12092"/>
    <w:rsid w:val="00C13091"/>
    <w:rsid w:val="00C142A1"/>
    <w:rsid w:val="00C17A67"/>
    <w:rsid w:val="00C223A0"/>
    <w:rsid w:val="00C25C84"/>
    <w:rsid w:val="00C30679"/>
    <w:rsid w:val="00C322EC"/>
    <w:rsid w:val="00C363FF"/>
    <w:rsid w:val="00C36657"/>
    <w:rsid w:val="00C36A38"/>
    <w:rsid w:val="00C37200"/>
    <w:rsid w:val="00C41A97"/>
    <w:rsid w:val="00C422B8"/>
    <w:rsid w:val="00C42581"/>
    <w:rsid w:val="00C442D3"/>
    <w:rsid w:val="00C445FC"/>
    <w:rsid w:val="00C446E9"/>
    <w:rsid w:val="00C45F54"/>
    <w:rsid w:val="00C46B39"/>
    <w:rsid w:val="00C46E0D"/>
    <w:rsid w:val="00C47134"/>
    <w:rsid w:val="00C47ED7"/>
    <w:rsid w:val="00C50D38"/>
    <w:rsid w:val="00C515CF"/>
    <w:rsid w:val="00C529F0"/>
    <w:rsid w:val="00C54BEC"/>
    <w:rsid w:val="00C603C8"/>
    <w:rsid w:val="00C60D89"/>
    <w:rsid w:val="00C70FE6"/>
    <w:rsid w:val="00C71272"/>
    <w:rsid w:val="00C75C87"/>
    <w:rsid w:val="00C76236"/>
    <w:rsid w:val="00C76509"/>
    <w:rsid w:val="00C77BF1"/>
    <w:rsid w:val="00C81033"/>
    <w:rsid w:val="00C832A3"/>
    <w:rsid w:val="00C85296"/>
    <w:rsid w:val="00C85E34"/>
    <w:rsid w:val="00C931C1"/>
    <w:rsid w:val="00C96495"/>
    <w:rsid w:val="00CA461D"/>
    <w:rsid w:val="00CA5CFF"/>
    <w:rsid w:val="00CA6AF8"/>
    <w:rsid w:val="00CA77AD"/>
    <w:rsid w:val="00CB09D3"/>
    <w:rsid w:val="00CB0B57"/>
    <w:rsid w:val="00CB1B82"/>
    <w:rsid w:val="00CB7655"/>
    <w:rsid w:val="00CC1F4F"/>
    <w:rsid w:val="00CC2A4B"/>
    <w:rsid w:val="00CC5713"/>
    <w:rsid w:val="00CC5800"/>
    <w:rsid w:val="00CC6A27"/>
    <w:rsid w:val="00CD0039"/>
    <w:rsid w:val="00CD5378"/>
    <w:rsid w:val="00CD5B19"/>
    <w:rsid w:val="00CD7044"/>
    <w:rsid w:val="00CE1FED"/>
    <w:rsid w:val="00CE23F2"/>
    <w:rsid w:val="00CE38A8"/>
    <w:rsid w:val="00CE4F69"/>
    <w:rsid w:val="00CE6AB9"/>
    <w:rsid w:val="00CE7255"/>
    <w:rsid w:val="00CF04F1"/>
    <w:rsid w:val="00CF1D28"/>
    <w:rsid w:val="00CF2693"/>
    <w:rsid w:val="00CF5182"/>
    <w:rsid w:val="00CF588C"/>
    <w:rsid w:val="00CF5D66"/>
    <w:rsid w:val="00CF6644"/>
    <w:rsid w:val="00D012A0"/>
    <w:rsid w:val="00D01848"/>
    <w:rsid w:val="00D04A05"/>
    <w:rsid w:val="00D04DBD"/>
    <w:rsid w:val="00D0663F"/>
    <w:rsid w:val="00D07042"/>
    <w:rsid w:val="00D14AA0"/>
    <w:rsid w:val="00D166F7"/>
    <w:rsid w:val="00D20181"/>
    <w:rsid w:val="00D230BA"/>
    <w:rsid w:val="00D23EA3"/>
    <w:rsid w:val="00D242EF"/>
    <w:rsid w:val="00D26482"/>
    <w:rsid w:val="00D2727A"/>
    <w:rsid w:val="00D27DE6"/>
    <w:rsid w:val="00D31E96"/>
    <w:rsid w:val="00D347FF"/>
    <w:rsid w:val="00D369A8"/>
    <w:rsid w:val="00D378DF"/>
    <w:rsid w:val="00D40171"/>
    <w:rsid w:val="00D41D61"/>
    <w:rsid w:val="00D42FBE"/>
    <w:rsid w:val="00D43C52"/>
    <w:rsid w:val="00D444DC"/>
    <w:rsid w:val="00D4653E"/>
    <w:rsid w:val="00D476E1"/>
    <w:rsid w:val="00D47E60"/>
    <w:rsid w:val="00D50882"/>
    <w:rsid w:val="00D51CCF"/>
    <w:rsid w:val="00D526CE"/>
    <w:rsid w:val="00D530D4"/>
    <w:rsid w:val="00D534FA"/>
    <w:rsid w:val="00D53D9D"/>
    <w:rsid w:val="00D56A21"/>
    <w:rsid w:val="00D57AF3"/>
    <w:rsid w:val="00D57D09"/>
    <w:rsid w:val="00D60187"/>
    <w:rsid w:val="00D62D10"/>
    <w:rsid w:val="00D63A28"/>
    <w:rsid w:val="00D652DA"/>
    <w:rsid w:val="00D6690C"/>
    <w:rsid w:val="00D70311"/>
    <w:rsid w:val="00D707CD"/>
    <w:rsid w:val="00D71766"/>
    <w:rsid w:val="00D71E1E"/>
    <w:rsid w:val="00D726E9"/>
    <w:rsid w:val="00D738C2"/>
    <w:rsid w:val="00D74DC5"/>
    <w:rsid w:val="00D7521B"/>
    <w:rsid w:val="00D75B1A"/>
    <w:rsid w:val="00D76B6D"/>
    <w:rsid w:val="00D77114"/>
    <w:rsid w:val="00D82F68"/>
    <w:rsid w:val="00D84D15"/>
    <w:rsid w:val="00D87FE3"/>
    <w:rsid w:val="00D92CC5"/>
    <w:rsid w:val="00D94902"/>
    <w:rsid w:val="00D94DC9"/>
    <w:rsid w:val="00D95785"/>
    <w:rsid w:val="00D96574"/>
    <w:rsid w:val="00DA02E1"/>
    <w:rsid w:val="00DA2574"/>
    <w:rsid w:val="00DA499E"/>
    <w:rsid w:val="00DB2588"/>
    <w:rsid w:val="00DB2899"/>
    <w:rsid w:val="00DB2949"/>
    <w:rsid w:val="00DB5804"/>
    <w:rsid w:val="00DB5AE5"/>
    <w:rsid w:val="00DB623D"/>
    <w:rsid w:val="00DB7AA9"/>
    <w:rsid w:val="00DC0845"/>
    <w:rsid w:val="00DC17E0"/>
    <w:rsid w:val="00DC339F"/>
    <w:rsid w:val="00DC4101"/>
    <w:rsid w:val="00DC52A8"/>
    <w:rsid w:val="00DC554E"/>
    <w:rsid w:val="00DC7AAA"/>
    <w:rsid w:val="00DD10FB"/>
    <w:rsid w:val="00DD1E50"/>
    <w:rsid w:val="00DD2B72"/>
    <w:rsid w:val="00DD474C"/>
    <w:rsid w:val="00DD52C8"/>
    <w:rsid w:val="00DD6630"/>
    <w:rsid w:val="00DE0298"/>
    <w:rsid w:val="00DF12C8"/>
    <w:rsid w:val="00DF5337"/>
    <w:rsid w:val="00DF5443"/>
    <w:rsid w:val="00DF5457"/>
    <w:rsid w:val="00DF5D89"/>
    <w:rsid w:val="00DF6FFB"/>
    <w:rsid w:val="00DF7C42"/>
    <w:rsid w:val="00E00B1F"/>
    <w:rsid w:val="00E028AC"/>
    <w:rsid w:val="00E0359B"/>
    <w:rsid w:val="00E05384"/>
    <w:rsid w:val="00E13AC3"/>
    <w:rsid w:val="00E17A76"/>
    <w:rsid w:val="00E20261"/>
    <w:rsid w:val="00E22B76"/>
    <w:rsid w:val="00E22D17"/>
    <w:rsid w:val="00E2300D"/>
    <w:rsid w:val="00E234D5"/>
    <w:rsid w:val="00E24FAE"/>
    <w:rsid w:val="00E2579D"/>
    <w:rsid w:val="00E271C0"/>
    <w:rsid w:val="00E30355"/>
    <w:rsid w:val="00E311A4"/>
    <w:rsid w:val="00E324F4"/>
    <w:rsid w:val="00E32A95"/>
    <w:rsid w:val="00E3321D"/>
    <w:rsid w:val="00E339FA"/>
    <w:rsid w:val="00E34123"/>
    <w:rsid w:val="00E348F3"/>
    <w:rsid w:val="00E37195"/>
    <w:rsid w:val="00E373F6"/>
    <w:rsid w:val="00E437B2"/>
    <w:rsid w:val="00E442F7"/>
    <w:rsid w:val="00E50270"/>
    <w:rsid w:val="00E54ADF"/>
    <w:rsid w:val="00E56623"/>
    <w:rsid w:val="00E5686C"/>
    <w:rsid w:val="00E56FD7"/>
    <w:rsid w:val="00E61B58"/>
    <w:rsid w:val="00E6620C"/>
    <w:rsid w:val="00E67BA3"/>
    <w:rsid w:val="00E71225"/>
    <w:rsid w:val="00E72ED4"/>
    <w:rsid w:val="00E73802"/>
    <w:rsid w:val="00E74A7D"/>
    <w:rsid w:val="00E74BC1"/>
    <w:rsid w:val="00E755DD"/>
    <w:rsid w:val="00E759EB"/>
    <w:rsid w:val="00E76337"/>
    <w:rsid w:val="00E8099A"/>
    <w:rsid w:val="00E8156E"/>
    <w:rsid w:val="00E81663"/>
    <w:rsid w:val="00E83DDB"/>
    <w:rsid w:val="00E849E6"/>
    <w:rsid w:val="00E85AE6"/>
    <w:rsid w:val="00E91C4B"/>
    <w:rsid w:val="00E920C9"/>
    <w:rsid w:val="00E947CF"/>
    <w:rsid w:val="00E9586B"/>
    <w:rsid w:val="00E95A7E"/>
    <w:rsid w:val="00EA1130"/>
    <w:rsid w:val="00EA3128"/>
    <w:rsid w:val="00EA3655"/>
    <w:rsid w:val="00EA5AB2"/>
    <w:rsid w:val="00EA695B"/>
    <w:rsid w:val="00EA7FED"/>
    <w:rsid w:val="00EB1766"/>
    <w:rsid w:val="00EC0152"/>
    <w:rsid w:val="00EC2049"/>
    <w:rsid w:val="00EC350D"/>
    <w:rsid w:val="00EC3BA2"/>
    <w:rsid w:val="00EC4429"/>
    <w:rsid w:val="00EC7A22"/>
    <w:rsid w:val="00ED1122"/>
    <w:rsid w:val="00ED285B"/>
    <w:rsid w:val="00ED4D4D"/>
    <w:rsid w:val="00ED620A"/>
    <w:rsid w:val="00ED769F"/>
    <w:rsid w:val="00EE098E"/>
    <w:rsid w:val="00EE09F3"/>
    <w:rsid w:val="00EE100B"/>
    <w:rsid w:val="00EE2177"/>
    <w:rsid w:val="00EE5114"/>
    <w:rsid w:val="00EE5737"/>
    <w:rsid w:val="00EE5796"/>
    <w:rsid w:val="00EE5967"/>
    <w:rsid w:val="00EF1091"/>
    <w:rsid w:val="00EF7B77"/>
    <w:rsid w:val="00EF7FF2"/>
    <w:rsid w:val="00F0012E"/>
    <w:rsid w:val="00F05454"/>
    <w:rsid w:val="00F13896"/>
    <w:rsid w:val="00F1423A"/>
    <w:rsid w:val="00F1781F"/>
    <w:rsid w:val="00F17FA0"/>
    <w:rsid w:val="00F244BE"/>
    <w:rsid w:val="00F26A0D"/>
    <w:rsid w:val="00F26BD7"/>
    <w:rsid w:val="00F302FF"/>
    <w:rsid w:val="00F319AC"/>
    <w:rsid w:val="00F31CEA"/>
    <w:rsid w:val="00F340F3"/>
    <w:rsid w:val="00F3429F"/>
    <w:rsid w:val="00F4004F"/>
    <w:rsid w:val="00F40F93"/>
    <w:rsid w:val="00F421DB"/>
    <w:rsid w:val="00F44E37"/>
    <w:rsid w:val="00F47869"/>
    <w:rsid w:val="00F47E2F"/>
    <w:rsid w:val="00F50F77"/>
    <w:rsid w:val="00F510E7"/>
    <w:rsid w:val="00F51774"/>
    <w:rsid w:val="00F52815"/>
    <w:rsid w:val="00F54084"/>
    <w:rsid w:val="00F56983"/>
    <w:rsid w:val="00F6018A"/>
    <w:rsid w:val="00F63923"/>
    <w:rsid w:val="00F667F3"/>
    <w:rsid w:val="00F704B5"/>
    <w:rsid w:val="00F70979"/>
    <w:rsid w:val="00F7154E"/>
    <w:rsid w:val="00F73A34"/>
    <w:rsid w:val="00F74C81"/>
    <w:rsid w:val="00F74D3E"/>
    <w:rsid w:val="00F751F6"/>
    <w:rsid w:val="00F7578D"/>
    <w:rsid w:val="00F75FD7"/>
    <w:rsid w:val="00F769F8"/>
    <w:rsid w:val="00F815A7"/>
    <w:rsid w:val="00F8166A"/>
    <w:rsid w:val="00F91A9A"/>
    <w:rsid w:val="00F96397"/>
    <w:rsid w:val="00F97F85"/>
    <w:rsid w:val="00FA1DA6"/>
    <w:rsid w:val="00FA3F68"/>
    <w:rsid w:val="00FA4E4A"/>
    <w:rsid w:val="00FA6760"/>
    <w:rsid w:val="00FB023B"/>
    <w:rsid w:val="00FB1D7E"/>
    <w:rsid w:val="00FB27D7"/>
    <w:rsid w:val="00FB2C21"/>
    <w:rsid w:val="00FB3388"/>
    <w:rsid w:val="00FB3A3D"/>
    <w:rsid w:val="00FB5373"/>
    <w:rsid w:val="00FB5423"/>
    <w:rsid w:val="00FB6244"/>
    <w:rsid w:val="00FB7F03"/>
    <w:rsid w:val="00FC0620"/>
    <w:rsid w:val="00FC1781"/>
    <w:rsid w:val="00FC5E07"/>
    <w:rsid w:val="00FC7458"/>
    <w:rsid w:val="00FC777D"/>
    <w:rsid w:val="00FD07C6"/>
    <w:rsid w:val="00FD0CB2"/>
    <w:rsid w:val="00FD1561"/>
    <w:rsid w:val="00FD1D7A"/>
    <w:rsid w:val="00FD2184"/>
    <w:rsid w:val="00FD22C5"/>
    <w:rsid w:val="00FD2B26"/>
    <w:rsid w:val="00FE2DAE"/>
    <w:rsid w:val="00FE39A1"/>
    <w:rsid w:val="00FE4643"/>
    <w:rsid w:val="00FF363C"/>
    <w:rsid w:val="01A77A65"/>
    <w:rsid w:val="02380877"/>
    <w:rsid w:val="023F7F45"/>
    <w:rsid w:val="02796113"/>
    <w:rsid w:val="02B43C07"/>
    <w:rsid w:val="02BD239A"/>
    <w:rsid w:val="081D52ED"/>
    <w:rsid w:val="087A0447"/>
    <w:rsid w:val="0AED77AC"/>
    <w:rsid w:val="0B36201C"/>
    <w:rsid w:val="0B38700D"/>
    <w:rsid w:val="0C920F13"/>
    <w:rsid w:val="0D485858"/>
    <w:rsid w:val="0EAF3B36"/>
    <w:rsid w:val="0F0E38A6"/>
    <w:rsid w:val="10EA5F4D"/>
    <w:rsid w:val="11B22490"/>
    <w:rsid w:val="18756A5C"/>
    <w:rsid w:val="18763093"/>
    <w:rsid w:val="19103ABE"/>
    <w:rsid w:val="1A483123"/>
    <w:rsid w:val="1AA44A44"/>
    <w:rsid w:val="1CFB0623"/>
    <w:rsid w:val="1D7373A2"/>
    <w:rsid w:val="1DD647F3"/>
    <w:rsid w:val="1E2F5BEF"/>
    <w:rsid w:val="1EF85961"/>
    <w:rsid w:val="1F323233"/>
    <w:rsid w:val="202C1374"/>
    <w:rsid w:val="20531417"/>
    <w:rsid w:val="20A51010"/>
    <w:rsid w:val="213F051B"/>
    <w:rsid w:val="22E25990"/>
    <w:rsid w:val="23CC2948"/>
    <w:rsid w:val="23EC7505"/>
    <w:rsid w:val="244903E2"/>
    <w:rsid w:val="246E3208"/>
    <w:rsid w:val="252F03A3"/>
    <w:rsid w:val="25551BC9"/>
    <w:rsid w:val="27D644DA"/>
    <w:rsid w:val="27E87ADD"/>
    <w:rsid w:val="2862585D"/>
    <w:rsid w:val="28F95357"/>
    <w:rsid w:val="298C373E"/>
    <w:rsid w:val="2AA07986"/>
    <w:rsid w:val="2AB52CE6"/>
    <w:rsid w:val="2D827909"/>
    <w:rsid w:val="30134B9E"/>
    <w:rsid w:val="31AB0043"/>
    <w:rsid w:val="31C94406"/>
    <w:rsid w:val="328F4FF2"/>
    <w:rsid w:val="32D22330"/>
    <w:rsid w:val="32E71A40"/>
    <w:rsid w:val="343B0D52"/>
    <w:rsid w:val="363143AC"/>
    <w:rsid w:val="36721B3D"/>
    <w:rsid w:val="377F1E64"/>
    <w:rsid w:val="3B03277B"/>
    <w:rsid w:val="3F386869"/>
    <w:rsid w:val="3FE9706B"/>
    <w:rsid w:val="410305B7"/>
    <w:rsid w:val="41A81482"/>
    <w:rsid w:val="42A412BF"/>
    <w:rsid w:val="42DC7C57"/>
    <w:rsid w:val="432F7EE6"/>
    <w:rsid w:val="45B57ED7"/>
    <w:rsid w:val="4654337F"/>
    <w:rsid w:val="49E93AF8"/>
    <w:rsid w:val="4B1717E4"/>
    <w:rsid w:val="4BD249D0"/>
    <w:rsid w:val="4C03387D"/>
    <w:rsid w:val="4C2105FD"/>
    <w:rsid w:val="4DE509B8"/>
    <w:rsid w:val="4EA428A7"/>
    <w:rsid w:val="4F600E84"/>
    <w:rsid w:val="4F803696"/>
    <w:rsid w:val="4FFF4C90"/>
    <w:rsid w:val="50AB2E57"/>
    <w:rsid w:val="510517C1"/>
    <w:rsid w:val="52C928F4"/>
    <w:rsid w:val="558F5BF1"/>
    <w:rsid w:val="55A2650A"/>
    <w:rsid w:val="55C776C9"/>
    <w:rsid w:val="56F47503"/>
    <w:rsid w:val="57902DE8"/>
    <w:rsid w:val="57BE4AFC"/>
    <w:rsid w:val="57EF3A85"/>
    <w:rsid w:val="59171A35"/>
    <w:rsid w:val="59F82547"/>
    <w:rsid w:val="5AA555C9"/>
    <w:rsid w:val="5AC411E5"/>
    <w:rsid w:val="5C104270"/>
    <w:rsid w:val="5CCA2238"/>
    <w:rsid w:val="5D340F90"/>
    <w:rsid w:val="5D630C77"/>
    <w:rsid w:val="5DED3A1A"/>
    <w:rsid w:val="5E552A0F"/>
    <w:rsid w:val="623218BB"/>
    <w:rsid w:val="62792CA9"/>
    <w:rsid w:val="64705AE8"/>
    <w:rsid w:val="66692117"/>
    <w:rsid w:val="674E0FD2"/>
    <w:rsid w:val="69E856AD"/>
    <w:rsid w:val="6A5D6751"/>
    <w:rsid w:val="6B3B2294"/>
    <w:rsid w:val="6C1E1264"/>
    <w:rsid w:val="6CA46ED7"/>
    <w:rsid w:val="6D263022"/>
    <w:rsid w:val="6DC81B69"/>
    <w:rsid w:val="7195081B"/>
    <w:rsid w:val="71C34E0E"/>
    <w:rsid w:val="71D62D16"/>
    <w:rsid w:val="73333CD3"/>
    <w:rsid w:val="744F0B5E"/>
    <w:rsid w:val="74B650F9"/>
    <w:rsid w:val="754A62E5"/>
    <w:rsid w:val="769E6B5D"/>
    <w:rsid w:val="7B1245EC"/>
    <w:rsid w:val="7B5C14E0"/>
    <w:rsid w:val="7CAF6EAE"/>
    <w:rsid w:val="7CF718EF"/>
    <w:rsid w:val="7DF7797A"/>
    <w:rsid w:val="7E514AEE"/>
    <w:rsid w:val="7E526820"/>
    <w:rsid w:val="7FF73228"/>
    <w:rsid w:val="CFDFC5E1"/>
    <w:rsid w:val="FF3F02DB"/>
    <w:rsid w:val="FFA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40"/>
    <w:qFormat/>
    <w:uiPriority w:val="9"/>
    <w:pPr>
      <w:keepNext/>
      <w:keepLines/>
      <w:numPr>
        <w:ilvl w:val="0"/>
        <w:numId w:val="1"/>
      </w:numPr>
      <w:spacing w:line="560" w:lineRule="atLeast"/>
      <w:ind w:firstLineChars="0"/>
      <w:outlineLvl w:val="0"/>
    </w:pPr>
    <w:rPr>
      <w:rFonts w:eastAsia="黑体"/>
      <w:bCs/>
      <w:kern w:val="44"/>
      <w:szCs w:val="44"/>
    </w:rPr>
  </w:style>
  <w:style w:type="paragraph" w:styleId="3">
    <w:name w:val="heading 2"/>
    <w:basedOn w:val="1"/>
    <w:next w:val="1"/>
    <w:link w:val="28"/>
    <w:unhideWhenUsed/>
    <w:qFormat/>
    <w:uiPriority w:val="9"/>
    <w:pPr>
      <w:keepNext/>
      <w:keepLines/>
      <w:numPr>
        <w:ilvl w:val="1"/>
        <w:numId w:val="1"/>
      </w:numPr>
      <w:ind w:left="0" w:firstLineChars="0"/>
      <w:outlineLvl w:val="1"/>
    </w:pPr>
    <w:rPr>
      <w:rFonts w:ascii="楷体_GB2312" w:eastAsia="楷体_GB2312" w:hAnsiTheme="majorHAnsi" w:cstheme="majorBidi"/>
      <w:bCs/>
      <w:szCs w:val="32"/>
    </w:rPr>
  </w:style>
  <w:style w:type="paragraph" w:styleId="4">
    <w:name w:val="heading 3"/>
    <w:basedOn w:val="1"/>
    <w:next w:val="1"/>
    <w:link w:val="39"/>
    <w:unhideWhenUsed/>
    <w:qFormat/>
    <w:uiPriority w:val="0"/>
    <w:pPr>
      <w:keepNext/>
      <w:keepLines/>
      <w:numPr>
        <w:ilvl w:val="2"/>
        <w:numId w:val="1"/>
      </w:numPr>
      <w:ind w:firstLineChars="0"/>
      <w:outlineLvl w:val="2"/>
    </w:pPr>
    <w:rPr>
      <w:bCs/>
      <w:szCs w:val="32"/>
    </w:rPr>
  </w:style>
  <w:style w:type="paragraph" w:styleId="5">
    <w:name w:val="heading 4"/>
    <w:basedOn w:val="1"/>
    <w:next w:val="1"/>
    <w:link w:val="30"/>
    <w:unhideWhenUsed/>
    <w:qFormat/>
    <w:uiPriority w:val="9"/>
    <w:pPr>
      <w:keepNext/>
      <w:keepLines/>
      <w:numPr>
        <w:ilvl w:val="3"/>
        <w:numId w:val="1"/>
      </w:numPr>
      <w:ind w:firstLineChars="0"/>
      <w:outlineLvl w:val="3"/>
    </w:pPr>
    <w:rPr>
      <w:rFonts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pPr>
    <w:rPr>
      <w:rFonts w:ascii="Times New Roman" w:hAnsi="Times New Roman" w:cs="Times New Roman"/>
      <w:szCs w:val="32"/>
    </w:rPr>
  </w:style>
  <w:style w:type="paragraph" w:styleId="7">
    <w:name w:val="annotation text"/>
    <w:basedOn w:val="1"/>
    <w:semiHidden/>
    <w:unhideWhenUsed/>
    <w:qFormat/>
    <w:uiPriority w:val="99"/>
    <w:pPr>
      <w:jc w:val="left"/>
    </w:pPr>
  </w:style>
  <w:style w:type="paragraph" w:styleId="8">
    <w:name w:val="Body Text Indent"/>
    <w:basedOn w:val="1"/>
    <w:next w:val="1"/>
    <w:unhideWhenUsed/>
    <w:qFormat/>
    <w:uiPriority w:val="99"/>
    <w:pPr>
      <w:spacing w:after="120"/>
      <w:ind w:left="420" w:leftChars="200"/>
    </w:pPr>
  </w:style>
  <w:style w:type="paragraph" w:styleId="9">
    <w:name w:val="toc 3"/>
    <w:basedOn w:val="1"/>
    <w:next w:val="1"/>
    <w:unhideWhenUsed/>
    <w:qFormat/>
    <w:uiPriority w:val="39"/>
    <w:pPr>
      <w:tabs>
        <w:tab w:val="right" w:leader="dot" w:pos="8296"/>
      </w:tabs>
      <w:ind w:firstLine="640"/>
    </w:pPr>
  </w:style>
  <w:style w:type="paragraph" w:styleId="10">
    <w:name w:val="footer"/>
    <w:basedOn w:val="1"/>
    <w:link w:val="29"/>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8"/>
    <w:unhideWhenUsed/>
    <w:qFormat/>
    <w:uiPriority w:val="99"/>
    <w:pP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0" w:firstLineChars="0"/>
    </w:pPr>
    <w:rPr>
      <w:rFonts w:ascii="黑体" w:hAnsi="黑体" w:eastAsia="黑体"/>
    </w:rPr>
  </w:style>
  <w:style w:type="paragraph" w:styleId="13">
    <w:name w:val="Subtitle"/>
    <w:basedOn w:val="1"/>
    <w:next w:val="1"/>
    <w:link w:val="33"/>
    <w:qFormat/>
    <w:uiPriority w:val="11"/>
    <w:pPr>
      <w:spacing w:after="160"/>
      <w:ind w:firstLine="0" w:firstLineChars="0"/>
      <w:jc w:val="center"/>
      <w:outlineLvl w:val="1"/>
    </w:pPr>
    <w:rPr>
      <w:rFonts w:ascii="楷体_GB2312" w:hAnsi="楷体_GB2312" w:eastAsia="楷体_GB2312" w:cs="楷体_GB2312"/>
      <w:bCs/>
      <w:kern w:val="28"/>
      <w:sz w:val="28"/>
      <w:szCs w:val="32"/>
    </w:rPr>
  </w:style>
  <w:style w:type="paragraph" w:styleId="14">
    <w:name w:val="footnote text"/>
    <w:basedOn w:val="1"/>
    <w:link w:val="35"/>
    <w:unhideWhenUsed/>
    <w:qFormat/>
    <w:uiPriority w:val="0"/>
    <w:pPr>
      <w:widowControl w:val="0"/>
      <w:snapToGrid w:val="0"/>
      <w:spacing w:after="160" w:line="560" w:lineRule="exact"/>
      <w:ind w:firstLine="200" w:firstLineChars="200"/>
    </w:pPr>
    <w:rPr>
      <w:rFonts w:ascii="仿宋_GB2312" w:eastAsia="仿宋_GB2312" w:hAnsiTheme="minorHAnsi" w:cstheme="minorBidi"/>
      <w:kern w:val="2"/>
      <w:sz w:val="18"/>
      <w:szCs w:val="18"/>
      <w:lang w:val="en-US" w:eastAsia="zh-CN" w:bidi="ar-SA"/>
    </w:rPr>
  </w:style>
  <w:style w:type="paragraph" w:styleId="15">
    <w:name w:val="toc 2"/>
    <w:basedOn w:val="1"/>
    <w:next w:val="1"/>
    <w:unhideWhenUsed/>
    <w:qFormat/>
    <w:uiPriority w:val="39"/>
    <w:pPr>
      <w:tabs>
        <w:tab w:val="right" w:leader="dot" w:pos="8296"/>
      </w:tabs>
      <w:ind w:firstLine="0" w:firstLineChars="0"/>
    </w:pPr>
    <w:rPr>
      <w:rFonts w:ascii="楷体_GB2312" w:eastAsia="楷体_GB2312"/>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7"/>
    <w:qFormat/>
    <w:uiPriority w:val="10"/>
    <w:pPr>
      <w:spacing w:after="160"/>
      <w:ind w:firstLine="0" w:firstLineChars="0"/>
      <w:jc w:val="center"/>
      <w:outlineLvl w:val="0"/>
    </w:pPr>
    <w:rPr>
      <w:rFonts w:ascii="方正小标宋简体" w:hAnsi="方正小标宋简体" w:eastAsia="方正小标宋简体" w:cs="微软雅黑 Light"/>
      <w:bCs/>
      <w:kern w:val="0"/>
      <w:sz w:val="44"/>
      <w:szCs w:val="32"/>
    </w:rPr>
  </w:style>
  <w:style w:type="paragraph" w:styleId="18">
    <w:name w:val="Body Text First Indent 2"/>
    <w:basedOn w:val="8"/>
    <w:next w:val="1"/>
    <w:unhideWhenUsed/>
    <w:qFormat/>
    <w:uiPriority w:val="99"/>
    <w:pPr>
      <w:keepNext w:val="0"/>
      <w:keepLines w:val="0"/>
      <w:widowControl w:val="0"/>
      <w:suppressLineNumbers w:val="0"/>
      <w:spacing w:before="0" w:beforeAutospacing="0" w:after="120" w:afterAutospacing="0" w:line="560" w:lineRule="exact"/>
      <w:ind w:left="420" w:leftChars="200" w:right="0" w:firstLine="420" w:firstLineChars="200"/>
      <w:jc w:val="both"/>
    </w:pPr>
    <w:rPr>
      <w:rFonts w:hint="eastAsia" w:ascii="仿宋_GB2312" w:hAnsi="Calibri" w:eastAsia="仿宋_GB2312" w:cs="Times New Roman"/>
      <w:kern w:val="2"/>
      <w:sz w:val="32"/>
      <w:szCs w:val="22"/>
      <w:lang w:val="en-US" w:eastAsia="zh-CN" w:bidi="ar"/>
    </w:rPr>
  </w:style>
  <w:style w:type="table" w:styleId="20">
    <w:name w:val="Table Grid"/>
    <w:basedOn w:val="19"/>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footnote reference"/>
    <w:unhideWhenUsed/>
    <w:qFormat/>
    <w:uiPriority w:val="0"/>
    <w:rPr>
      <w:vertAlign w:val="superscript"/>
    </w:rPr>
  </w:style>
  <w:style w:type="paragraph" w:customStyle="1" w:styleId="26">
    <w:name w:val="MTDisplayEquation"/>
    <w:basedOn w:val="1"/>
    <w:next w:val="1"/>
    <w:link w:val="36"/>
    <w:qFormat/>
    <w:uiPriority w:val="0"/>
    <w:pPr>
      <w:tabs>
        <w:tab w:val="center" w:pos="4160"/>
        <w:tab w:val="right" w:pos="8300"/>
      </w:tabs>
      <w:ind w:firstLine="640"/>
    </w:pPr>
  </w:style>
  <w:style w:type="character" w:customStyle="1" w:styleId="27">
    <w:name w:val="标题 字符"/>
    <w:basedOn w:val="21"/>
    <w:link w:val="17"/>
    <w:qFormat/>
    <w:uiPriority w:val="10"/>
    <w:rPr>
      <w:rFonts w:ascii="方正小标宋简体" w:hAnsi="方正小标宋简体" w:eastAsia="方正小标宋简体" w:cs="微软雅黑 Light"/>
      <w:bCs/>
      <w:kern w:val="0"/>
      <w:sz w:val="44"/>
      <w:szCs w:val="32"/>
    </w:rPr>
  </w:style>
  <w:style w:type="character" w:customStyle="1" w:styleId="28">
    <w:name w:val="标题 2 字符"/>
    <w:basedOn w:val="21"/>
    <w:link w:val="3"/>
    <w:qFormat/>
    <w:uiPriority w:val="9"/>
    <w:rPr>
      <w:rFonts w:ascii="楷体_GB2312" w:eastAsia="楷体_GB2312" w:hAnsiTheme="majorHAnsi" w:cstheme="majorBidi"/>
      <w:bCs/>
      <w:sz w:val="32"/>
      <w:szCs w:val="32"/>
    </w:rPr>
  </w:style>
  <w:style w:type="character" w:customStyle="1" w:styleId="29">
    <w:name w:val="页脚 字符"/>
    <w:basedOn w:val="21"/>
    <w:link w:val="10"/>
    <w:qFormat/>
    <w:uiPriority w:val="99"/>
    <w:rPr>
      <w:rFonts w:ascii="仿宋_GB2312" w:eastAsia="仿宋_GB2312"/>
      <w:sz w:val="18"/>
      <w:szCs w:val="18"/>
    </w:rPr>
  </w:style>
  <w:style w:type="character" w:customStyle="1" w:styleId="30">
    <w:name w:val="标题 4 字符"/>
    <w:basedOn w:val="21"/>
    <w:link w:val="5"/>
    <w:qFormat/>
    <w:uiPriority w:val="9"/>
    <w:rPr>
      <w:rFonts w:ascii="仿宋_GB2312" w:eastAsia="仿宋_GB2312" w:hAnsiTheme="majorHAnsi" w:cstheme="majorBidi"/>
      <w:bCs/>
      <w:sz w:val="32"/>
      <w:szCs w:val="28"/>
    </w:rPr>
  </w:style>
  <w:style w:type="paragraph" w:customStyle="1" w:styleId="31">
    <w:name w:val="TOC 标题1"/>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32">
    <w:name w:val="MTEquationSection"/>
    <w:basedOn w:val="21"/>
    <w:qFormat/>
    <w:uiPriority w:val="0"/>
    <w:rPr>
      <w:rFonts w:ascii="方正小标宋简体" w:eastAsia="方正小标宋简体"/>
      <w:vanish/>
      <w:color w:val="FF0000"/>
      <w:sz w:val="44"/>
      <w:szCs w:val="44"/>
    </w:rPr>
  </w:style>
  <w:style w:type="character" w:customStyle="1" w:styleId="33">
    <w:name w:val="副标题 字符"/>
    <w:basedOn w:val="21"/>
    <w:link w:val="13"/>
    <w:qFormat/>
    <w:uiPriority w:val="11"/>
    <w:rPr>
      <w:rFonts w:ascii="楷体_GB2312" w:hAnsi="楷体_GB2312" w:eastAsia="楷体_GB2312" w:cs="楷体_GB2312"/>
      <w:bCs/>
      <w:kern w:val="28"/>
      <w:sz w:val="28"/>
      <w:szCs w:val="32"/>
    </w:rPr>
  </w:style>
  <w:style w:type="paragraph" w:customStyle="1" w:styleId="34">
    <w:name w:val="正文首行缩进 21"/>
    <w:basedOn w:val="1"/>
    <w:qFormat/>
    <w:uiPriority w:val="0"/>
    <w:pPr>
      <w:suppressAutoHyphens/>
      <w:spacing w:before="100" w:beforeAutospacing="1" w:after="100" w:afterAutospacing="1" w:line="240" w:lineRule="auto"/>
      <w:ind w:left="420" w:leftChars="200" w:firstLine="420"/>
    </w:pPr>
    <w:rPr>
      <w:rFonts w:ascii="Calibri" w:hAnsi="Calibri" w:eastAsia="宋体" w:cs="Calibri"/>
      <w:sz w:val="21"/>
      <w:szCs w:val="21"/>
    </w:rPr>
  </w:style>
  <w:style w:type="character" w:customStyle="1" w:styleId="35">
    <w:name w:val="脚注文本 字符"/>
    <w:basedOn w:val="21"/>
    <w:link w:val="14"/>
    <w:qFormat/>
    <w:uiPriority w:val="0"/>
    <w:rPr>
      <w:rFonts w:ascii="仿宋_GB2312" w:eastAsia="仿宋_GB2312"/>
      <w:sz w:val="18"/>
      <w:szCs w:val="18"/>
    </w:rPr>
  </w:style>
  <w:style w:type="character" w:customStyle="1" w:styleId="36">
    <w:name w:val="MTDisplayEquation 字符"/>
    <w:basedOn w:val="21"/>
    <w:link w:val="26"/>
    <w:qFormat/>
    <w:uiPriority w:val="0"/>
    <w:rPr>
      <w:rFonts w:ascii="仿宋_GB2312" w:eastAsia="仿宋_GB2312"/>
      <w:sz w:val="32"/>
    </w:rPr>
  </w:style>
  <w:style w:type="paragraph" w:styleId="37">
    <w:name w:val="List Paragraph"/>
    <w:basedOn w:val="1"/>
    <w:qFormat/>
    <w:uiPriority w:val="34"/>
    <w:pPr>
      <w:ind w:firstLine="420"/>
    </w:pPr>
  </w:style>
  <w:style w:type="character" w:customStyle="1" w:styleId="38">
    <w:name w:val="页眉 字符"/>
    <w:basedOn w:val="21"/>
    <w:link w:val="11"/>
    <w:qFormat/>
    <w:uiPriority w:val="99"/>
    <w:rPr>
      <w:rFonts w:ascii="仿宋_GB2312" w:eastAsia="仿宋_GB2312"/>
      <w:sz w:val="18"/>
      <w:szCs w:val="18"/>
    </w:rPr>
  </w:style>
  <w:style w:type="character" w:customStyle="1" w:styleId="39">
    <w:name w:val="标题 3 字符"/>
    <w:basedOn w:val="21"/>
    <w:link w:val="4"/>
    <w:qFormat/>
    <w:uiPriority w:val="9"/>
    <w:rPr>
      <w:rFonts w:ascii="仿宋_GB2312" w:eastAsia="仿宋_GB2312"/>
      <w:bCs/>
      <w:sz w:val="32"/>
      <w:szCs w:val="32"/>
    </w:rPr>
  </w:style>
  <w:style w:type="character" w:customStyle="1" w:styleId="40">
    <w:name w:val="标题 1 字符"/>
    <w:basedOn w:val="21"/>
    <w:link w:val="2"/>
    <w:qFormat/>
    <w:uiPriority w:val="9"/>
    <w:rPr>
      <w:rFonts w:ascii="仿宋_GB2312" w:eastAsia="黑体"/>
      <w:bCs/>
      <w:kern w:val="44"/>
      <w:sz w:val="32"/>
      <w:szCs w:val="44"/>
    </w:rPr>
  </w:style>
  <w:style w:type="paragraph" w:customStyle="1" w:styleId="41">
    <w:name w:val="修订1"/>
    <w:hidden/>
    <w:unhideWhenUsed/>
    <w:qFormat/>
    <w:uiPriority w:val="99"/>
    <w:rPr>
      <w:rFonts w:ascii="仿宋_GB2312" w:eastAsia="仿宋_GB2312" w:hAnsiTheme="minorHAnsi" w:cstheme="minorBidi"/>
      <w:kern w:val="2"/>
      <w:sz w:val="32"/>
      <w:szCs w:val="22"/>
      <w:lang w:val="en-US" w:eastAsia="zh-CN" w:bidi="ar-SA"/>
    </w:rPr>
  </w:style>
  <w:style w:type="paragraph" w:customStyle="1" w:styleId="42">
    <w:name w:val="Revision"/>
    <w:hidden/>
    <w:unhideWhenUsed/>
    <w:qFormat/>
    <w:uiPriority w:val="99"/>
    <w:rPr>
      <w:rFonts w:ascii="仿宋_GB2312" w:eastAsia="仿宋_GB2312" w:hAnsiTheme="minorHAnsi" w:cstheme="minorBidi"/>
      <w:kern w:val="2"/>
      <w:sz w:val="32"/>
      <w:szCs w:val="22"/>
      <w:lang w:val="en-US" w:eastAsia="zh-CN" w:bidi="ar-SA"/>
    </w:rPr>
  </w:style>
  <w:style w:type="character" w:customStyle="1" w:styleId="43">
    <w:name w:val="font21"/>
    <w:basedOn w:val="21"/>
    <w:qFormat/>
    <w:uiPriority w:val="0"/>
    <w:rPr>
      <w:rFonts w:hint="eastAsia" w:ascii="仿宋_GB2312" w:eastAsia="仿宋_GB2312" w:cs="仿宋_GB2312"/>
      <w:color w:val="000000"/>
      <w:sz w:val="22"/>
      <w:szCs w:val="22"/>
      <w:u w:val="none"/>
    </w:rPr>
  </w:style>
  <w:style w:type="character" w:customStyle="1" w:styleId="44">
    <w:name w:val="font1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2.xml"/><Relationship Id="rId90" Type="http://schemas.openxmlformats.org/officeDocument/2006/relationships/numbering" Target="numbering.xml"/><Relationship Id="rId9" Type="http://schemas.openxmlformats.org/officeDocument/2006/relationships/footer" Target="footer2.xml"/><Relationship Id="rId89" Type="http://schemas.openxmlformats.org/officeDocument/2006/relationships/customXml" Target="../customXml/item1.xml"/><Relationship Id="rId88" Type="http://schemas.openxmlformats.org/officeDocument/2006/relationships/image" Target="media/image75.png"/><Relationship Id="rId87" Type="http://schemas.openxmlformats.org/officeDocument/2006/relationships/image" Target="media/image74.png"/><Relationship Id="rId86" Type="http://schemas.openxmlformats.org/officeDocument/2006/relationships/image" Target="media/image73.png"/><Relationship Id="rId85" Type="http://schemas.openxmlformats.org/officeDocument/2006/relationships/image" Target="media/image72.png"/><Relationship Id="rId84" Type="http://schemas.openxmlformats.org/officeDocument/2006/relationships/image" Target="media/image71.png"/><Relationship Id="rId83" Type="http://schemas.openxmlformats.org/officeDocument/2006/relationships/image" Target="media/image70.png"/><Relationship Id="rId82" Type="http://schemas.openxmlformats.org/officeDocument/2006/relationships/image" Target="media/image69.png"/><Relationship Id="rId81" Type="http://schemas.openxmlformats.org/officeDocument/2006/relationships/image" Target="media/image68.png"/><Relationship Id="rId80" Type="http://schemas.openxmlformats.org/officeDocument/2006/relationships/image" Target="media/image67.png"/><Relationship Id="rId8" Type="http://schemas.openxmlformats.org/officeDocument/2006/relationships/footer" Target="footer1.xml"/><Relationship Id="rId79" Type="http://schemas.openxmlformats.org/officeDocument/2006/relationships/image" Target="media/image66.png"/><Relationship Id="rId78" Type="http://schemas.openxmlformats.org/officeDocument/2006/relationships/image" Target="media/image65.png"/><Relationship Id="rId77" Type="http://schemas.openxmlformats.org/officeDocument/2006/relationships/image" Target="media/image64.png"/><Relationship Id="rId76" Type="http://schemas.openxmlformats.org/officeDocument/2006/relationships/image" Target="media/image63.png"/><Relationship Id="rId75" Type="http://schemas.openxmlformats.org/officeDocument/2006/relationships/image" Target="media/image62.png"/><Relationship Id="rId74" Type="http://schemas.openxmlformats.org/officeDocument/2006/relationships/image" Target="media/image61.png"/><Relationship Id="rId73" Type="http://schemas.openxmlformats.org/officeDocument/2006/relationships/image" Target="media/image60.png"/><Relationship Id="rId72" Type="http://schemas.openxmlformats.org/officeDocument/2006/relationships/image" Target="media/image59.png"/><Relationship Id="rId71" Type="http://schemas.openxmlformats.org/officeDocument/2006/relationships/image" Target="media/image58.png"/><Relationship Id="rId70" Type="http://schemas.openxmlformats.org/officeDocument/2006/relationships/image" Target="media/image57.png"/><Relationship Id="rId7" Type="http://schemas.openxmlformats.org/officeDocument/2006/relationships/header" Target="header3.xml"/><Relationship Id="rId69" Type="http://schemas.openxmlformats.org/officeDocument/2006/relationships/image" Target="media/image56.png"/><Relationship Id="rId68" Type="http://schemas.openxmlformats.org/officeDocument/2006/relationships/image" Target="media/image55.png"/><Relationship Id="rId67" Type="http://schemas.openxmlformats.org/officeDocument/2006/relationships/image" Target="media/image54.png"/><Relationship Id="rId66" Type="http://schemas.openxmlformats.org/officeDocument/2006/relationships/image" Target="media/image53.png"/><Relationship Id="rId65" Type="http://schemas.openxmlformats.org/officeDocument/2006/relationships/image" Target="media/image52.png"/><Relationship Id="rId64" Type="http://schemas.openxmlformats.org/officeDocument/2006/relationships/image" Target="media/image51.png"/><Relationship Id="rId63" Type="http://schemas.openxmlformats.org/officeDocument/2006/relationships/image" Target="media/image50.png"/><Relationship Id="rId62" Type="http://schemas.openxmlformats.org/officeDocument/2006/relationships/image" Target="media/image49.png"/><Relationship Id="rId61" Type="http://schemas.openxmlformats.org/officeDocument/2006/relationships/image" Target="media/image48.png"/><Relationship Id="rId60" Type="http://schemas.openxmlformats.org/officeDocument/2006/relationships/image" Target="media/image47.png"/><Relationship Id="rId6" Type="http://schemas.openxmlformats.org/officeDocument/2006/relationships/header" Target="header2.xml"/><Relationship Id="rId59" Type="http://schemas.openxmlformats.org/officeDocument/2006/relationships/image" Target="media/image46.png"/><Relationship Id="rId58" Type="http://schemas.openxmlformats.org/officeDocument/2006/relationships/image" Target="media/image45.png"/><Relationship Id="rId57" Type="http://schemas.openxmlformats.org/officeDocument/2006/relationships/image" Target="media/image44.png"/><Relationship Id="rId56" Type="http://schemas.openxmlformats.org/officeDocument/2006/relationships/image" Target="media/image43.png"/><Relationship Id="rId55" Type="http://schemas.openxmlformats.org/officeDocument/2006/relationships/image" Target="media/image42.png"/><Relationship Id="rId54" Type="http://schemas.openxmlformats.org/officeDocument/2006/relationships/image" Target="media/image41.png"/><Relationship Id="rId53" Type="http://schemas.openxmlformats.org/officeDocument/2006/relationships/image" Target="media/image40.png"/><Relationship Id="rId52" Type="http://schemas.openxmlformats.org/officeDocument/2006/relationships/image" Target="media/image39.png"/><Relationship Id="rId51" Type="http://schemas.openxmlformats.org/officeDocument/2006/relationships/image" Target="media/image38.png"/><Relationship Id="rId50" Type="http://schemas.openxmlformats.org/officeDocument/2006/relationships/image" Target="media/image37.png"/><Relationship Id="rId5" Type="http://schemas.openxmlformats.org/officeDocument/2006/relationships/header" Target="header1.xml"/><Relationship Id="rId49" Type="http://schemas.openxmlformats.org/officeDocument/2006/relationships/image" Target="media/image36.png"/><Relationship Id="rId48" Type="http://schemas.openxmlformats.org/officeDocument/2006/relationships/image" Target="media/image35.png"/><Relationship Id="rId47" Type="http://schemas.openxmlformats.org/officeDocument/2006/relationships/image" Target="media/image34.png"/><Relationship Id="rId46" Type="http://schemas.openxmlformats.org/officeDocument/2006/relationships/image" Target="media/image33.pn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png"/><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endnotes" Target="endnotes.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ee2cff21-a426-4f2f-ae9e-2774afd8f5f6</errorID>
      <errorWord xmlns="http://schemas.wps.cn/vas-ai-hub/contract-review">创新驱动战略</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创新驱动发展战略</item>
      </candidateList>
      <explain xmlns="http://schemas.wps.cn/vas-ai-hub/contract-review"/>
      <paraID xmlns="http://schemas.wps.cn/vas-ai-hub/contract-review">63D869A8</paraID>
      <start xmlns="http://schemas.wps.cn/vas-ai-hub/contract-review">6</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5faafa80-87bb-4637-9184-4c9291103197</errorID>
      <errorWord xmlns="http://schemas.wps.cn/vas-ai-hub/contract-review">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统生</item>
      </candidateList>
      <explain xmlns="http://schemas.wps.cn/vas-ai-hub/contract-review"/>
      <paraID xmlns="http://schemas.wps.cn/vas-ai-hub/contract-review">61A00826</paraID>
      <start xmlns="http://schemas.wps.cn/vas-ai-hub/contract-review">152</start>
      <end xmlns="http://schemas.wps.cn/vas-ai-hub/contract-review">153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37dcbacf-df3a-4f16-861d-270380aeb08b</errorID>
      <errorWord xmlns="http://schemas.wps.cn/vas-ai-hub/contract-review">氨能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氢能</item>
      </candidateList>
      <explain xmlns="http://schemas.wps.cn/vas-ai-hub/contract-review"/>
      <paraID xmlns="http://schemas.wps.cn/vas-ai-hub/contract-review">1249AAF9</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96351884-4315-4845-9996-6b16b1287138</errorID>
      <errorWord xmlns="http://schemas.wps.cn/vas-ai-hub/contract-review">电交通</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标点符号检查</abilityName>
      <candidateList xmlns="http://schemas.wps.cn/vas-ai-hub/contract-review">
        <item xmlns="http://schemas.wps.cn/vas-ai-hub/contract-review">电、交通</item>
      </candidateList>
      <explain xmlns="http://schemas.wps.cn/vas-ai-hub/contract-review"/>
      <paraID xmlns="http://schemas.wps.cn/vas-ai-hub/contract-review">4648BC13</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0e3f8a5e-ce96-40e7-a0af-74bd5b10ddf4</errorID>
      <errorWord xmlns="http://schemas.wps.cn/vas-ai-hub/contract-review">电交通</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标点符号检查</abilityName>
      <candidateList xmlns="http://schemas.wps.cn/vas-ai-hub/contract-review">
        <item xmlns="http://schemas.wps.cn/vas-ai-hub/contract-review">电、交通</item>
      </candidateList>
      <explain xmlns="http://schemas.wps.cn/vas-ai-hub/contract-review"/>
      <paraID xmlns="http://schemas.wps.cn/vas-ai-hub/contract-review">7237D7ED</paraID>
      <start xmlns="http://schemas.wps.cn/vas-ai-hub/contract-review">124</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b2856dd3-308b-40ff-9e52-5f8c2911a946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2E8E9F31</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12889411-ab85-4fed-89cb-5ba86f3d95b7</errorID>
      <errorWord xmlns="http://schemas.wps.cn/vas-ai-hub/contract-review">盘石</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磐石</item>
      </candidateList>
      <explain xmlns="http://schemas.wps.cn/vas-ai-hub/contract-review">词汇[盘石]的规范词形写作[磐石]。</explain>
      <paraID xmlns="http://schemas.wps.cn/vas-ai-hub/contract-review">3514DFC9</paraID>
      <start xmlns="http://schemas.wps.cn/vas-ai-hub/contract-review">6</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be370-f1ba-4148-9b04-59207f5d5ed0}">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7900</Words>
  <Characters>8301</Characters>
  <Lines>716</Lines>
  <Paragraphs>470</Paragraphs>
  <TotalTime>0</TotalTime>
  <ScaleCrop>false</ScaleCrop>
  <LinksUpToDate>false</LinksUpToDate>
  <CharactersWithSpaces>8454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2025-06-19T09:23:00Z</dcterms:created>
  <dc:creator>Lenovo</dc:creator>
  <cp:lastModifiedBy>sugom</cp:lastModifiedBy>
  <dcterms:modified xsi:type="dcterms:W3CDTF">2026-06-02T10:25:06Z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D337045A1DAC4749B7D6F11B218BE078_13</vt:lpwstr>
  </property>
  <property fmtid="{D5CDD505-2E9C-101B-9397-08002B2CF9AE}" pid="4" name="KSOTemplateDocerSaveRecord">
    <vt:lpwstr>eyJoZGlkIjoiZWQ0OTA3ODI1ZGY2ZmU5NDUzNzJkZTNhYjZkNGYzYjciLCJ1c2VySWQiOiIyMzQ5MTAxOTcifQ==</vt:lpwstr>
  </property>
</Properties>
</file>