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ind w:firstLine="480"/>
        <w:jc w:val="right"/>
        <w:rPr>
          <w:rFonts w:eastAsia="仿宋_GB2312" w:cs="Times New Roman"/>
          <w:color w:val="000000" w:themeColor="text1"/>
          <w:sz w:val="24"/>
          <w14:textFill>
            <w14:solidFill>
              <w14:schemeClr w14:val="tx1"/>
            </w14:solidFill>
          </w14:textFill>
        </w:rPr>
      </w:pPr>
      <w:bookmarkStart w:id="0" w:name="_Hlk94258833"/>
      <w:bookmarkEnd w:id="0"/>
    </w:p>
    <w:p>
      <w:pPr>
        <w:adjustRightInd w:val="0"/>
        <w:snapToGrid w:val="0"/>
        <w:ind w:firstLine="480"/>
        <w:jc w:val="right"/>
        <w:rPr>
          <w:rFonts w:eastAsia="仿宋_GB2312" w:cs="Times New Roman"/>
          <w:color w:val="000000" w:themeColor="text1"/>
          <w:sz w:val="24"/>
          <w14:textFill>
            <w14:solidFill>
              <w14:schemeClr w14:val="tx1"/>
            </w14:solidFill>
          </w14:textFill>
        </w:rPr>
      </w:pPr>
    </w:p>
    <w:p>
      <w:pPr>
        <w:adjustRightInd w:val="0"/>
        <w:snapToGrid w:val="0"/>
        <w:ind w:firstLine="480"/>
        <w:jc w:val="right"/>
        <w:rPr>
          <w:rFonts w:eastAsia="仿宋_GB2312" w:cs="Times New Roman"/>
          <w:color w:val="000000" w:themeColor="text1"/>
          <w:sz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700" w:lineRule="exact"/>
        <w:ind w:firstLine="0" w:firstLineChars="0"/>
        <w:jc w:val="center"/>
        <w:textAlignment w:val="auto"/>
        <w:rPr>
          <w:rFonts w:hint="eastAsia" w:ascii="方正小标宋简体" w:hAnsi="方正小标宋简体" w:eastAsia="方正小标宋简体" w:cs="方正小标宋简体"/>
          <w:bCs/>
          <w:sz w:val="44"/>
          <w:szCs w:val="44"/>
          <w:lang w:eastAsia="zh-CN"/>
        </w:rPr>
      </w:pPr>
      <w:r>
        <w:rPr>
          <w:rFonts w:hint="eastAsia" w:ascii="方正小标宋简体" w:hAnsi="方正小标宋简体" w:eastAsia="方正小标宋简体" w:cs="方正小标宋简体"/>
          <w:bCs/>
          <w:sz w:val="48"/>
          <w:szCs w:val="48"/>
        </w:rPr>
        <w:t>咸宁市新能源汽车充电设施专项规划</w:t>
      </w:r>
      <w:r>
        <w:rPr>
          <w:rFonts w:hint="eastAsia" w:ascii="方正小标宋简体" w:hAnsi="方正小标宋简体" w:eastAsia="方正小标宋简体" w:cs="方正小标宋简体"/>
          <w:bCs/>
          <w:sz w:val="44"/>
          <w:szCs w:val="44"/>
          <w:lang w:eastAsia="zh-CN"/>
        </w:rPr>
        <w:t>（</w:t>
      </w:r>
      <w:r>
        <w:rPr>
          <w:rFonts w:hint="eastAsia" w:ascii="方正小标宋简体" w:hAnsi="方正小标宋简体" w:eastAsia="方正小标宋简体" w:cs="方正小标宋简体"/>
          <w:bCs/>
          <w:sz w:val="44"/>
          <w:szCs w:val="44"/>
          <w:lang w:val="en-US" w:eastAsia="zh-CN"/>
        </w:rPr>
        <w:t>2022-2030</w:t>
      </w:r>
      <w:r>
        <w:rPr>
          <w:rFonts w:hint="eastAsia" w:ascii="方正小标宋简体" w:hAnsi="方正小标宋简体" w:eastAsia="方正小标宋简体" w:cs="方正小标宋简体"/>
          <w:bCs/>
          <w:sz w:val="44"/>
          <w:szCs w:val="44"/>
          <w:lang w:eastAsia="zh-CN"/>
        </w:rPr>
        <w:t>）</w:t>
      </w:r>
    </w:p>
    <w:p>
      <w:pPr>
        <w:keepNext w:val="0"/>
        <w:keepLines w:val="0"/>
        <w:pageBreakBefore w:val="0"/>
        <w:widowControl w:val="0"/>
        <w:kinsoku/>
        <w:wordWrap/>
        <w:overflowPunct/>
        <w:topLinePunct w:val="0"/>
        <w:autoSpaceDE/>
        <w:autoSpaceDN/>
        <w:bidi w:val="0"/>
        <w:adjustRightInd w:val="0"/>
        <w:snapToGrid w:val="0"/>
        <w:spacing w:line="700" w:lineRule="exact"/>
        <w:ind w:firstLine="0" w:firstLineChars="0"/>
        <w:jc w:val="center"/>
        <w:textAlignment w:val="auto"/>
        <w:rPr>
          <w:rFonts w:hint="eastAsia" w:ascii="方正小标宋简体" w:hAnsi="方正小标宋简体" w:eastAsia="方正小标宋简体" w:cs="方正小标宋简体"/>
          <w:bCs/>
          <w:sz w:val="44"/>
          <w:szCs w:val="44"/>
          <w:lang w:val="en-US" w:eastAsia="zh-CN"/>
        </w:rPr>
      </w:pPr>
      <w:r>
        <w:rPr>
          <w:rFonts w:hint="eastAsia" w:ascii="方正小标宋简体" w:hAnsi="方正小标宋简体" w:eastAsia="方正小标宋简体" w:cs="方正小标宋简体"/>
          <w:bCs/>
          <w:sz w:val="44"/>
          <w:szCs w:val="44"/>
          <w:lang w:eastAsia="zh-CN"/>
        </w:rPr>
        <w:t>（征求意见稿）</w:t>
      </w: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left="0" w:leftChars="0" w:firstLine="0" w:firstLineChars="0"/>
        <w:jc w:val="both"/>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480"/>
        <w:jc w:val="center"/>
        <w:rPr>
          <w:rFonts w:eastAsia="仿宋_GB2312" w:cs="Times New Roman"/>
          <w:color w:val="000000" w:themeColor="text1"/>
          <w:sz w:val="24"/>
          <w14:textFill>
            <w14:solidFill>
              <w14:schemeClr w14:val="tx1"/>
            </w14:solidFill>
          </w14:textFill>
        </w:rPr>
      </w:pPr>
    </w:p>
    <w:p>
      <w:pPr>
        <w:adjustRightInd w:val="0"/>
        <w:snapToGrid w:val="0"/>
        <w:ind w:firstLine="0" w:firstLineChars="0"/>
        <w:jc w:val="center"/>
        <w:rPr>
          <w:rFonts w:eastAsia="仿宋_GB2312" w:cs="Times New Roman"/>
          <w:bCs/>
          <w:color w:val="000000" w:themeColor="text1"/>
          <w:sz w:val="32"/>
          <w:szCs w:val="32"/>
          <w14:textFill>
            <w14:solidFill>
              <w14:schemeClr w14:val="tx1"/>
            </w14:solidFill>
          </w14:textFill>
        </w:rPr>
      </w:pPr>
      <w:r>
        <w:rPr>
          <w:rFonts w:eastAsia="仿宋_GB2312" w:cs="Times New Roman"/>
          <w:bCs/>
          <w:color w:val="000000" w:themeColor="text1"/>
          <w:sz w:val="32"/>
          <w:szCs w:val="32"/>
          <w14:textFill>
            <w14:solidFill>
              <w14:schemeClr w14:val="tx1"/>
            </w14:solidFill>
          </w14:textFill>
        </w:rPr>
        <w:t>咸宁市发展和改革委员会</w:t>
      </w:r>
    </w:p>
    <w:p>
      <w:pPr>
        <w:adjustRightInd w:val="0"/>
        <w:snapToGrid w:val="0"/>
        <w:ind w:firstLine="0" w:firstLineChars="0"/>
        <w:jc w:val="center"/>
        <w:rPr>
          <w:rFonts w:eastAsia="仿宋_GB2312" w:cs="Times New Roman"/>
          <w:bCs/>
          <w:sz w:val="32"/>
          <w:szCs w:val="32"/>
        </w:rPr>
      </w:pPr>
      <w:r>
        <w:rPr>
          <w:rFonts w:eastAsia="仿宋_GB2312" w:cs="Times New Roman"/>
          <w:bCs/>
          <w:sz w:val="32"/>
          <w:szCs w:val="32"/>
        </w:rPr>
        <w:t>咸宁市丰源电力勘测设计有限公司</w:t>
      </w:r>
    </w:p>
    <w:p>
      <w:pPr>
        <w:adjustRightInd w:val="0"/>
        <w:snapToGrid w:val="0"/>
        <w:ind w:firstLine="0" w:firstLineChars="0"/>
        <w:jc w:val="center"/>
        <w:rPr>
          <w:rFonts w:eastAsia="仿宋_GB2312" w:cs="Times New Roman"/>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pgNumType w:fmt="upperRoman" w:start="1"/>
          <w:cols w:space="425" w:num="1"/>
          <w:titlePg/>
          <w:docGrid w:type="lines" w:linePitch="312" w:charSpace="0"/>
        </w:sectPr>
      </w:pPr>
      <w:r>
        <w:rPr>
          <w:rFonts w:eastAsia="仿宋_GB2312" w:cs="Times New Roman"/>
          <w:bCs/>
          <w:sz w:val="32"/>
          <w:szCs w:val="32"/>
        </w:rPr>
        <w:t>二</w:t>
      </w:r>
      <w:r>
        <w:rPr>
          <w:rFonts w:eastAsia="微软雅黑" w:cs="Times New Roman"/>
          <w:bCs/>
          <w:sz w:val="32"/>
          <w:szCs w:val="32"/>
        </w:rPr>
        <w:t>〇</w:t>
      </w:r>
      <w:r>
        <w:rPr>
          <w:rFonts w:eastAsia="仿宋_GB2312" w:cs="Times New Roman"/>
          <w:bCs/>
          <w:sz w:val="32"/>
          <w:szCs w:val="32"/>
        </w:rPr>
        <w:t>二二</w:t>
      </w:r>
      <w:r>
        <w:rPr>
          <w:rFonts w:eastAsia="仿宋_GB2312" w:cs="Times New Roman"/>
          <w:bCs/>
          <w:color w:val="000000" w:themeColor="text1"/>
          <w:sz w:val="32"/>
          <w14:textFill>
            <w14:solidFill>
              <w14:schemeClr w14:val="tx1"/>
            </w14:solidFill>
          </w14:textFill>
        </w:rPr>
        <w:t>年</w:t>
      </w:r>
      <w:r>
        <w:rPr>
          <w:rFonts w:hint="eastAsia" w:eastAsia="仿宋_GB2312" w:cs="Times New Roman"/>
          <w:bCs/>
          <w:color w:val="000000" w:themeColor="text1"/>
          <w:sz w:val="32"/>
          <w14:textFill>
            <w14:solidFill>
              <w14:schemeClr w14:val="tx1"/>
            </w14:solidFill>
          </w14:textFill>
        </w:rPr>
        <w:t>十</w:t>
      </w:r>
      <w:r>
        <w:rPr>
          <w:rFonts w:eastAsia="仿宋_GB2312" w:cs="Times New Roman"/>
          <w:bCs/>
          <w:color w:val="000000" w:themeColor="text1"/>
          <w:sz w:val="32"/>
          <w14:textFill>
            <w14:solidFill>
              <w14:schemeClr w14:val="tx1"/>
            </w14:solidFill>
          </w14:textFill>
        </w:rPr>
        <w:t>月</w:t>
      </w:r>
      <w:r>
        <w:rPr>
          <w:rFonts w:eastAsia="仿宋_GB2312" w:cs="Times New Roman"/>
        </w:rPr>
        <w:br w:type="page"/>
      </w:r>
    </w:p>
    <w:sdt>
      <w:sdtPr>
        <w:rPr>
          <w:rFonts w:eastAsia="仿宋_GB2312" w:cs="Times New Roman"/>
          <w:color w:val="000000" w:themeColor="text1"/>
          <w:sz w:val="24"/>
          <w:szCs w:val="24"/>
          <w:lang w:val="zh-CN"/>
          <w14:textFill>
            <w14:solidFill>
              <w14:schemeClr w14:val="tx1"/>
            </w14:solidFill>
          </w14:textFill>
        </w:rPr>
        <w:id w:val="1469473956"/>
        <w:docPartObj>
          <w:docPartGallery w:val="Table of Contents"/>
          <w:docPartUnique/>
        </w:docPartObj>
      </w:sdtPr>
      <w:sdtEndPr>
        <w:rPr>
          <w:rFonts w:eastAsia="仿宋_GB2312" w:cs="Times New Roman"/>
          <w:b/>
          <w:bCs/>
          <w:color w:val="000000" w:themeColor="text1"/>
          <w:sz w:val="28"/>
          <w:szCs w:val="28"/>
          <w:lang w:val="zh-CN"/>
          <w14:textFill>
            <w14:solidFill>
              <w14:schemeClr w14:val="tx1"/>
            </w14:solidFill>
          </w14:textFill>
        </w:rPr>
      </w:sdtEndPr>
      <w:sdtContent>
        <w:p>
          <w:pPr>
            <w:adjustRightInd w:val="0"/>
            <w:snapToGrid w:val="0"/>
            <w:spacing w:line="460" w:lineRule="exact"/>
            <w:ind w:firstLine="0" w:firstLineChars="0"/>
            <w:jc w:val="center"/>
            <w:rPr>
              <w:rFonts w:eastAsia="仿宋_GB2312" w:cs="Times New Roman"/>
              <w:b/>
              <w:bCs/>
            </w:rPr>
          </w:pPr>
          <w:r>
            <w:rPr>
              <w:rFonts w:eastAsia="仿宋_GB2312" w:cs="Times New Roman"/>
              <w:b/>
              <w:bCs/>
            </w:rPr>
            <w:t>目录</w:t>
          </w:r>
        </w:p>
        <w:p>
          <w:pPr>
            <w:pStyle w:val="51"/>
            <w:contextualSpacing w:val="0"/>
            <w:rPr>
              <w:rFonts w:asciiTheme="minorHAnsi" w:hAnsiTheme="minorHAnsi" w:eastAsiaTheme="minorEastAsia"/>
              <w:b w:val="0"/>
              <w:sz w:val="21"/>
              <w:szCs w:val="22"/>
            </w:rPr>
          </w:pPr>
          <w:r>
            <w:rPr>
              <w:rFonts w:eastAsia="仿宋_GB2312" w:cs="Times New Roman"/>
              <w:color w:val="000000" w:themeColor="text1"/>
              <w14:textFill>
                <w14:solidFill>
                  <w14:schemeClr w14:val="tx1"/>
                </w14:solidFill>
              </w14:textFill>
            </w:rPr>
            <w:fldChar w:fldCharType="begin"/>
          </w:r>
          <w:r>
            <w:rPr>
              <w:rFonts w:eastAsia="仿宋_GB2312" w:cs="Times New Roman"/>
              <w:color w:val="000000" w:themeColor="text1"/>
              <w14:textFill>
                <w14:solidFill>
                  <w14:schemeClr w14:val="tx1"/>
                </w14:solidFill>
              </w14:textFill>
            </w:rPr>
            <w:instrText xml:space="preserve"> TOC \o "1-3" \h \z \u </w:instrText>
          </w:r>
          <w:r>
            <w:rPr>
              <w:rFonts w:eastAsia="仿宋_GB2312" w:cs="Times New Roman"/>
              <w:color w:val="000000" w:themeColor="text1"/>
              <w14:textFill>
                <w14:solidFill>
                  <w14:schemeClr w14:val="tx1"/>
                </w14:solidFill>
              </w14:textFill>
            </w:rPr>
            <w:fldChar w:fldCharType="separate"/>
          </w:r>
          <w:r>
            <w:fldChar w:fldCharType="begin"/>
          </w:r>
          <w:r>
            <w:instrText xml:space="preserve"> HYPERLINK \l "_Toc117243165" </w:instrText>
          </w:r>
          <w:r>
            <w:fldChar w:fldCharType="separate"/>
          </w:r>
          <w:r>
            <w:rPr>
              <w:rStyle w:val="91"/>
              <w:rFonts w:eastAsia="仿宋_GB2312" w:cs="Times New Roman"/>
              <w14:scene3d>
                <w14:lightRig w14:rig="threePt" w14:dir="t">
                  <w14:rot w14:lat="0" w14:lon="0" w14:rev="0"/>
                </w14:lightRig>
              </w14:scene3d>
            </w:rPr>
            <w:t>第1章</w:t>
          </w:r>
          <w:r>
            <w:rPr>
              <w:rFonts w:asciiTheme="minorHAnsi" w:hAnsiTheme="minorHAnsi" w:eastAsiaTheme="minorEastAsia"/>
              <w:b w:val="0"/>
              <w:sz w:val="21"/>
              <w:szCs w:val="22"/>
            </w:rPr>
            <w:tab/>
          </w:r>
          <w:r>
            <w:rPr>
              <w:rStyle w:val="91"/>
              <w:rFonts w:eastAsia="仿宋_GB2312" w:cs="Times New Roman"/>
            </w:rPr>
            <w:t>前言</w:t>
          </w:r>
          <w:r>
            <w:tab/>
          </w:r>
          <w:r>
            <w:fldChar w:fldCharType="begin"/>
          </w:r>
          <w:r>
            <w:instrText xml:space="preserve"> PAGEREF _Toc117243165 \h </w:instrText>
          </w:r>
          <w:r>
            <w:fldChar w:fldCharType="separate"/>
          </w:r>
          <w:r>
            <w:t>1</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"_Toc117243166" </w:instrText>
          </w:r>
          <w:r>
            <w:fldChar w:fldCharType="separate"/>
          </w:r>
          <w:r>
            <w:rPr>
              <w:rStyle w:val="91"/>
              <w:rFonts w:eastAsia="仿宋_GB2312" w:cs="Times New Roman"/>
              <w14:scene3d>
                <w14:lightRig w14:rig="threePt" w14:dir="t">
                  <w14:rot w14:lat="0" w14:lon="0" w14:rev="0"/>
                </w14:lightRig>
              </w14:scene3d>
            </w:rPr>
            <w:t>1.1</w:t>
          </w:r>
          <w:r>
            <w:rPr>
              <w:rStyle w:val="91"/>
              <w:rFonts w:eastAsia="仿宋_GB2312" w:cs="Times New Roman"/>
            </w:rPr>
            <w:t xml:space="preserve"> 规划背景</w:t>
          </w:r>
          <w:r>
            <w:tab/>
          </w:r>
          <w:r>
            <w:fldChar w:fldCharType="begin"/>
          </w:r>
          <w:r>
            <w:instrText xml:space="preserve"> PAGEREF _Toc117243166 \h </w:instrText>
          </w:r>
          <w:r>
            <w:fldChar w:fldCharType="separate"/>
          </w:r>
          <w:r>
            <w:t>1</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"_Toc117243167" </w:instrText>
          </w:r>
          <w:r>
            <w:fldChar w:fldCharType="separate"/>
          </w:r>
          <w:r>
            <w:rPr>
              <w:rStyle w:val="91"/>
              <w:rFonts w:eastAsia="仿宋_GB2312" w:cs="Times New Roman"/>
              <w14:scene3d>
                <w14:lightRig w14:rig="threePt" w14:dir="t">
                  <w14:rot w14:lat="0" w14:lon="0" w14:rev="0"/>
                </w14:lightRig>
              </w14:scene3d>
            </w:rPr>
            <w:t>1.2</w:t>
          </w:r>
          <w:r>
            <w:rPr>
              <w:rStyle w:val="91"/>
              <w:rFonts w:eastAsia="仿宋_GB2312" w:cs="Times New Roman"/>
            </w:rPr>
            <w:t xml:space="preserve"> 规划范围及年限</w:t>
          </w:r>
          <w:r>
            <w:tab/>
          </w:r>
          <w:r>
            <w:fldChar w:fldCharType="begin"/>
          </w:r>
          <w:r>
            <w:instrText xml:space="preserve"> PAGEREF _Toc117243167 \h </w:instrText>
          </w:r>
          <w:r>
            <w:fldChar w:fldCharType="separate"/>
          </w:r>
          <w:r>
            <w:t>3</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"_Toc117243168" </w:instrText>
          </w:r>
          <w:r>
            <w:fldChar w:fldCharType="separate"/>
          </w:r>
          <w:r>
            <w:rPr>
              <w:rStyle w:val="91"/>
              <w:rFonts w:eastAsia="仿宋_GB2312" w:cs="Times New Roman"/>
              <w14:scene3d>
                <w14:lightRig w14:rig="threePt" w14:dir="t">
                  <w14:rot w14:lat="0" w14:lon="0" w14:rev="0"/>
                </w14:lightRig>
              </w14:scene3d>
            </w:rPr>
            <w:t>1.3</w:t>
          </w:r>
          <w:r>
            <w:rPr>
              <w:rStyle w:val="91"/>
              <w:rFonts w:eastAsia="仿宋_GB2312" w:cs="Times New Roman"/>
            </w:rPr>
            <w:t xml:space="preserve"> 规划思路</w:t>
          </w:r>
          <w:r>
            <w:tab/>
          </w:r>
          <w:r>
            <w:fldChar w:fldCharType="begin"/>
          </w:r>
          <w:r>
            <w:instrText xml:space="preserve"> PAGEREF _Toc117243168 \h </w:instrText>
          </w:r>
          <w:r>
            <w:fldChar w:fldCharType="separate"/>
          </w:r>
          <w:r>
            <w:t>3</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"_Toc117243169" </w:instrText>
          </w:r>
          <w:r>
            <w:fldChar w:fldCharType="separate"/>
          </w:r>
          <w:r>
            <w:rPr>
              <w:rStyle w:val="91"/>
              <w:rFonts w:eastAsia="仿宋_GB2312" w:cs="Times New Roman"/>
              <w14:scene3d>
                <w14:lightRig w14:rig="threePt" w14:dir="t">
                  <w14:rot w14:lat="0" w14:lon="0" w14:rev="0"/>
                </w14:lightRig>
              </w14:scene3d>
            </w:rPr>
            <w:t>1.4</w:t>
          </w:r>
          <w:r>
            <w:rPr>
              <w:rStyle w:val="91"/>
              <w:rFonts w:eastAsia="仿宋_GB2312" w:cs="Times New Roman"/>
            </w:rPr>
            <w:t xml:space="preserve"> 基本原则</w:t>
          </w:r>
          <w:r>
            <w:tab/>
          </w:r>
          <w:r>
            <w:fldChar w:fldCharType="begin"/>
          </w:r>
          <w:r>
            <w:instrText xml:space="preserve"> PAGEREF _Toc117243169 \h </w:instrText>
          </w:r>
          <w:r>
            <w:fldChar w:fldCharType="separate"/>
          </w:r>
          <w:r>
            <w:t>4</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"_Toc117243170" </w:instrText>
          </w:r>
          <w:r>
            <w:fldChar w:fldCharType="separate"/>
          </w:r>
          <w:r>
            <w:rPr>
              <w:rStyle w:val="91"/>
              <w:rFonts w:eastAsia="仿宋_GB2312" w:cs="Times New Roman"/>
              <w14:scene3d>
                <w14:lightRig w14:rig="threePt" w14:dir="t">
                  <w14:rot w14:lat="0" w14:lon="0" w14:rev="0"/>
                </w14:lightRig>
              </w14:scene3d>
            </w:rPr>
            <w:t>1.5</w:t>
          </w:r>
          <w:r>
            <w:rPr>
              <w:rStyle w:val="91"/>
              <w:rFonts w:eastAsia="仿宋_GB2312" w:cs="Times New Roman"/>
            </w:rPr>
            <w:t xml:space="preserve"> 编制依据</w:t>
          </w:r>
          <w:r>
            <w:tab/>
          </w:r>
          <w:r>
            <w:fldChar w:fldCharType="begin"/>
          </w:r>
          <w:r>
            <w:instrText xml:space="preserve"> PAGEREF _Toc117243170 \h </w:instrText>
          </w:r>
          <w:r>
            <w:fldChar w:fldCharType="separate"/>
          </w:r>
          <w:r>
            <w:t>5</w:t>
          </w:r>
          <w:r>
            <w:fldChar w:fldCharType="end"/>
          </w:r>
          <w:r>
            <w:fldChar w:fldCharType="end"/>
          </w:r>
        </w:p>
        <w:p>
          <w:pPr>
            <w:pStyle w:val="51"/>
            <w:contextualSpacing w:val="0"/>
            <w:rPr>
              <w:rFonts w:asciiTheme="minorHAnsi" w:hAnsiTheme="minorHAnsi" w:eastAsiaTheme="minorEastAsia"/>
              <w:b w:val="0"/>
              <w:sz w:val="21"/>
              <w:szCs w:val="22"/>
            </w:rPr>
          </w:pPr>
          <w:r>
            <w:fldChar w:fldCharType="begin"/>
          </w:r>
          <w:r>
            <w:instrText xml:space="preserve"> HYPERLINK \l "_Toc117243171" </w:instrText>
          </w:r>
          <w:r>
            <w:fldChar w:fldCharType="separate"/>
          </w:r>
          <w:r>
            <w:rPr>
              <w:rStyle w:val="91"/>
              <w:rFonts w:eastAsia="仿宋_GB2312" w:cs="Times New Roman"/>
              <w14:scene3d>
                <w14:lightRig w14:rig="threePt" w14:dir="t">
                  <w14:rot w14:lat="0" w14:lon="0" w14:rev="0"/>
                </w14:lightRig>
              </w14:scene3d>
            </w:rPr>
            <w:t>第2章</w:t>
          </w:r>
          <w:r>
            <w:rPr>
              <w:rFonts w:asciiTheme="minorHAnsi" w:hAnsiTheme="minorHAnsi" w:eastAsiaTheme="minorEastAsia"/>
              <w:b w:val="0"/>
              <w:sz w:val="21"/>
              <w:szCs w:val="22"/>
            </w:rPr>
            <w:tab/>
          </w:r>
          <w:r>
            <w:rPr>
              <w:rStyle w:val="91"/>
              <w:rFonts w:eastAsia="仿宋_GB2312" w:cs="Times New Roman"/>
            </w:rPr>
            <w:t>发展现状</w:t>
          </w:r>
          <w:r>
            <w:tab/>
          </w:r>
          <w:r>
            <w:fldChar w:fldCharType="begin"/>
          </w:r>
          <w:r>
            <w:instrText xml:space="preserve"> PAGEREF _Toc117243171 \h </w:instrText>
          </w:r>
          <w:r>
            <w:fldChar w:fldCharType="separate"/>
          </w:r>
          <w:r>
            <w:t>8</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"_Toc117243172" </w:instrText>
          </w:r>
          <w:r>
            <w:fldChar w:fldCharType="separate"/>
          </w:r>
          <w:r>
            <w:rPr>
              <w:rStyle w:val="91"/>
              <w:rFonts w:eastAsia="仿宋_GB2312" w:cs="Times New Roman"/>
              <w14:scene3d>
                <w14:lightRig w14:rig="threePt" w14:dir="t">
                  <w14:rot w14:lat="0" w14:lon="0" w14:rev="0"/>
                </w14:lightRig>
              </w14:scene3d>
            </w:rPr>
            <w:t>2.1</w:t>
          </w:r>
          <w:r>
            <w:rPr>
              <w:rStyle w:val="91"/>
              <w:rFonts w:eastAsia="仿宋_GB2312" w:cs="Times New Roman"/>
            </w:rPr>
            <w:t xml:space="preserve"> 社会经济发展现状</w:t>
          </w:r>
          <w:r>
            <w:tab/>
          </w:r>
          <w:r>
            <w:fldChar w:fldCharType="begin"/>
          </w:r>
          <w:r>
            <w:instrText xml:space="preserve"> PAGEREF _Toc117243172 \h </w:instrText>
          </w:r>
          <w:r>
            <w:fldChar w:fldCharType="separate"/>
          </w:r>
          <w:r>
            <w:t>8</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"_Toc117243173" </w:instrText>
          </w:r>
          <w:r>
            <w:fldChar w:fldCharType="separate"/>
          </w:r>
          <w:r>
            <w:rPr>
              <w:rStyle w:val="91"/>
              <w:rFonts w:eastAsia="仿宋_GB2312"/>
              <w14:scene3d>
                <w14:lightRig w14:rig="threePt" w14:dir="t">
                  <w14:rot w14:lat="0" w14:lon="0" w14:rev="0"/>
                </w14:lightRig>
              </w14:scene3d>
            </w:rPr>
            <w:t>2.1.1</w:t>
          </w:r>
          <w:r>
            <w:rPr>
              <w:rStyle w:val="91"/>
              <w:rFonts w:eastAsia="仿宋_GB2312"/>
            </w:rPr>
            <w:t xml:space="preserve"> 地区总体情况</w:t>
          </w:r>
          <w:r>
            <w:tab/>
          </w:r>
          <w:r>
            <w:fldChar w:fldCharType="begin"/>
          </w:r>
          <w:r>
            <w:instrText xml:space="preserve"> PAGEREF _Toc117243173 \h </w:instrText>
          </w:r>
          <w:r>
            <w:fldChar w:fldCharType="separate"/>
          </w:r>
          <w:r>
            <w:t>8</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"_Toc117243174" </w:instrText>
          </w:r>
          <w:r>
            <w:fldChar w:fldCharType="separate"/>
          </w:r>
          <w:r>
            <w:rPr>
              <w:rStyle w:val="91"/>
              <w:rFonts w:eastAsia="仿宋_GB2312"/>
              <w14:scene3d>
                <w14:lightRig w14:rig="threePt" w14:dir="t">
                  <w14:rot w14:lat="0" w14:lon="0" w14:rev="0"/>
                </w14:lightRig>
              </w14:scene3d>
            </w:rPr>
            <w:t>2.1.2</w:t>
          </w:r>
          <w:r>
            <w:rPr>
              <w:rStyle w:val="91"/>
              <w:rFonts w:eastAsia="仿宋_GB2312"/>
            </w:rPr>
            <w:t xml:space="preserve"> 经济发展现状</w:t>
          </w:r>
          <w:r>
            <w:tab/>
          </w:r>
          <w:r>
            <w:fldChar w:fldCharType="begin"/>
          </w:r>
          <w:r>
            <w:instrText xml:space="preserve"> PAGEREF _Toc117243174 \h </w:instrText>
          </w:r>
          <w:r>
            <w:fldChar w:fldCharType="separate"/>
          </w:r>
          <w:r>
            <w:t>9</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"_Toc117243175" </w:instrText>
          </w:r>
          <w:r>
            <w:fldChar w:fldCharType="separate"/>
          </w:r>
          <w:r>
            <w:rPr>
              <w:rStyle w:val="91"/>
              <w:rFonts w:eastAsia="仿宋_GB2312"/>
              <w14:scene3d>
                <w14:lightRig w14:rig="threePt" w14:dir="t">
                  <w14:rot w14:lat="0" w14:lon="0" w14:rev="0"/>
                </w14:lightRig>
              </w14:scene3d>
            </w:rPr>
            <w:t>2.1.3</w:t>
          </w:r>
          <w:r>
            <w:rPr>
              <w:rStyle w:val="91"/>
              <w:rFonts w:eastAsia="仿宋_GB2312"/>
            </w:rPr>
            <w:t xml:space="preserve"> 道路交通现状</w:t>
          </w:r>
          <w:r>
            <w:tab/>
          </w:r>
          <w:r>
            <w:fldChar w:fldCharType="begin"/>
          </w:r>
          <w:r>
            <w:instrText xml:space="preserve"> PAGEREF _Toc117243175 \h </w:instrText>
          </w:r>
          <w:r>
            <w:fldChar w:fldCharType="separate"/>
          </w:r>
          <w:r>
            <w:t>10</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"_Toc117243176" </w:instrText>
          </w:r>
          <w:r>
            <w:fldChar w:fldCharType="separate"/>
          </w:r>
          <w:r>
            <w:rPr>
              <w:rStyle w:val="91"/>
              <w:rFonts w:eastAsia="仿宋_GB2312" w:cs="Times New Roman"/>
              <w14:scene3d>
                <w14:lightRig w14:rig="threePt" w14:dir="t">
                  <w14:rot w14:lat="0" w14:lon="0" w14:rev="0"/>
                </w14:lightRig>
              </w14:scene3d>
            </w:rPr>
            <w:t>2.2</w:t>
          </w:r>
          <w:r>
            <w:rPr>
              <w:rStyle w:val="91"/>
              <w:rFonts w:eastAsia="仿宋_GB2312" w:cs="Times New Roman"/>
            </w:rPr>
            <w:t xml:space="preserve"> 新能源汽车及充电设施相关政策分析</w:t>
          </w:r>
          <w:r>
            <w:tab/>
          </w:r>
          <w:r>
            <w:fldChar w:fldCharType="begin"/>
          </w:r>
          <w:r>
            <w:instrText xml:space="preserve"> PAGEREF _Toc117243176 \h </w:instrText>
          </w:r>
          <w:r>
            <w:fldChar w:fldCharType="separate"/>
          </w:r>
          <w:r>
            <w:t>10</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"_Toc117243177" </w:instrText>
          </w:r>
          <w:r>
            <w:fldChar w:fldCharType="separate"/>
          </w:r>
          <w:r>
            <w:rPr>
              <w:rStyle w:val="91"/>
              <w:rFonts w:eastAsia="仿宋_GB2312"/>
              <w14:scene3d>
                <w14:lightRig w14:rig="threePt" w14:dir="t">
                  <w14:rot w14:lat="0" w14:lon="0" w14:rev="0"/>
                </w14:lightRig>
              </w14:scene3d>
            </w:rPr>
            <w:t>2.2.1</w:t>
          </w:r>
          <w:r>
            <w:rPr>
              <w:rStyle w:val="91"/>
              <w:rFonts w:eastAsia="仿宋_GB2312"/>
            </w:rPr>
            <w:t xml:space="preserve"> 国家政策</w:t>
          </w:r>
          <w:r>
            <w:tab/>
          </w:r>
          <w:r>
            <w:fldChar w:fldCharType="begin"/>
          </w:r>
          <w:r>
            <w:instrText xml:space="preserve"> PAGEREF _Toc117243177 \h </w:instrText>
          </w:r>
          <w:r>
            <w:fldChar w:fldCharType="separate"/>
          </w:r>
          <w:r>
            <w:t>10</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"_Toc117243178" </w:instrText>
          </w:r>
          <w:r>
            <w:fldChar w:fldCharType="separate"/>
          </w:r>
          <w:r>
            <w:rPr>
              <w:rStyle w:val="91"/>
              <w:rFonts w:eastAsia="仿宋_GB2312"/>
              <w14:scene3d>
                <w14:lightRig w14:rig="threePt" w14:dir="t">
                  <w14:rot w14:lat="0" w14:lon="0" w14:rev="0"/>
                </w14:lightRig>
              </w14:scene3d>
            </w:rPr>
            <w:t>2.2.2</w:t>
          </w:r>
          <w:r>
            <w:rPr>
              <w:rStyle w:val="91"/>
              <w:rFonts w:eastAsia="仿宋_GB2312"/>
            </w:rPr>
            <w:t xml:space="preserve"> 湖北政策</w:t>
          </w:r>
          <w:r>
            <w:tab/>
          </w:r>
          <w:r>
            <w:fldChar w:fldCharType="begin"/>
          </w:r>
          <w:r>
            <w:instrText xml:space="preserve"> PAGEREF _Toc117243178 \h </w:instrText>
          </w:r>
          <w:r>
            <w:fldChar w:fldCharType="separate"/>
          </w:r>
          <w:r>
            <w:t>13</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"_Toc117243179" </w:instrText>
          </w:r>
          <w:r>
            <w:fldChar w:fldCharType="separate"/>
          </w:r>
          <w:r>
            <w:rPr>
              <w:rStyle w:val="91"/>
              <w:rFonts w:eastAsia="仿宋_GB2312"/>
              <w14:scene3d>
                <w14:lightRig w14:rig="threePt" w14:dir="t">
                  <w14:rot w14:lat="0" w14:lon="0" w14:rev="0"/>
                </w14:lightRig>
              </w14:scene3d>
            </w:rPr>
            <w:t>2.2.3</w:t>
          </w:r>
          <w:r>
            <w:rPr>
              <w:rStyle w:val="91"/>
              <w:rFonts w:eastAsia="仿宋_GB2312"/>
            </w:rPr>
            <w:t xml:space="preserve"> 咸宁政策</w:t>
          </w:r>
          <w:r>
            <w:tab/>
          </w:r>
          <w:r>
            <w:fldChar w:fldCharType="begin"/>
          </w:r>
          <w:r>
            <w:instrText xml:space="preserve"> PAGEREF _Toc117243179 \h </w:instrText>
          </w:r>
          <w:r>
            <w:fldChar w:fldCharType="separate"/>
          </w:r>
          <w:r>
            <w:t>14</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"_Toc117243180" </w:instrText>
          </w:r>
          <w:r>
            <w:fldChar w:fldCharType="separate"/>
          </w:r>
          <w:r>
            <w:rPr>
              <w:rStyle w:val="91"/>
              <w:rFonts w:eastAsia="仿宋_GB2312" w:cs="Times New Roman"/>
              <w14:scene3d>
                <w14:lightRig w14:rig="threePt" w14:dir="t">
                  <w14:rot w14:lat="0" w14:lon="0" w14:rev="0"/>
                </w14:lightRig>
              </w14:scene3d>
            </w:rPr>
            <w:t>2.3</w:t>
          </w:r>
          <w:r>
            <w:rPr>
              <w:rStyle w:val="91"/>
              <w:rFonts w:eastAsia="仿宋_GB2312" w:cs="Times New Roman"/>
            </w:rPr>
            <w:t xml:space="preserve"> 新能源汽车及充电设施现状</w:t>
          </w:r>
          <w:r>
            <w:tab/>
          </w:r>
          <w:r>
            <w:fldChar w:fldCharType="begin"/>
          </w:r>
          <w:r>
            <w:instrText xml:space="preserve"> PAGEREF _Toc117243180 \h </w:instrText>
          </w:r>
          <w:r>
            <w:fldChar w:fldCharType="separate"/>
          </w:r>
          <w:r>
            <w:t>15</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"_Toc117243181" </w:instrText>
          </w:r>
          <w:r>
            <w:fldChar w:fldCharType="separate"/>
          </w:r>
          <w:r>
            <w:rPr>
              <w:rStyle w:val="91"/>
              <w:rFonts w:eastAsia="仿宋_GB2312"/>
              <w14:scene3d>
                <w14:lightRig w14:rig="threePt" w14:dir="t">
                  <w14:rot w14:lat="0" w14:lon="0" w14:rev="0"/>
                </w14:lightRig>
              </w14:scene3d>
            </w:rPr>
            <w:t>2.3.1</w:t>
          </w:r>
          <w:r>
            <w:rPr>
              <w:rStyle w:val="91"/>
              <w:rFonts w:eastAsia="仿宋_GB2312"/>
            </w:rPr>
            <w:t xml:space="preserve"> 国内发展现状</w:t>
          </w:r>
          <w:r>
            <w:tab/>
          </w:r>
          <w:r>
            <w:fldChar w:fldCharType="begin"/>
          </w:r>
          <w:r>
            <w:instrText xml:space="preserve"> PAGEREF _Toc117243181 \h </w:instrText>
          </w:r>
          <w:r>
            <w:fldChar w:fldCharType="separate"/>
          </w:r>
          <w:r>
            <w:t>15</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"_Toc117243182" </w:instrText>
          </w:r>
          <w:r>
            <w:fldChar w:fldCharType="separate"/>
          </w:r>
          <w:r>
            <w:rPr>
              <w:rStyle w:val="91"/>
              <w:rFonts w:eastAsia="仿宋_GB2312"/>
              <w14:scene3d>
                <w14:lightRig w14:rig="threePt" w14:dir="t">
                  <w14:rot w14:lat="0" w14:lon="0" w14:rev="0"/>
                </w14:lightRig>
              </w14:scene3d>
            </w:rPr>
            <w:t>2.3.2</w:t>
          </w:r>
          <w:r>
            <w:rPr>
              <w:rStyle w:val="91"/>
              <w:rFonts w:eastAsia="仿宋_GB2312"/>
            </w:rPr>
            <w:t xml:space="preserve"> 咸宁市发展现状</w:t>
          </w:r>
          <w:r>
            <w:tab/>
          </w:r>
          <w:r>
            <w:fldChar w:fldCharType="begin"/>
          </w:r>
          <w:r>
            <w:instrText xml:space="preserve"> PAGEREF _Toc117243182 \h </w:instrText>
          </w:r>
          <w:r>
            <w:fldChar w:fldCharType="separate"/>
          </w:r>
          <w:r>
            <w:t>16</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"_Toc117243183" </w:instrText>
          </w:r>
          <w:r>
            <w:fldChar w:fldCharType="separate"/>
          </w:r>
          <w:r>
            <w:rPr>
              <w:rStyle w:val="91"/>
              <w:rFonts w:eastAsia="仿宋_GB2312" w:cs="Times New Roman"/>
              <w14:scene3d>
                <w14:lightRig w14:rig="threePt" w14:dir="t">
                  <w14:rot w14:lat="0" w14:lon="0" w14:rev="0"/>
                </w14:lightRig>
              </w14:scene3d>
            </w:rPr>
            <w:t>2.4</w:t>
          </w:r>
          <w:r>
            <w:rPr>
              <w:rStyle w:val="91"/>
              <w:rFonts w:eastAsia="仿宋_GB2312" w:cs="Times New Roman"/>
            </w:rPr>
            <w:t xml:space="preserve"> 问题与挑战</w:t>
          </w:r>
          <w:r>
            <w:tab/>
          </w:r>
          <w:r>
            <w:fldChar w:fldCharType="begin"/>
          </w:r>
          <w:r>
            <w:instrText xml:space="preserve"> PAGEREF _Toc117243183 \h </w:instrText>
          </w:r>
          <w:r>
            <w:fldChar w:fldCharType="separate"/>
          </w:r>
          <w:r>
            <w:t>37</w:t>
          </w:r>
          <w:r>
            <w:fldChar w:fldCharType="end"/>
          </w:r>
          <w:r>
            <w:fldChar w:fldCharType="end"/>
          </w:r>
        </w:p>
        <w:p>
          <w:pPr>
            <w:pStyle w:val="51"/>
            <w:contextualSpacing w:val="0"/>
            <w:rPr>
              <w:rFonts w:asciiTheme="minorHAnsi" w:hAnsiTheme="minorHAnsi" w:eastAsiaTheme="minorEastAsia"/>
              <w:b w:val="0"/>
              <w:sz w:val="21"/>
              <w:szCs w:val="22"/>
            </w:rPr>
          </w:pPr>
          <w:r>
            <w:fldChar w:fldCharType="begin"/>
          </w:r>
          <w:r>
            <w:instrText xml:space="preserve"> HYPERLINK \l "_Toc117243184" </w:instrText>
          </w:r>
          <w:r>
            <w:fldChar w:fldCharType="separate"/>
          </w:r>
          <w:r>
            <w:rPr>
              <w:rStyle w:val="91"/>
              <w:rFonts w:eastAsia="仿宋_GB2312" w:cs="Times New Roman"/>
              <w14:scene3d>
                <w14:lightRig w14:rig="threePt" w14:dir="t">
                  <w14:rot w14:lat="0" w14:lon="0" w14:rev="0"/>
                </w14:lightRig>
              </w14:scene3d>
            </w:rPr>
            <w:t>第3章</w:t>
          </w:r>
          <w:r>
            <w:rPr>
              <w:rFonts w:asciiTheme="minorHAnsi" w:hAnsiTheme="minorHAnsi" w:eastAsiaTheme="minorEastAsia"/>
              <w:b w:val="0"/>
              <w:sz w:val="21"/>
              <w:szCs w:val="22"/>
            </w:rPr>
            <w:tab/>
          </w:r>
          <w:r>
            <w:rPr>
              <w:rStyle w:val="91"/>
              <w:rFonts w:eastAsia="仿宋_GB2312" w:cs="Times New Roman"/>
            </w:rPr>
            <w:t>发展趋势研判</w:t>
          </w:r>
          <w:r>
            <w:tab/>
          </w:r>
          <w:r>
            <w:fldChar w:fldCharType="begin"/>
          </w:r>
          <w:r>
            <w:instrText xml:space="preserve"> PAGEREF _Toc117243184 \h </w:instrText>
          </w:r>
          <w:r>
            <w:fldChar w:fldCharType="separate"/>
          </w:r>
          <w:r>
            <w:t>39</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"_Toc117243185" </w:instrText>
          </w:r>
          <w:r>
            <w:fldChar w:fldCharType="separate"/>
          </w:r>
          <w:r>
            <w:rPr>
              <w:rStyle w:val="91"/>
              <w:rFonts w:eastAsia="仿宋_GB2312" w:cs="Times New Roman"/>
              <w14:scene3d>
                <w14:lightRig w14:rig="threePt" w14:dir="t">
                  <w14:rot w14:lat="0" w14:lon="0" w14:rev="0"/>
                </w14:lightRig>
              </w14:scene3d>
            </w:rPr>
            <w:t>3.1</w:t>
          </w:r>
          <w:r>
            <w:rPr>
              <w:rStyle w:val="91"/>
              <w:rFonts w:eastAsia="仿宋_GB2312" w:cs="Times New Roman"/>
            </w:rPr>
            <w:t xml:space="preserve"> 充电场景分析</w:t>
          </w:r>
          <w:r>
            <w:tab/>
          </w:r>
          <w:r>
            <w:fldChar w:fldCharType="begin"/>
          </w:r>
          <w:r>
            <w:instrText xml:space="preserve"> PAGEREF _Toc117243185 \h </w:instrText>
          </w:r>
          <w:r>
            <w:fldChar w:fldCharType="separate"/>
          </w:r>
          <w:r>
            <w:t>39</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"_Toc117243186" </w:instrText>
          </w:r>
          <w:r>
            <w:fldChar w:fldCharType="separate"/>
          </w:r>
          <w:r>
            <w:rPr>
              <w:rStyle w:val="91"/>
              <w:rFonts w:eastAsia="仿宋_GB2312"/>
              <w14:scene3d>
                <w14:lightRig w14:rig="threePt" w14:dir="t">
                  <w14:rot w14:lat="0" w14:lon="0" w14:rev="0"/>
                </w14:lightRig>
              </w14:scene3d>
            </w:rPr>
            <w:t>3.1.1</w:t>
          </w:r>
          <w:r>
            <w:rPr>
              <w:rStyle w:val="91"/>
              <w:rFonts w:eastAsia="仿宋_GB2312"/>
            </w:rPr>
            <w:t xml:space="preserve"> 新能源公交车场景分析</w:t>
          </w:r>
          <w:r>
            <w:tab/>
          </w:r>
          <w:r>
            <w:fldChar w:fldCharType="begin"/>
          </w:r>
          <w:r>
            <w:instrText xml:space="preserve"> PAGEREF _Toc117243186 \h </w:instrText>
          </w:r>
          <w:r>
            <w:fldChar w:fldCharType="separate"/>
          </w:r>
          <w:r>
            <w:t>39</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"_Toc117243187" </w:instrText>
          </w:r>
          <w:r>
            <w:fldChar w:fldCharType="separate"/>
          </w:r>
          <w:r>
            <w:rPr>
              <w:rStyle w:val="91"/>
              <w:rFonts w:eastAsia="仿宋_GB2312"/>
              <w14:scene3d>
                <w14:lightRig w14:rig="threePt" w14:dir="t">
                  <w14:rot w14:lat="0" w14:lon="0" w14:rev="0"/>
                </w14:lightRig>
              </w14:scene3d>
            </w:rPr>
            <w:t>3.1.2</w:t>
          </w:r>
          <w:r>
            <w:rPr>
              <w:rStyle w:val="91"/>
              <w:rFonts w:eastAsia="仿宋_GB2312"/>
            </w:rPr>
            <w:t xml:space="preserve"> 新能源物流车场景分析</w:t>
          </w:r>
          <w:r>
            <w:tab/>
          </w:r>
          <w:r>
            <w:fldChar w:fldCharType="begin"/>
          </w:r>
          <w:r>
            <w:instrText xml:space="preserve"> PAGEREF _Toc117243187 \h </w:instrText>
          </w:r>
          <w:r>
            <w:fldChar w:fldCharType="separate"/>
          </w:r>
          <w:r>
            <w:t>40</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"_Toc117243188" </w:instrText>
          </w:r>
          <w:r>
            <w:fldChar w:fldCharType="separate"/>
          </w:r>
          <w:r>
            <w:rPr>
              <w:rStyle w:val="91"/>
              <w:rFonts w:eastAsia="仿宋_GB2312"/>
              <w14:scene3d>
                <w14:lightRig w14:rig="threePt" w14:dir="t">
                  <w14:rot w14:lat="0" w14:lon="0" w14:rev="0"/>
                </w14:lightRig>
              </w14:scene3d>
            </w:rPr>
            <w:t>3.1.3</w:t>
          </w:r>
          <w:r>
            <w:rPr>
              <w:rStyle w:val="91"/>
              <w:rFonts w:eastAsia="仿宋_GB2312"/>
            </w:rPr>
            <w:t xml:space="preserve"> 新能源环卫车场景分析</w:t>
          </w:r>
          <w:r>
            <w:tab/>
          </w:r>
          <w:r>
            <w:fldChar w:fldCharType="begin"/>
          </w:r>
          <w:r>
            <w:instrText xml:space="preserve"> PAGEREF _Toc117243188 \h </w:instrText>
          </w:r>
          <w:r>
            <w:fldChar w:fldCharType="separate"/>
          </w:r>
          <w:r>
            <w:t>40</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"_Toc117243189" </w:instrText>
          </w:r>
          <w:r>
            <w:fldChar w:fldCharType="separate"/>
          </w:r>
          <w:r>
            <w:rPr>
              <w:rStyle w:val="91"/>
              <w:rFonts w:eastAsia="仿宋_GB2312"/>
              <w14:scene3d>
                <w14:lightRig w14:rig="threePt" w14:dir="t">
                  <w14:rot w14:lat="0" w14:lon="0" w14:rev="0"/>
                </w14:lightRig>
              </w14:scene3d>
            </w:rPr>
            <w:t>3.1.4</w:t>
          </w:r>
          <w:r>
            <w:rPr>
              <w:rStyle w:val="91"/>
              <w:rFonts w:eastAsia="仿宋_GB2312"/>
            </w:rPr>
            <w:t xml:space="preserve"> 新能源出租车场景分析</w:t>
          </w:r>
          <w:r>
            <w:tab/>
          </w:r>
          <w:r>
            <w:fldChar w:fldCharType="begin"/>
          </w:r>
          <w:r>
            <w:instrText xml:space="preserve"> PAGEREF _Toc117243189 \h </w:instrText>
          </w:r>
          <w:r>
            <w:fldChar w:fldCharType="separate"/>
          </w:r>
          <w:r>
            <w:t>41</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"_Toc117243190" </w:instrText>
          </w:r>
          <w:r>
            <w:fldChar w:fldCharType="separate"/>
          </w:r>
          <w:r>
            <w:rPr>
              <w:rStyle w:val="91"/>
              <w:rFonts w:eastAsia="仿宋_GB2312"/>
              <w14:scene3d>
                <w14:lightRig w14:rig="threePt" w14:dir="t">
                  <w14:rot w14:lat="0" w14:lon="0" w14:rev="0"/>
                </w14:lightRig>
              </w14:scene3d>
            </w:rPr>
            <w:t>3.1.5</w:t>
          </w:r>
          <w:r>
            <w:rPr>
              <w:rStyle w:val="91"/>
              <w:rFonts w:eastAsia="仿宋_GB2312"/>
            </w:rPr>
            <w:t xml:space="preserve"> 新能源私家车场景分析</w:t>
          </w:r>
          <w:r>
            <w:tab/>
          </w:r>
          <w:r>
            <w:fldChar w:fldCharType="begin"/>
          </w:r>
          <w:r>
            <w:instrText xml:space="preserve"> PAGEREF _Toc117243190 \h </w:instrText>
          </w:r>
          <w:r>
            <w:fldChar w:fldCharType="separate"/>
          </w:r>
          <w:r>
            <w:t>42</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"_Toc117243191" </w:instrText>
          </w:r>
          <w:r>
            <w:fldChar w:fldCharType="separate"/>
          </w:r>
          <w:r>
            <w:rPr>
              <w:rStyle w:val="91"/>
              <w:rFonts w:eastAsia="仿宋_GB2312"/>
              <w14:scene3d>
                <w14:lightRig w14:rig="threePt" w14:dir="t">
                  <w14:rot w14:lat="0" w14:lon="0" w14:rev="0"/>
                </w14:lightRig>
              </w14:scene3d>
            </w:rPr>
            <w:t>3.1.6</w:t>
          </w:r>
          <w:r>
            <w:rPr>
              <w:rStyle w:val="91"/>
              <w:rFonts w:eastAsia="仿宋_GB2312"/>
            </w:rPr>
            <w:t xml:space="preserve"> 新能源车自驾游场景分析</w:t>
          </w:r>
          <w:r>
            <w:tab/>
          </w:r>
          <w:r>
            <w:fldChar w:fldCharType="begin"/>
          </w:r>
          <w:r>
            <w:instrText xml:space="preserve"> PAGEREF _Toc117243191 \h </w:instrText>
          </w:r>
          <w:r>
            <w:fldChar w:fldCharType="separate"/>
          </w:r>
          <w:r>
            <w:t>43</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"_Toc117243192" </w:instrText>
          </w:r>
          <w:r>
            <w:fldChar w:fldCharType="separate"/>
          </w:r>
          <w:r>
            <w:rPr>
              <w:rStyle w:val="91"/>
              <w:rFonts w:eastAsia="仿宋_GB2312" w:cs="Times New Roman"/>
              <w14:scene3d>
                <w14:lightRig w14:rig="threePt" w14:dir="t">
                  <w14:rot w14:lat="0" w14:lon="0" w14:rev="0"/>
                </w14:lightRig>
              </w14:scene3d>
            </w:rPr>
            <w:t>3.2</w:t>
          </w:r>
          <w:r>
            <w:rPr>
              <w:rStyle w:val="91"/>
              <w:rFonts w:eastAsia="仿宋_GB2312" w:cs="Times New Roman"/>
            </w:rPr>
            <w:t xml:space="preserve"> 充电设施预测思路及方法</w:t>
          </w:r>
          <w:r>
            <w:tab/>
          </w:r>
          <w:r>
            <w:fldChar w:fldCharType="begin"/>
          </w:r>
          <w:r>
            <w:instrText xml:space="preserve"> PAGEREF _Toc117243192 \h </w:instrText>
          </w:r>
          <w:r>
            <w:fldChar w:fldCharType="separate"/>
          </w:r>
          <w:r>
            <w:t>45</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"_Toc117243193" </w:instrText>
          </w:r>
          <w:r>
            <w:fldChar w:fldCharType="separate"/>
          </w:r>
          <w:r>
            <w:rPr>
              <w:rStyle w:val="91"/>
              <w:rFonts w:eastAsia="仿宋_GB2312"/>
              <w14:scene3d>
                <w14:lightRig w14:rig="threePt" w14:dir="t">
                  <w14:rot w14:lat="0" w14:lon="0" w14:rev="0"/>
                </w14:lightRig>
              </w14:scene3d>
            </w:rPr>
            <w:t>3.2.1</w:t>
          </w:r>
          <w:r>
            <w:rPr>
              <w:rStyle w:val="91"/>
              <w:rFonts w:eastAsia="仿宋_GB2312"/>
            </w:rPr>
            <w:t xml:space="preserve"> 预测思路</w:t>
          </w:r>
          <w:r>
            <w:tab/>
          </w:r>
          <w:r>
            <w:fldChar w:fldCharType="begin"/>
          </w:r>
          <w:r>
            <w:instrText xml:space="preserve"> PAGEREF _Toc117243193 \h </w:instrText>
          </w:r>
          <w:r>
            <w:fldChar w:fldCharType="separate"/>
          </w:r>
          <w:r>
            <w:t>45</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"_Toc117243194" </w:instrText>
          </w:r>
          <w:r>
            <w:fldChar w:fldCharType="separate"/>
          </w:r>
          <w:r>
            <w:rPr>
              <w:rStyle w:val="91"/>
              <w:rFonts w:eastAsia="仿宋_GB2312"/>
              <w14:scene3d>
                <w14:lightRig w14:rig="threePt" w14:dir="t">
                  <w14:rot w14:lat="0" w14:lon="0" w14:rev="0"/>
                </w14:lightRig>
              </w14:scene3d>
            </w:rPr>
            <w:t>3.2.2</w:t>
          </w:r>
          <w:r>
            <w:rPr>
              <w:rStyle w:val="91"/>
              <w:rFonts w:eastAsia="仿宋_GB2312"/>
            </w:rPr>
            <w:t xml:space="preserve"> 新能源汽车保有量预测方法</w:t>
          </w:r>
          <w:r>
            <w:tab/>
          </w:r>
          <w:r>
            <w:fldChar w:fldCharType="begin"/>
          </w:r>
          <w:r>
            <w:instrText xml:space="preserve"> PAGEREF _Toc117243194 \h </w:instrText>
          </w:r>
          <w:r>
            <w:fldChar w:fldCharType="separate"/>
          </w:r>
          <w:r>
            <w:t>46</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"_Toc117243195" </w:instrText>
          </w:r>
          <w:r>
            <w:fldChar w:fldCharType="separate"/>
          </w:r>
          <w:r>
            <w:rPr>
              <w:rStyle w:val="91"/>
              <w:rFonts w:eastAsia="仿宋_GB2312"/>
              <w14:scene3d>
                <w14:lightRig w14:rig="threePt" w14:dir="t">
                  <w14:rot w14:lat="0" w14:lon="0" w14:rev="0"/>
                </w14:lightRig>
              </w14:scene3d>
            </w:rPr>
            <w:t>3.2.3</w:t>
          </w:r>
          <w:r>
            <w:rPr>
              <w:rStyle w:val="91"/>
              <w:rFonts w:eastAsia="仿宋_GB2312"/>
            </w:rPr>
            <w:t xml:space="preserve"> 充电设施需求预测方法</w:t>
          </w:r>
          <w:r>
            <w:tab/>
          </w:r>
          <w:r>
            <w:fldChar w:fldCharType="begin"/>
          </w:r>
          <w:r>
            <w:instrText xml:space="preserve"> PAGEREF _Toc117243195 \h </w:instrText>
          </w:r>
          <w:r>
            <w:fldChar w:fldCharType="separate"/>
          </w:r>
          <w:r>
            <w:t>47</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"_Toc117243196" </w:instrText>
          </w:r>
          <w:r>
            <w:fldChar w:fldCharType="separate"/>
          </w:r>
          <w:r>
            <w:rPr>
              <w:rStyle w:val="91"/>
              <w:rFonts w:eastAsia="仿宋_GB2312" w:cs="Times New Roman"/>
              <w14:scene3d>
                <w14:lightRig w14:rig="threePt" w14:dir="t">
                  <w14:rot w14:lat="0" w14:lon="0" w14:rev="0"/>
                </w14:lightRig>
              </w14:scene3d>
            </w:rPr>
            <w:t>3.3</w:t>
          </w:r>
          <w:r>
            <w:rPr>
              <w:rStyle w:val="91"/>
              <w:rFonts w:eastAsia="仿宋_GB2312" w:cs="Times New Roman"/>
            </w:rPr>
            <w:t xml:space="preserve"> 新能源汽车保有量预测</w:t>
          </w:r>
          <w:r>
            <w:tab/>
          </w:r>
          <w:r>
            <w:fldChar w:fldCharType="begin"/>
          </w:r>
          <w:r>
            <w:instrText xml:space="preserve"> PAGEREF _Toc117243196 \h </w:instrText>
          </w:r>
          <w:r>
            <w:fldChar w:fldCharType="separate"/>
          </w:r>
          <w:r>
            <w:t>48</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"_Toc117243197" </w:instrText>
          </w:r>
          <w:r>
            <w:fldChar w:fldCharType="separate"/>
          </w:r>
          <w:r>
            <w:rPr>
              <w:rStyle w:val="91"/>
              <w:rFonts w:eastAsia="仿宋_GB2312"/>
              <w14:scene3d>
                <w14:lightRig w14:rig="threePt" w14:dir="t">
                  <w14:rot w14:lat="0" w14:lon="0" w14:rev="0"/>
                </w14:lightRig>
              </w14:scene3d>
            </w:rPr>
            <w:t>3.3.1</w:t>
          </w:r>
          <w:r>
            <w:rPr>
              <w:rStyle w:val="91"/>
              <w:rFonts w:eastAsia="仿宋_GB2312"/>
            </w:rPr>
            <w:t xml:space="preserve"> 新能源公交车</w:t>
          </w:r>
          <w:r>
            <w:tab/>
          </w:r>
          <w:r>
            <w:fldChar w:fldCharType="begin"/>
          </w:r>
          <w:r>
            <w:instrText xml:space="preserve"> PAGEREF _Toc117243197 \h </w:instrText>
          </w:r>
          <w:r>
            <w:fldChar w:fldCharType="separate"/>
          </w:r>
          <w:r>
            <w:t>48</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"_Toc117243198" </w:instrText>
          </w:r>
          <w:r>
            <w:fldChar w:fldCharType="separate"/>
          </w:r>
          <w:r>
            <w:rPr>
              <w:rStyle w:val="91"/>
              <w:rFonts w:eastAsia="仿宋_GB2312"/>
              <w14:scene3d>
                <w14:lightRig w14:rig="threePt" w14:dir="t">
                  <w14:rot w14:lat="0" w14:lon="0" w14:rev="0"/>
                </w14:lightRig>
              </w14:scene3d>
            </w:rPr>
            <w:t>3.3.2</w:t>
          </w:r>
          <w:r>
            <w:rPr>
              <w:rStyle w:val="91"/>
              <w:rFonts w:eastAsia="仿宋_GB2312"/>
            </w:rPr>
            <w:t xml:space="preserve"> 新能源物流车</w:t>
          </w:r>
          <w:r>
            <w:tab/>
          </w:r>
          <w:r>
            <w:fldChar w:fldCharType="begin"/>
          </w:r>
          <w:r>
            <w:instrText xml:space="preserve"> PAGEREF _Toc117243198 \h </w:instrText>
          </w:r>
          <w:r>
            <w:fldChar w:fldCharType="separate"/>
          </w:r>
          <w:r>
            <w:t>49</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"_Toc117243199" </w:instrText>
          </w:r>
          <w:r>
            <w:fldChar w:fldCharType="separate"/>
          </w:r>
          <w:r>
            <w:rPr>
              <w:rStyle w:val="91"/>
              <w:rFonts w:eastAsia="仿宋_GB2312"/>
              <w14:scene3d>
                <w14:lightRig w14:rig="threePt" w14:dir="t">
                  <w14:rot w14:lat="0" w14:lon="0" w14:rev="0"/>
                </w14:lightRig>
              </w14:scene3d>
            </w:rPr>
            <w:t>3.3.3</w:t>
          </w:r>
          <w:r>
            <w:rPr>
              <w:rStyle w:val="91"/>
              <w:rFonts w:eastAsia="仿宋_GB2312"/>
            </w:rPr>
            <w:t xml:space="preserve"> 新能源环卫车</w:t>
          </w:r>
          <w:r>
            <w:tab/>
          </w:r>
          <w:r>
            <w:fldChar w:fldCharType="begin"/>
          </w:r>
          <w:r>
            <w:instrText xml:space="preserve"> PAGEREF _Toc117243199 \h </w:instrText>
          </w:r>
          <w:r>
            <w:fldChar w:fldCharType="separate"/>
          </w:r>
          <w:r>
            <w:t>50</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"_Toc117243200" </w:instrText>
          </w:r>
          <w:r>
            <w:fldChar w:fldCharType="separate"/>
          </w:r>
          <w:r>
            <w:rPr>
              <w:rStyle w:val="91"/>
              <w:rFonts w:eastAsia="仿宋_GB2312"/>
              <w14:scene3d>
                <w14:lightRig w14:rig="threePt" w14:dir="t">
                  <w14:rot w14:lat="0" w14:lon="0" w14:rev="0"/>
                </w14:lightRig>
              </w14:scene3d>
            </w:rPr>
            <w:t>3.3.4</w:t>
          </w:r>
          <w:r>
            <w:rPr>
              <w:rStyle w:val="91"/>
              <w:rFonts w:eastAsia="仿宋_GB2312"/>
            </w:rPr>
            <w:t xml:space="preserve"> 新能源出租车</w:t>
          </w:r>
          <w:r>
            <w:tab/>
          </w:r>
          <w:r>
            <w:fldChar w:fldCharType="begin"/>
          </w:r>
          <w:r>
            <w:instrText xml:space="preserve"> PAGEREF _Toc117243200 \h </w:instrText>
          </w:r>
          <w:r>
            <w:fldChar w:fldCharType="separate"/>
          </w:r>
          <w:r>
            <w:t>51</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"_Toc117243201" </w:instrText>
          </w:r>
          <w:r>
            <w:fldChar w:fldCharType="separate"/>
          </w:r>
          <w:r>
            <w:rPr>
              <w:rStyle w:val="91"/>
              <w:rFonts w:eastAsia="仿宋_GB2312"/>
              <w14:scene3d>
                <w14:lightRig w14:rig="threePt" w14:dir="t">
                  <w14:rot w14:lat="0" w14:lon="0" w14:rev="0"/>
                </w14:lightRig>
              </w14:scene3d>
            </w:rPr>
            <w:t>3.3.5</w:t>
          </w:r>
          <w:r>
            <w:rPr>
              <w:rStyle w:val="91"/>
              <w:rFonts w:eastAsia="仿宋_GB2312"/>
            </w:rPr>
            <w:t xml:space="preserve"> 新能源公务车</w:t>
          </w:r>
          <w:r>
            <w:tab/>
          </w:r>
          <w:r>
            <w:fldChar w:fldCharType="begin"/>
          </w:r>
          <w:r>
            <w:instrText xml:space="preserve"> PAGEREF _Toc117243201 \h </w:instrText>
          </w:r>
          <w:r>
            <w:fldChar w:fldCharType="separate"/>
          </w:r>
          <w:r>
            <w:t>53</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"_Toc117243202" </w:instrText>
          </w:r>
          <w:r>
            <w:fldChar w:fldCharType="separate"/>
          </w:r>
          <w:r>
            <w:rPr>
              <w:rStyle w:val="91"/>
              <w:rFonts w:eastAsia="仿宋_GB2312"/>
              <w14:scene3d>
                <w14:lightRig w14:rig="threePt" w14:dir="t">
                  <w14:rot w14:lat="0" w14:lon="0" w14:rev="0"/>
                </w14:lightRig>
              </w14:scene3d>
            </w:rPr>
            <w:t>3.3.6</w:t>
          </w:r>
          <w:r>
            <w:rPr>
              <w:rStyle w:val="91"/>
              <w:rFonts w:eastAsia="仿宋_GB2312"/>
            </w:rPr>
            <w:t xml:space="preserve"> 新能源私家车</w:t>
          </w:r>
          <w:r>
            <w:tab/>
          </w:r>
          <w:r>
            <w:fldChar w:fldCharType="begin"/>
          </w:r>
          <w:r>
            <w:instrText xml:space="preserve"> PAGEREF _Toc117243202 \h </w:instrText>
          </w:r>
          <w:r>
            <w:fldChar w:fldCharType="separate"/>
          </w:r>
          <w:r>
            <w:t>53</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"_Toc117243203" </w:instrText>
          </w:r>
          <w:r>
            <w:fldChar w:fldCharType="separate"/>
          </w:r>
          <w:r>
            <w:rPr>
              <w:rStyle w:val="91"/>
              <w:rFonts w:eastAsia="仿宋_GB2312"/>
              <w14:scene3d>
                <w14:lightRig w14:rig="threePt" w14:dir="t">
                  <w14:rot w14:lat="0" w14:lon="0" w14:rev="0"/>
                </w14:lightRig>
              </w14:scene3d>
            </w:rPr>
            <w:t>3.3.7</w:t>
          </w:r>
          <w:r>
            <w:rPr>
              <w:rStyle w:val="91"/>
              <w:rFonts w:eastAsia="仿宋_GB2312"/>
            </w:rPr>
            <w:t xml:space="preserve"> 规模预测汇总</w:t>
          </w:r>
          <w:r>
            <w:tab/>
          </w:r>
          <w:r>
            <w:fldChar w:fldCharType="begin"/>
          </w:r>
          <w:r>
            <w:instrText xml:space="preserve"> PAGEREF _Toc117243203 \h </w:instrText>
          </w:r>
          <w:r>
            <w:fldChar w:fldCharType="separate"/>
          </w:r>
          <w:r>
            <w:t>57</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"_Toc117243204" </w:instrText>
          </w:r>
          <w:r>
            <w:fldChar w:fldCharType="separate"/>
          </w:r>
          <w:r>
            <w:rPr>
              <w:rStyle w:val="91"/>
              <w:rFonts w:eastAsia="仿宋_GB2312" w:cs="Times New Roman"/>
              <w14:scene3d>
                <w14:lightRig w14:rig="threePt" w14:dir="t">
                  <w14:rot w14:lat="0" w14:lon="0" w14:rev="0"/>
                </w14:lightRig>
              </w14:scene3d>
            </w:rPr>
            <w:t>3.4</w:t>
          </w:r>
          <w:r>
            <w:rPr>
              <w:rStyle w:val="91"/>
              <w:rFonts w:eastAsia="仿宋_GB2312" w:cs="Times New Roman"/>
            </w:rPr>
            <w:t xml:space="preserve"> 充电设施需求预测</w:t>
          </w:r>
          <w:r>
            <w:tab/>
          </w:r>
          <w:r>
            <w:fldChar w:fldCharType="begin"/>
          </w:r>
          <w:r>
            <w:instrText xml:space="preserve"> PAGEREF _Toc117243204 \h </w:instrText>
          </w:r>
          <w:r>
            <w:fldChar w:fldCharType="separate"/>
          </w:r>
          <w:r>
            <w:t>61</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"_Toc117243205" </w:instrText>
          </w:r>
          <w:r>
            <w:fldChar w:fldCharType="separate"/>
          </w:r>
          <w:r>
            <w:rPr>
              <w:rStyle w:val="91"/>
              <w:rFonts w:eastAsia="仿宋_GB2312"/>
              <w14:scene3d>
                <w14:lightRig w14:rig="threePt" w14:dir="t">
                  <w14:rot w14:lat="0" w14:lon="0" w14:rev="0"/>
                </w14:lightRig>
              </w14:scene3d>
            </w:rPr>
            <w:t>3.4.1</w:t>
          </w:r>
          <w:r>
            <w:rPr>
              <w:rStyle w:val="91"/>
              <w:rFonts w:eastAsia="仿宋_GB2312"/>
            </w:rPr>
            <w:t xml:space="preserve"> 专用桩</w:t>
          </w:r>
          <w:r>
            <w:tab/>
          </w:r>
          <w:r>
            <w:fldChar w:fldCharType="begin"/>
          </w:r>
          <w:r>
            <w:instrText xml:space="preserve"> PAGEREF _Toc117243205 \h </w:instrText>
          </w:r>
          <w:r>
            <w:fldChar w:fldCharType="separate"/>
          </w:r>
          <w:r>
            <w:t>61</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"_Toc117243206" </w:instrText>
          </w:r>
          <w:r>
            <w:fldChar w:fldCharType="separate"/>
          </w:r>
          <w:r>
            <w:rPr>
              <w:rStyle w:val="91"/>
              <w:rFonts w:eastAsia="仿宋_GB2312"/>
              <w14:scene3d>
                <w14:lightRig w14:rig="threePt" w14:dir="t">
                  <w14:rot w14:lat="0" w14:lon="0" w14:rev="0"/>
                </w14:lightRig>
              </w14:scene3d>
            </w:rPr>
            <w:t>3.4.2</w:t>
          </w:r>
          <w:r>
            <w:rPr>
              <w:rStyle w:val="91"/>
              <w:rFonts w:eastAsia="仿宋_GB2312"/>
            </w:rPr>
            <w:t xml:space="preserve"> 公用桩</w:t>
          </w:r>
          <w:r>
            <w:tab/>
          </w:r>
          <w:r>
            <w:fldChar w:fldCharType="begin"/>
          </w:r>
          <w:r>
            <w:instrText xml:space="preserve"> PAGEREF _Toc117243206 \h </w:instrText>
          </w:r>
          <w:r>
            <w:fldChar w:fldCharType="separate"/>
          </w:r>
          <w:r>
            <w:t>63</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"_Toc117243207" </w:instrText>
          </w:r>
          <w:r>
            <w:fldChar w:fldCharType="separate"/>
          </w:r>
          <w:r>
            <w:rPr>
              <w:rStyle w:val="91"/>
              <w:rFonts w:eastAsia="仿宋_GB2312"/>
              <w14:scene3d>
                <w14:lightRig w14:rig="threePt" w14:dir="t">
                  <w14:rot w14:lat="0" w14:lon="0" w14:rev="0"/>
                </w14:lightRig>
              </w14:scene3d>
            </w:rPr>
            <w:t>3.4.3</w:t>
          </w:r>
          <w:r>
            <w:rPr>
              <w:rStyle w:val="91"/>
              <w:rFonts w:eastAsia="仿宋_GB2312"/>
            </w:rPr>
            <w:t xml:space="preserve"> 自用桩</w:t>
          </w:r>
          <w:r>
            <w:tab/>
          </w:r>
          <w:r>
            <w:fldChar w:fldCharType="begin"/>
          </w:r>
          <w:r>
            <w:instrText xml:space="preserve"> PAGEREF _Toc117243207 \h </w:instrText>
          </w:r>
          <w:r>
            <w:fldChar w:fldCharType="separate"/>
          </w:r>
          <w:r>
            <w:t>64</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"_Toc117243208" </w:instrText>
          </w:r>
          <w:r>
            <w:fldChar w:fldCharType="separate"/>
          </w:r>
          <w:r>
            <w:rPr>
              <w:rStyle w:val="91"/>
              <w:rFonts w:eastAsia="仿宋_GB2312"/>
              <w14:scene3d>
                <w14:lightRig w14:rig="threePt" w14:dir="t">
                  <w14:rot w14:lat="0" w14:lon="0" w14:rev="0"/>
                </w14:lightRig>
              </w14:scene3d>
            </w:rPr>
            <w:t>3.4.4</w:t>
          </w:r>
          <w:r>
            <w:rPr>
              <w:rStyle w:val="91"/>
              <w:rFonts w:eastAsia="仿宋_GB2312"/>
            </w:rPr>
            <w:t xml:space="preserve"> 设施需求汇总</w:t>
          </w:r>
          <w:r>
            <w:tab/>
          </w:r>
          <w:r>
            <w:fldChar w:fldCharType="begin"/>
          </w:r>
          <w:r>
            <w:instrText xml:space="preserve"> PAGEREF _Toc117243208 \h </w:instrText>
          </w:r>
          <w:r>
            <w:fldChar w:fldCharType="separate"/>
          </w:r>
          <w:r>
            <w:t>65</w:t>
          </w:r>
          <w:r>
            <w:fldChar w:fldCharType="end"/>
          </w:r>
          <w:r>
            <w:fldChar w:fldCharType="end"/>
          </w:r>
        </w:p>
        <w:p>
          <w:pPr>
            <w:pStyle w:val="51"/>
            <w:contextualSpacing w:val="0"/>
            <w:rPr>
              <w:rFonts w:asciiTheme="minorHAnsi" w:hAnsiTheme="minorHAnsi" w:eastAsiaTheme="minorEastAsia"/>
              <w:b w:val="0"/>
              <w:sz w:val="21"/>
              <w:szCs w:val="22"/>
            </w:rPr>
          </w:pPr>
          <w:r>
            <w:fldChar w:fldCharType="begin"/>
          </w:r>
          <w:r>
            <w:instrText xml:space="preserve"> HYPERLINK \l "_Toc117243209" </w:instrText>
          </w:r>
          <w:r>
            <w:fldChar w:fldCharType="separate"/>
          </w:r>
          <w:r>
            <w:rPr>
              <w:rStyle w:val="91"/>
              <w:rFonts w:eastAsia="仿宋_GB2312" w:cs="Times New Roman"/>
              <w14:scene3d>
                <w14:lightRig w14:rig="threePt" w14:dir="t">
                  <w14:rot w14:lat="0" w14:lon="0" w14:rev="0"/>
                </w14:lightRig>
              </w14:scene3d>
            </w:rPr>
            <w:t>第4章</w:t>
          </w:r>
          <w:r>
            <w:rPr>
              <w:rFonts w:asciiTheme="minorHAnsi" w:hAnsiTheme="minorHAnsi" w:eastAsiaTheme="minorEastAsia"/>
              <w:b w:val="0"/>
              <w:sz w:val="21"/>
              <w:szCs w:val="22"/>
            </w:rPr>
            <w:tab/>
          </w:r>
          <w:r>
            <w:rPr>
              <w:rStyle w:val="91"/>
              <w:rFonts w:eastAsia="仿宋_GB2312" w:cs="Times New Roman"/>
            </w:rPr>
            <w:t>充电设施布局规划</w:t>
          </w:r>
          <w:r>
            <w:tab/>
          </w:r>
          <w:r>
            <w:fldChar w:fldCharType="begin"/>
          </w:r>
          <w:r>
            <w:instrText xml:space="preserve"> PAGEREF _Toc117243209 \h </w:instrText>
          </w:r>
          <w:r>
            <w:fldChar w:fldCharType="separate"/>
          </w:r>
          <w:r>
            <w:t>73</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"_Toc117243210" </w:instrText>
          </w:r>
          <w:r>
            <w:fldChar w:fldCharType="separate"/>
          </w:r>
          <w:r>
            <w:rPr>
              <w:rStyle w:val="91"/>
              <w:rFonts w:eastAsia="仿宋_GB2312" w:cs="Times New Roman"/>
              <w14:scene3d>
                <w14:lightRig w14:rig="threePt" w14:dir="t">
                  <w14:rot w14:lat="0" w14:lon="0" w14:rev="0"/>
                </w14:lightRig>
              </w14:scene3d>
            </w:rPr>
            <w:t>4.1</w:t>
          </w:r>
          <w:r>
            <w:rPr>
              <w:rStyle w:val="91"/>
              <w:rFonts w:eastAsia="仿宋_GB2312" w:cs="Times New Roman"/>
            </w:rPr>
            <w:t xml:space="preserve"> 规划目标</w:t>
          </w:r>
          <w:r>
            <w:tab/>
          </w:r>
          <w:r>
            <w:fldChar w:fldCharType="begin"/>
          </w:r>
          <w:r>
            <w:instrText xml:space="preserve"> PAGEREF _Toc117243210 \h </w:instrText>
          </w:r>
          <w:r>
            <w:fldChar w:fldCharType="separate"/>
          </w:r>
          <w:r>
            <w:t>73</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"_Toc117243211" </w:instrText>
          </w:r>
          <w:r>
            <w:fldChar w:fldCharType="separate"/>
          </w:r>
          <w:r>
            <w:rPr>
              <w:rStyle w:val="91"/>
              <w:rFonts w:eastAsia="仿宋_GB2312"/>
              <w14:scene3d>
                <w14:lightRig w14:rig="threePt" w14:dir="t">
                  <w14:rot w14:lat="0" w14:lon="0" w14:rev="0"/>
                </w14:lightRig>
              </w14:scene3d>
            </w:rPr>
            <w:t>4.1.1</w:t>
          </w:r>
          <w:r>
            <w:rPr>
              <w:rStyle w:val="91"/>
              <w:rFonts w:eastAsia="仿宋_GB2312"/>
            </w:rPr>
            <w:t xml:space="preserve"> 总体规划目标</w:t>
          </w:r>
          <w:r>
            <w:tab/>
          </w:r>
          <w:r>
            <w:fldChar w:fldCharType="begin"/>
          </w:r>
          <w:r>
            <w:instrText xml:space="preserve"> PAGEREF _Toc117243211 \h </w:instrText>
          </w:r>
          <w:r>
            <w:fldChar w:fldCharType="separate"/>
          </w:r>
          <w:r>
            <w:t>73</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"_Toc117243212" </w:instrText>
          </w:r>
          <w:r>
            <w:fldChar w:fldCharType="separate"/>
          </w:r>
          <w:r>
            <w:rPr>
              <w:rStyle w:val="91"/>
              <w:rFonts w:eastAsia="仿宋_GB2312"/>
              <w14:scene3d>
                <w14:lightRig w14:rig="threePt" w14:dir="t">
                  <w14:rot w14:lat="0" w14:lon="0" w14:rev="0"/>
                </w14:lightRig>
              </w14:scene3d>
            </w:rPr>
            <w:t>4.1.2</w:t>
          </w:r>
          <w:r>
            <w:rPr>
              <w:rStyle w:val="91"/>
              <w:rFonts w:eastAsia="仿宋_GB2312"/>
            </w:rPr>
            <w:t xml:space="preserve"> 分阶段规划重点</w:t>
          </w:r>
          <w:r>
            <w:tab/>
          </w:r>
          <w:r>
            <w:fldChar w:fldCharType="begin"/>
          </w:r>
          <w:r>
            <w:instrText xml:space="preserve"> PAGEREF _Toc117243212 \h </w:instrText>
          </w:r>
          <w:r>
            <w:fldChar w:fldCharType="separate"/>
          </w:r>
          <w:r>
            <w:t>74</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"_Toc117243213" </w:instrText>
          </w:r>
          <w:r>
            <w:fldChar w:fldCharType="separate"/>
          </w:r>
          <w:r>
            <w:rPr>
              <w:rStyle w:val="91"/>
              <w:rFonts w:eastAsia="仿宋_GB2312" w:cs="Times New Roman"/>
              <w14:scene3d>
                <w14:lightRig w14:rig="threePt" w14:dir="t">
                  <w14:rot w14:lat="0" w14:lon="0" w14:rev="0"/>
                </w14:lightRig>
              </w14:scene3d>
            </w:rPr>
            <w:t>4.2</w:t>
          </w:r>
          <w:r>
            <w:rPr>
              <w:rStyle w:val="91"/>
              <w:rFonts w:eastAsia="仿宋_GB2312" w:cs="Times New Roman"/>
            </w:rPr>
            <w:t xml:space="preserve"> 充电设施布局及接入原则</w:t>
          </w:r>
          <w:r>
            <w:tab/>
          </w:r>
          <w:r>
            <w:fldChar w:fldCharType="begin"/>
          </w:r>
          <w:r>
            <w:instrText xml:space="preserve"> PAGEREF _Toc117243213 \h </w:instrText>
          </w:r>
          <w:r>
            <w:fldChar w:fldCharType="separate"/>
          </w:r>
          <w:r>
            <w:t>74</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"_Toc117243214" </w:instrText>
          </w:r>
          <w:r>
            <w:fldChar w:fldCharType="separate"/>
          </w:r>
          <w:r>
            <w:rPr>
              <w:rStyle w:val="91"/>
              <w:rFonts w:eastAsia="仿宋_GB2312"/>
              <w14:scene3d>
                <w14:lightRig w14:rig="threePt" w14:dir="t">
                  <w14:rot w14:lat="0" w14:lon="0" w14:rev="0"/>
                </w14:lightRig>
              </w14:scene3d>
            </w:rPr>
            <w:t>4.2.1</w:t>
          </w:r>
          <w:r>
            <w:rPr>
              <w:rStyle w:val="91"/>
              <w:rFonts w:eastAsia="仿宋_GB2312"/>
            </w:rPr>
            <w:t xml:space="preserve"> 总体布局原则</w:t>
          </w:r>
          <w:r>
            <w:tab/>
          </w:r>
          <w:r>
            <w:fldChar w:fldCharType="begin"/>
          </w:r>
          <w:r>
            <w:instrText xml:space="preserve"> PAGEREF _Toc117243214 \h </w:instrText>
          </w:r>
          <w:r>
            <w:fldChar w:fldCharType="separate"/>
          </w:r>
          <w:r>
            <w:t>74</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"_Toc117243215" </w:instrText>
          </w:r>
          <w:r>
            <w:fldChar w:fldCharType="separate"/>
          </w:r>
          <w:r>
            <w:rPr>
              <w:rStyle w:val="91"/>
              <w:rFonts w:eastAsia="仿宋_GB2312"/>
              <w14:scene3d>
                <w14:lightRig w14:rig="threePt" w14:dir="t">
                  <w14:rot w14:lat="0" w14:lon="0" w14:rev="0"/>
                </w14:lightRig>
              </w14:scene3d>
            </w:rPr>
            <w:t>4.2.2</w:t>
          </w:r>
          <w:r>
            <w:rPr>
              <w:rStyle w:val="91"/>
              <w:rFonts w:eastAsia="仿宋_GB2312"/>
            </w:rPr>
            <w:t xml:space="preserve"> 专用充电设施布局原则</w:t>
          </w:r>
          <w:r>
            <w:tab/>
          </w:r>
          <w:r>
            <w:fldChar w:fldCharType="begin"/>
          </w:r>
          <w:r>
            <w:instrText xml:space="preserve"> PAGEREF _Toc117243215 \h </w:instrText>
          </w:r>
          <w:r>
            <w:fldChar w:fldCharType="separate"/>
          </w:r>
          <w:r>
            <w:t>75</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"_Toc117243216" </w:instrText>
          </w:r>
          <w:r>
            <w:fldChar w:fldCharType="separate"/>
          </w:r>
          <w:r>
            <w:rPr>
              <w:rStyle w:val="91"/>
              <w:rFonts w:eastAsia="仿宋_GB2312"/>
              <w14:scene3d>
                <w14:lightRig w14:rig="threePt" w14:dir="t">
                  <w14:rot w14:lat="0" w14:lon="0" w14:rev="0"/>
                </w14:lightRig>
              </w14:scene3d>
            </w:rPr>
            <w:t>4.2.3</w:t>
          </w:r>
          <w:r>
            <w:rPr>
              <w:rStyle w:val="91"/>
              <w:rFonts w:eastAsia="仿宋_GB2312"/>
            </w:rPr>
            <w:t xml:space="preserve"> 公用充电设施布局原则</w:t>
          </w:r>
          <w:r>
            <w:tab/>
          </w:r>
          <w:r>
            <w:fldChar w:fldCharType="begin"/>
          </w:r>
          <w:r>
            <w:instrText xml:space="preserve"> PAGEREF _Toc117243216 \h </w:instrText>
          </w:r>
          <w:r>
            <w:fldChar w:fldCharType="separate"/>
          </w:r>
          <w:r>
            <w:t>76</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"_Toc117243217" </w:instrText>
          </w:r>
          <w:r>
            <w:fldChar w:fldCharType="separate"/>
          </w:r>
          <w:r>
            <w:rPr>
              <w:rStyle w:val="91"/>
              <w:rFonts w:eastAsia="仿宋_GB2312"/>
              <w14:scene3d>
                <w14:lightRig w14:rig="threePt" w14:dir="t">
                  <w14:rot w14:lat="0" w14:lon="0" w14:rev="0"/>
                </w14:lightRig>
              </w14:scene3d>
            </w:rPr>
            <w:t>4.2.4</w:t>
          </w:r>
          <w:r>
            <w:rPr>
              <w:rStyle w:val="91"/>
              <w:rFonts w:eastAsia="仿宋_GB2312"/>
            </w:rPr>
            <w:t xml:space="preserve"> 自用充电设施布局原则</w:t>
          </w:r>
          <w:r>
            <w:tab/>
          </w:r>
          <w:r>
            <w:fldChar w:fldCharType="begin"/>
          </w:r>
          <w:r>
            <w:instrText xml:space="preserve"> PAGEREF _Toc117243217 \h </w:instrText>
          </w:r>
          <w:r>
            <w:fldChar w:fldCharType="separate"/>
          </w:r>
          <w:r>
            <w:t>79</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"_Toc117243218" </w:instrText>
          </w:r>
          <w:r>
            <w:fldChar w:fldCharType="separate"/>
          </w:r>
          <w:r>
            <w:rPr>
              <w:rStyle w:val="91"/>
              <w:rFonts w:eastAsia="仿宋_GB2312"/>
              <w14:scene3d>
                <w14:lightRig w14:rig="threePt" w14:dir="t">
                  <w14:rot w14:lat="0" w14:lon="0" w14:rev="0"/>
                </w14:lightRig>
              </w14:scene3d>
            </w:rPr>
            <w:t>4.2.5</w:t>
          </w:r>
          <w:r>
            <w:rPr>
              <w:rStyle w:val="91"/>
              <w:rFonts w:eastAsia="仿宋_GB2312"/>
            </w:rPr>
            <w:t xml:space="preserve"> 充电设备选型原则</w:t>
          </w:r>
          <w:r>
            <w:tab/>
          </w:r>
          <w:r>
            <w:fldChar w:fldCharType="begin"/>
          </w:r>
          <w:r>
            <w:instrText xml:space="preserve"> PAGEREF _Toc117243218 \h </w:instrText>
          </w:r>
          <w:r>
            <w:fldChar w:fldCharType="separate"/>
          </w:r>
          <w:r>
            <w:t>79</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"_Toc117243219" </w:instrText>
          </w:r>
          <w:r>
            <w:fldChar w:fldCharType="separate"/>
          </w:r>
          <w:r>
            <w:rPr>
              <w:rStyle w:val="91"/>
              <w:rFonts w:eastAsia="仿宋_GB2312"/>
              <w14:scene3d>
                <w14:lightRig w14:rig="threePt" w14:dir="t">
                  <w14:rot w14:lat="0" w14:lon="0" w14:rev="0"/>
                </w14:lightRig>
              </w14:scene3d>
            </w:rPr>
            <w:t>4.2.6</w:t>
          </w:r>
          <w:r>
            <w:rPr>
              <w:rStyle w:val="91"/>
              <w:rFonts w:eastAsia="仿宋_GB2312"/>
            </w:rPr>
            <w:t xml:space="preserve"> 充电设施接入原则</w:t>
          </w:r>
          <w:r>
            <w:tab/>
          </w:r>
          <w:r>
            <w:fldChar w:fldCharType="begin"/>
          </w:r>
          <w:r>
            <w:instrText xml:space="preserve"> PAGEREF _Toc117243219 \h </w:instrText>
          </w:r>
          <w:r>
            <w:fldChar w:fldCharType="separate"/>
          </w:r>
          <w:r>
            <w:t>81</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"_Toc117243220" </w:instrText>
          </w:r>
          <w:r>
            <w:fldChar w:fldCharType="separate"/>
          </w:r>
          <w:r>
            <w:rPr>
              <w:rStyle w:val="91"/>
              <w:rFonts w:eastAsia="仿宋_GB2312" w:cs="Times New Roman"/>
              <w14:scene3d>
                <w14:lightRig w14:rig="threePt" w14:dir="t">
                  <w14:rot w14:lat="0" w14:lon="0" w14:rev="0"/>
                </w14:lightRig>
              </w14:scene3d>
            </w:rPr>
            <w:t>4.3</w:t>
          </w:r>
          <w:r>
            <w:rPr>
              <w:rStyle w:val="91"/>
              <w:rFonts w:eastAsia="仿宋_GB2312" w:cs="Times New Roman"/>
            </w:rPr>
            <w:t xml:space="preserve"> “十四五”充电设施布局规划方案</w:t>
          </w:r>
          <w:r>
            <w:tab/>
          </w:r>
          <w:r>
            <w:fldChar w:fldCharType="begin"/>
          </w:r>
          <w:r>
            <w:instrText xml:space="preserve"> PAGEREF _Toc117243220 \h </w:instrText>
          </w:r>
          <w:r>
            <w:fldChar w:fldCharType="separate"/>
          </w:r>
          <w:r>
            <w:t>82</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"_Toc117243221" </w:instrText>
          </w:r>
          <w:r>
            <w:fldChar w:fldCharType="separate"/>
          </w:r>
          <w:r>
            <w:rPr>
              <w:rStyle w:val="91"/>
              <w:rFonts w:eastAsia="仿宋_GB2312"/>
              <w14:scene3d>
                <w14:lightRig w14:rig="threePt" w14:dir="t">
                  <w14:rot w14:lat="0" w14:lon="0" w14:rev="0"/>
                </w14:lightRig>
              </w14:scene3d>
            </w:rPr>
            <w:t>4.3.1</w:t>
          </w:r>
          <w:r>
            <w:rPr>
              <w:rStyle w:val="91"/>
              <w:rFonts w:eastAsia="仿宋_GB2312"/>
            </w:rPr>
            <w:t xml:space="preserve"> 咸宁高速充电设施布局</w:t>
          </w:r>
          <w:r>
            <w:tab/>
          </w:r>
          <w:r>
            <w:fldChar w:fldCharType="begin"/>
          </w:r>
          <w:r>
            <w:instrText xml:space="preserve"> PAGEREF _Toc117243221 \h </w:instrText>
          </w:r>
          <w:r>
            <w:fldChar w:fldCharType="separate"/>
          </w:r>
          <w:r>
            <w:t>83</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"_Toc117243222" </w:instrText>
          </w:r>
          <w:r>
            <w:fldChar w:fldCharType="separate"/>
          </w:r>
          <w:r>
            <w:rPr>
              <w:rStyle w:val="91"/>
              <w:rFonts w:eastAsia="仿宋_GB2312"/>
              <w14:scene3d>
                <w14:lightRig w14:rig="threePt" w14:dir="t">
                  <w14:rot w14:lat="0" w14:lon="0" w14:rev="0"/>
                </w14:lightRig>
              </w14:scene3d>
            </w:rPr>
            <w:t>4.3.2</w:t>
          </w:r>
          <w:r>
            <w:rPr>
              <w:rStyle w:val="91"/>
              <w:rFonts w:eastAsia="仿宋_GB2312"/>
            </w:rPr>
            <w:t xml:space="preserve"> 咸安区充电设施布局</w:t>
          </w:r>
          <w:r>
            <w:tab/>
          </w:r>
          <w:r>
            <w:fldChar w:fldCharType="begin"/>
          </w:r>
          <w:r>
            <w:instrText xml:space="preserve"> PAGEREF _Toc117243222 \h </w:instrText>
          </w:r>
          <w:r>
            <w:fldChar w:fldCharType="separate"/>
          </w:r>
          <w:r>
            <w:t>86</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"_Toc117243223" </w:instrText>
          </w:r>
          <w:r>
            <w:fldChar w:fldCharType="separate"/>
          </w:r>
          <w:r>
            <w:rPr>
              <w:rStyle w:val="91"/>
              <w:rFonts w:eastAsia="仿宋_GB2312"/>
              <w14:scene3d>
                <w14:lightRig w14:rig="threePt" w14:dir="t">
                  <w14:rot w14:lat="0" w14:lon="0" w14:rev="0"/>
                </w14:lightRig>
              </w14:scene3d>
            </w:rPr>
            <w:t>4.3.3</w:t>
          </w:r>
          <w:r>
            <w:rPr>
              <w:rStyle w:val="91"/>
              <w:rFonts w:eastAsia="仿宋_GB2312"/>
            </w:rPr>
            <w:t xml:space="preserve"> 赤壁市充电设施布局</w:t>
          </w:r>
          <w:r>
            <w:tab/>
          </w:r>
          <w:r>
            <w:fldChar w:fldCharType="begin"/>
          </w:r>
          <w:r>
            <w:instrText xml:space="preserve"> PAGEREF _Toc117243223 \h </w:instrText>
          </w:r>
          <w:r>
            <w:fldChar w:fldCharType="separate"/>
          </w:r>
          <w:r>
            <w:t>119</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"_Toc117243224" </w:instrText>
          </w:r>
          <w:r>
            <w:fldChar w:fldCharType="separate"/>
          </w:r>
          <w:r>
            <w:rPr>
              <w:rStyle w:val="91"/>
              <w:rFonts w:eastAsia="仿宋_GB2312"/>
              <w14:scene3d>
                <w14:lightRig w14:rig="threePt" w14:dir="t">
                  <w14:rot w14:lat="0" w14:lon="0" w14:rev="0"/>
                </w14:lightRig>
              </w14:scene3d>
            </w:rPr>
            <w:t>4.3.4</w:t>
          </w:r>
          <w:r>
            <w:rPr>
              <w:rStyle w:val="91"/>
              <w:rFonts w:eastAsia="仿宋_GB2312"/>
            </w:rPr>
            <w:t xml:space="preserve"> 嘉鱼县充电设施布局</w:t>
          </w:r>
          <w:r>
            <w:tab/>
          </w:r>
          <w:r>
            <w:fldChar w:fldCharType="begin"/>
          </w:r>
          <w:r>
            <w:instrText xml:space="preserve"> PAGEREF _Toc117243224 \h </w:instrText>
          </w:r>
          <w:r>
            <w:fldChar w:fldCharType="separate"/>
          </w:r>
          <w:r>
            <w:t>136</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"_Toc117243225" </w:instrText>
          </w:r>
          <w:r>
            <w:fldChar w:fldCharType="separate"/>
          </w:r>
          <w:r>
            <w:rPr>
              <w:rStyle w:val="91"/>
              <w:rFonts w:eastAsia="仿宋_GB2312"/>
              <w14:scene3d>
                <w14:lightRig w14:rig="threePt" w14:dir="t">
                  <w14:rot w14:lat="0" w14:lon="0" w14:rev="0"/>
                </w14:lightRig>
              </w14:scene3d>
            </w:rPr>
            <w:t>4.3.5</w:t>
          </w:r>
          <w:r>
            <w:rPr>
              <w:rStyle w:val="91"/>
              <w:rFonts w:eastAsia="仿宋_GB2312"/>
            </w:rPr>
            <w:t xml:space="preserve"> 通城县充电设施布局</w:t>
          </w:r>
          <w:r>
            <w:tab/>
          </w:r>
          <w:r>
            <w:fldChar w:fldCharType="begin"/>
          </w:r>
          <w:r>
            <w:instrText xml:space="preserve"> PAGEREF _Toc117243225 \h </w:instrText>
          </w:r>
          <w:r>
            <w:fldChar w:fldCharType="separate"/>
          </w:r>
          <w:r>
            <w:t>150</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"_Toc117243226" </w:instrText>
          </w:r>
          <w:r>
            <w:fldChar w:fldCharType="separate"/>
          </w:r>
          <w:r>
            <w:rPr>
              <w:rStyle w:val="91"/>
              <w:rFonts w:eastAsia="仿宋_GB2312"/>
              <w14:scene3d>
                <w14:lightRig w14:rig="threePt" w14:dir="t">
                  <w14:rot w14:lat="0" w14:lon="0" w14:rev="0"/>
                </w14:lightRig>
              </w14:scene3d>
            </w:rPr>
            <w:t>4.3.6</w:t>
          </w:r>
          <w:r>
            <w:rPr>
              <w:rStyle w:val="91"/>
              <w:rFonts w:eastAsia="仿宋_GB2312"/>
            </w:rPr>
            <w:t xml:space="preserve"> 崇阳县充电设施布局</w:t>
          </w:r>
          <w:r>
            <w:tab/>
          </w:r>
          <w:r>
            <w:fldChar w:fldCharType="begin"/>
          </w:r>
          <w:r>
            <w:instrText xml:space="preserve"> PAGEREF _Toc117243226 \h </w:instrText>
          </w:r>
          <w:r>
            <w:fldChar w:fldCharType="separate"/>
          </w:r>
          <w:r>
            <w:t>162</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"_Toc117243227" </w:instrText>
          </w:r>
          <w:r>
            <w:fldChar w:fldCharType="separate"/>
          </w:r>
          <w:r>
            <w:rPr>
              <w:rStyle w:val="91"/>
              <w:rFonts w:eastAsia="仿宋_GB2312"/>
              <w14:scene3d>
                <w14:lightRig w14:rig="threePt" w14:dir="t">
                  <w14:rot w14:lat="0" w14:lon="0" w14:rev="0"/>
                </w14:lightRig>
              </w14:scene3d>
            </w:rPr>
            <w:t>4.3.7</w:t>
          </w:r>
          <w:r>
            <w:rPr>
              <w:rStyle w:val="91"/>
              <w:rFonts w:eastAsia="仿宋_GB2312"/>
            </w:rPr>
            <w:t xml:space="preserve"> 通山县充电设施布局</w:t>
          </w:r>
          <w:r>
            <w:tab/>
          </w:r>
          <w:r>
            <w:fldChar w:fldCharType="begin"/>
          </w:r>
          <w:r>
            <w:instrText xml:space="preserve"> PAGEREF _Toc117243227 \h </w:instrText>
          </w:r>
          <w:r>
            <w:fldChar w:fldCharType="separate"/>
          </w:r>
          <w:r>
            <w:t>174</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"_Toc117243228" </w:instrText>
          </w:r>
          <w:r>
            <w:fldChar w:fldCharType="separate"/>
          </w:r>
          <w:r>
            <w:rPr>
              <w:rStyle w:val="91"/>
              <w:rFonts w:eastAsia="仿宋_GB2312"/>
              <w14:scene3d>
                <w14:lightRig w14:rig="threePt" w14:dir="t">
                  <w14:rot w14:lat="0" w14:lon="0" w14:rev="0"/>
                </w14:lightRig>
              </w14:scene3d>
            </w:rPr>
            <w:t>4.3.8</w:t>
          </w:r>
          <w:r>
            <w:rPr>
              <w:rStyle w:val="91"/>
              <w:rFonts w:eastAsia="仿宋_GB2312"/>
            </w:rPr>
            <w:t xml:space="preserve"> 自驾旅游充电设施布局分析</w:t>
          </w:r>
          <w:r>
            <w:tab/>
          </w:r>
          <w:r>
            <w:fldChar w:fldCharType="begin"/>
          </w:r>
          <w:r>
            <w:instrText xml:space="preserve"> PAGEREF _Toc117243228 \h </w:instrText>
          </w:r>
          <w:r>
            <w:fldChar w:fldCharType="separate"/>
          </w:r>
          <w:r>
            <w:t>185</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"_Toc117243229" </w:instrText>
          </w:r>
          <w:r>
            <w:fldChar w:fldCharType="separate"/>
          </w:r>
          <w:r>
            <w:rPr>
              <w:rStyle w:val="91"/>
              <w:rFonts w:eastAsia="仿宋_GB2312" w:cs="Times New Roman"/>
              <w14:scene3d>
                <w14:lightRig w14:rig="threePt" w14:dir="t">
                  <w14:rot w14:lat="0" w14:lon="0" w14:rev="0"/>
                </w14:lightRig>
              </w14:scene3d>
            </w:rPr>
            <w:t>4.4</w:t>
          </w:r>
          <w:r>
            <w:rPr>
              <w:rStyle w:val="91"/>
              <w:rFonts w:eastAsia="仿宋_GB2312" w:cs="Times New Roman"/>
            </w:rPr>
            <w:t xml:space="preserve"> 远景年充电设施布局规划方案</w:t>
          </w:r>
          <w:r>
            <w:tab/>
          </w:r>
          <w:r>
            <w:fldChar w:fldCharType="begin"/>
          </w:r>
          <w:r>
            <w:instrText xml:space="preserve"> PAGEREF _Toc117243229 \h </w:instrText>
          </w:r>
          <w:r>
            <w:fldChar w:fldCharType="separate"/>
          </w:r>
          <w:r>
            <w:t>197</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"_Toc117243230" </w:instrText>
          </w:r>
          <w:r>
            <w:fldChar w:fldCharType="separate"/>
          </w:r>
          <w:r>
            <w:rPr>
              <w:rStyle w:val="91"/>
              <w:rFonts w:eastAsia="仿宋_GB2312"/>
              <w14:scene3d>
                <w14:lightRig w14:rig="threePt" w14:dir="t">
                  <w14:rot w14:lat="0" w14:lon="0" w14:rev="0"/>
                </w14:lightRig>
              </w14:scene3d>
            </w:rPr>
            <w:t>4.4.1</w:t>
          </w:r>
          <w:r>
            <w:rPr>
              <w:rStyle w:val="91"/>
              <w:rFonts w:eastAsia="仿宋_GB2312"/>
            </w:rPr>
            <w:t xml:space="preserve"> 高速充电设施</w:t>
          </w:r>
          <w:r>
            <w:tab/>
          </w:r>
          <w:r>
            <w:fldChar w:fldCharType="begin"/>
          </w:r>
          <w:r>
            <w:instrText xml:space="preserve"> PAGEREF _Toc117243230 \h </w:instrText>
          </w:r>
          <w:r>
            <w:fldChar w:fldCharType="separate"/>
          </w:r>
          <w:r>
            <w:t>197</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"_Toc117243231" </w:instrText>
          </w:r>
          <w:r>
            <w:fldChar w:fldCharType="separate"/>
          </w:r>
          <w:r>
            <w:rPr>
              <w:rStyle w:val="91"/>
              <w:rFonts w:eastAsia="仿宋_GB2312"/>
              <w14:scene3d>
                <w14:lightRig w14:rig="threePt" w14:dir="t">
                  <w14:rot w14:lat="0" w14:lon="0" w14:rev="0"/>
                </w14:lightRig>
              </w14:scene3d>
            </w:rPr>
            <w:t>4.4.2</w:t>
          </w:r>
          <w:r>
            <w:rPr>
              <w:rStyle w:val="91"/>
              <w:rFonts w:eastAsia="仿宋_GB2312"/>
            </w:rPr>
            <w:t xml:space="preserve"> 专用充电设施</w:t>
          </w:r>
          <w:r>
            <w:tab/>
          </w:r>
          <w:r>
            <w:fldChar w:fldCharType="begin"/>
          </w:r>
          <w:r>
            <w:instrText xml:space="preserve"> PAGEREF _Toc117243231 \h </w:instrText>
          </w:r>
          <w:r>
            <w:fldChar w:fldCharType="separate"/>
          </w:r>
          <w:r>
            <w:t>198</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"_Toc117243232" </w:instrText>
          </w:r>
          <w:r>
            <w:fldChar w:fldCharType="separate"/>
          </w:r>
          <w:r>
            <w:rPr>
              <w:rStyle w:val="91"/>
              <w:rFonts w:eastAsia="仿宋_GB2312"/>
              <w14:scene3d>
                <w14:lightRig w14:rig="threePt" w14:dir="t">
                  <w14:rot w14:lat="0" w14:lon="0" w14:rev="0"/>
                </w14:lightRig>
              </w14:scene3d>
            </w:rPr>
            <w:t>4.4.3</w:t>
          </w:r>
          <w:r>
            <w:rPr>
              <w:rStyle w:val="91"/>
              <w:rFonts w:eastAsia="仿宋_GB2312"/>
            </w:rPr>
            <w:t xml:space="preserve"> 公用充电设施</w:t>
          </w:r>
          <w:r>
            <w:tab/>
          </w:r>
          <w:r>
            <w:fldChar w:fldCharType="begin"/>
          </w:r>
          <w:r>
            <w:instrText xml:space="preserve"> PAGEREF _Toc117243232 \h </w:instrText>
          </w:r>
          <w:r>
            <w:fldChar w:fldCharType="separate"/>
          </w:r>
          <w:r>
            <w:t>201</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"_Toc117243233" </w:instrText>
          </w:r>
          <w:r>
            <w:fldChar w:fldCharType="separate"/>
          </w:r>
          <w:r>
            <w:rPr>
              <w:rStyle w:val="91"/>
              <w:rFonts w:eastAsia="仿宋_GB2312"/>
              <w14:scene3d>
                <w14:lightRig w14:rig="threePt" w14:dir="t">
                  <w14:rot w14:lat="0" w14:lon="0" w14:rev="0"/>
                </w14:lightRig>
              </w14:scene3d>
            </w:rPr>
            <w:t>4.4.4</w:t>
          </w:r>
          <w:r>
            <w:rPr>
              <w:rStyle w:val="91"/>
              <w:rFonts w:eastAsia="仿宋_GB2312"/>
            </w:rPr>
            <w:t xml:space="preserve"> 自用充电设施</w:t>
          </w:r>
          <w:r>
            <w:tab/>
          </w:r>
          <w:r>
            <w:fldChar w:fldCharType="begin"/>
          </w:r>
          <w:r>
            <w:instrText xml:space="preserve"> PAGEREF _Toc117243233 \h </w:instrText>
          </w:r>
          <w:r>
            <w:fldChar w:fldCharType="separate"/>
          </w:r>
          <w:r>
            <w:t>201</w:t>
          </w:r>
          <w:r>
            <w:fldChar w:fldCharType="end"/>
          </w:r>
          <w:r>
            <w:fldChar w:fldCharType="end"/>
          </w:r>
        </w:p>
        <w:p>
          <w:pPr>
            <w:pStyle w:val="51"/>
            <w:contextualSpacing w:val="0"/>
            <w:rPr>
              <w:rFonts w:asciiTheme="minorHAnsi" w:hAnsiTheme="minorHAnsi" w:eastAsiaTheme="minorEastAsia"/>
              <w:b w:val="0"/>
              <w:sz w:val="21"/>
              <w:szCs w:val="22"/>
            </w:rPr>
          </w:pPr>
          <w:r>
            <w:fldChar w:fldCharType="begin"/>
          </w:r>
          <w:r>
            <w:instrText xml:space="preserve"> HYPERLINK \l "_Toc117243234" </w:instrText>
          </w:r>
          <w:r>
            <w:fldChar w:fldCharType="separate"/>
          </w:r>
          <w:r>
            <w:rPr>
              <w:rStyle w:val="91"/>
              <w:rFonts w:eastAsia="仿宋_GB2312" w:cs="Times New Roman"/>
              <w14:scene3d>
                <w14:lightRig w14:rig="threePt" w14:dir="t">
                  <w14:rot w14:lat="0" w14:lon="0" w14:rev="0"/>
                </w14:lightRig>
              </w14:scene3d>
            </w:rPr>
            <w:t>第5章</w:t>
          </w:r>
          <w:r>
            <w:rPr>
              <w:rFonts w:asciiTheme="minorHAnsi" w:hAnsiTheme="minorHAnsi" w:eastAsiaTheme="minorEastAsia"/>
              <w:b w:val="0"/>
              <w:sz w:val="21"/>
              <w:szCs w:val="22"/>
            </w:rPr>
            <w:tab/>
          </w:r>
          <w:r>
            <w:rPr>
              <w:rStyle w:val="91"/>
              <w:rFonts w:eastAsia="仿宋_GB2312" w:cs="Times New Roman"/>
            </w:rPr>
            <w:t>充换电设施实施保障措施</w:t>
          </w:r>
          <w:r>
            <w:tab/>
          </w:r>
          <w:r>
            <w:fldChar w:fldCharType="begin"/>
          </w:r>
          <w:r>
            <w:instrText xml:space="preserve"> PAGEREF _Toc117243234 \h </w:instrText>
          </w:r>
          <w:r>
            <w:fldChar w:fldCharType="separate"/>
          </w:r>
          <w:r>
            <w:t>202</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"_Toc117243235" </w:instrText>
          </w:r>
          <w:r>
            <w:fldChar w:fldCharType="separate"/>
          </w:r>
          <w:r>
            <w:rPr>
              <w:rStyle w:val="91"/>
              <w:rFonts w:eastAsia="仿宋_GB2312" w:cs="Times New Roman"/>
              <w14:scene3d>
                <w14:lightRig w14:rig="threePt" w14:dir="t">
                  <w14:rot w14:lat="0" w14:lon="0" w14:rev="0"/>
                </w14:lightRig>
              </w14:scene3d>
            </w:rPr>
            <w:t>5.1</w:t>
          </w:r>
          <w:r>
            <w:rPr>
              <w:rStyle w:val="91"/>
              <w:rFonts w:eastAsia="仿宋_GB2312" w:cs="Times New Roman"/>
            </w:rPr>
            <w:t xml:space="preserve"> 电网影响</w:t>
          </w:r>
          <w:r>
            <w:tab/>
          </w:r>
          <w:r>
            <w:fldChar w:fldCharType="begin"/>
          </w:r>
          <w:r>
            <w:instrText xml:space="preserve"> PAGEREF _Toc117243235 \h </w:instrText>
          </w:r>
          <w:r>
            <w:fldChar w:fldCharType="separate"/>
          </w:r>
          <w:r>
            <w:t>202</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"_Toc117243236" </w:instrText>
          </w:r>
          <w:r>
            <w:fldChar w:fldCharType="separate"/>
          </w:r>
          <w:r>
            <w:rPr>
              <w:rStyle w:val="91"/>
              <w:rFonts w:eastAsia="仿宋_GB2312"/>
              <w14:scene3d>
                <w14:lightRig w14:rig="threePt" w14:dir="t">
                  <w14:rot w14:lat="0" w14:lon="0" w14:rev="0"/>
                </w14:lightRig>
              </w14:scene3d>
            </w:rPr>
            <w:t>5.1.1</w:t>
          </w:r>
          <w:r>
            <w:rPr>
              <w:rStyle w:val="91"/>
              <w:rFonts w:eastAsia="仿宋_GB2312"/>
            </w:rPr>
            <w:t xml:space="preserve"> 充电设施供电需求影响</w:t>
          </w:r>
          <w:r>
            <w:tab/>
          </w:r>
          <w:r>
            <w:fldChar w:fldCharType="begin"/>
          </w:r>
          <w:r>
            <w:instrText xml:space="preserve"> PAGEREF _Toc117243236 \h </w:instrText>
          </w:r>
          <w:r>
            <w:fldChar w:fldCharType="separate"/>
          </w:r>
          <w:r>
            <w:t>202</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"_Toc117243237" </w:instrText>
          </w:r>
          <w:r>
            <w:fldChar w:fldCharType="separate"/>
          </w:r>
          <w:r>
            <w:rPr>
              <w:rStyle w:val="91"/>
              <w:rFonts w:eastAsia="仿宋_GB2312"/>
              <w14:scene3d>
                <w14:lightRig w14:rig="threePt" w14:dir="t">
                  <w14:rot w14:lat="0" w14:lon="0" w14:rev="0"/>
                </w14:lightRig>
              </w14:scene3d>
            </w:rPr>
            <w:t>5.1.2</w:t>
          </w:r>
          <w:r>
            <w:rPr>
              <w:rStyle w:val="91"/>
              <w:rFonts w:eastAsia="仿宋_GB2312"/>
            </w:rPr>
            <w:t xml:space="preserve"> 负荷影响</w:t>
          </w:r>
          <w:r>
            <w:tab/>
          </w:r>
          <w:r>
            <w:fldChar w:fldCharType="begin"/>
          </w:r>
          <w:r>
            <w:instrText xml:space="preserve"> PAGEREF _Toc117243237 \h </w:instrText>
          </w:r>
          <w:r>
            <w:fldChar w:fldCharType="separate"/>
          </w:r>
          <w:r>
            <w:t>204</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"_Toc117243238" </w:instrText>
          </w:r>
          <w:r>
            <w:fldChar w:fldCharType="separate"/>
          </w:r>
          <w:r>
            <w:rPr>
              <w:rStyle w:val="91"/>
              <w:rFonts w:eastAsia="仿宋_GB2312" w:cs="Times New Roman"/>
              <w14:scene3d>
                <w14:lightRig w14:rig="threePt" w14:dir="t">
                  <w14:rot w14:lat="0" w14:lon="0" w14:rev="0"/>
                </w14:lightRig>
              </w14:scene3d>
            </w:rPr>
            <w:t>5.2</w:t>
          </w:r>
          <w:r>
            <w:rPr>
              <w:rStyle w:val="91"/>
              <w:rFonts w:eastAsia="仿宋_GB2312" w:cs="Times New Roman"/>
            </w:rPr>
            <w:t xml:space="preserve"> 保障措施</w:t>
          </w:r>
          <w:r>
            <w:tab/>
          </w:r>
          <w:r>
            <w:fldChar w:fldCharType="begin"/>
          </w:r>
          <w:r>
            <w:instrText xml:space="preserve"> PAGEREF _Toc117243238 \h </w:instrText>
          </w:r>
          <w:r>
            <w:fldChar w:fldCharType="separate"/>
          </w:r>
          <w:r>
            <w:t>207</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"_Toc117243239" </w:instrText>
          </w:r>
          <w:r>
            <w:fldChar w:fldCharType="separate"/>
          </w:r>
          <w:r>
            <w:rPr>
              <w:rStyle w:val="91"/>
              <w:rFonts w:eastAsia="仿宋_GB2312"/>
              <w14:scene3d>
                <w14:lightRig w14:rig="threePt" w14:dir="t">
                  <w14:rot w14:lat="0" w14:lon="0" w14:rev="0"/>
                </w14:lightRig>
              </w14:scene3d>
            </w:rPr>
            <w:t>5.2.1</w:t>
          </w:r>
          <w:r>
            <w:rPr>
              <w:rStyle w:val="91"/>
              <w:rFonts w:eastAsia="仿宋_GB2312"/>
            </w:rPr>
            <w:t xml:space="preserve"> 组织保障</w:t>
          </w:r>
          <w:r>
            <w:tab/>
          </w:r>
          <w:r>
            <w:fldChar w:fldCharType="begin"/>
          </w:r>
          <w:r>
            <w:instrText xml:space="preserve"> PAGEREF _Toc117243239 \h </w:instrText>
          </w:r>
          <w:r>
            <w:fldChar w:fldCharType="separate"/>
          </w:r>
          <w:r>
            <w:t>207</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"_Toc117243240" </w:instrText>
          </w:r>
          <w:r>
            <w:fldChar w:fldCharType="separate"/>
          </w:r>
          <w:r>
            <w:rPr>
              <w:rStyle w:val="91"/>
              <w:rFonts w:eastAsia="仿宋_GB2312"/>
              <w14:scene3d>
                <w14:lightRig w14:rig="threePt" w14:dir="t">
                  <w14:rot w14:lat="0" w14:lon="0" w14:rev="0"/>
                </w14:lightRig>
              </w14:scene3d>
            </w:rPr>
            <w:t>5.2.2</w:t>
          </w:r>
          <w:r>
            <w:rPr>
              <w:rStyle w:val="91"/>
              <w:rFonts w:eastAsia="仿宋_GB2312"/>
            </w:rPr>
            <w:t xml:space="preserve"> 管理措施</w:t>
          </w:r>
          <w:r>
            <w:tab/>
          </w:r>
          <w:r>
            <w:fldChar w:fldCharType="begin"/>
          </w:r>
          <w:r>
            <w:instrText xml:space="preserve"> PAGEREF _Toc117243240 \h </w:instrText>
          </w:r>
          <w:r>
            <w:fldChar w:fldCharType="separate"/>
          </w:r>
          <w:r>
            <w:t>208</w:t>
          </w:r>
          <w:r>
            <w:fldChar w:fldCharType="end"/>
          </w:r>
          <w:r>
            <w:fldChar w:fldCharType="end"/>
          </w:r>
        </w:p>
        <w:p>
          <w:pPr>
            <w:pStyle w:val="51"/>
            <w:contextualSpacing w:val="0"/>
            <w:rPr>
              <w:rFonts w:asciiTheme="minorHAnsi" w:hAnsiTheme="minorHAnsi" w:eastAsiaTheme="minorEastAsia"/>
              <w:b w:val="0"/>
              <w:sz w:val="21"/>
              <w:szCs w:val="22"/>
            </w:rPr>
          </w:pPr>
          <w:r>
            <w:fldChar w:fldCharType="begin"/>
          </w:r>
          <w:r>
            <w:instrText xml:space="preserve"> HYPERLINK \l "_Toc117243241" </w:instrText>
          </w:r>
          <w:r>
            <w:fldChar w:fldCharType="separate"/>
          </w:r>
          <w:r>
            <w:rPr>
              <w:rStyle w:val="91"/>
              <w:rFonts w:eastAsia="仿宋_GB2312" w:cs="Times New Roman"/>
              <w14:scene3d>
                <w14:lightRig w14:rig="threePt" w14:dir="t">
                  <w14:rot w14:lat="0" w14:lon="0" w14:rev="0"/>
                </w14:lightRig>
              </w14:scene3d>
            </w:rPr>
            <w:t>第6章</w:t>
          </w:r>
          <w:r>
            <w:rPr>
              <w:rFonts w:asciiTheme="minorHAnsi" w:hAnsiTheme="minorHAnsi" w:eastAsiaTheme="minorEastAsia"/>
              <w:b w:val="0"/>
              <w:sz w:val="21"/>
              <w:szCs w:val="22"/>
            </w:rPr>
            <w:tab/>
          </w:r>
          <w:r>
            <w:rPr>
              <w:rStyle w:val="91"/>
              <w:rFonts w:eastAsia="仿宋_GB2312" w:cs="Times New Roman"/>
            </w:rPr>
            <w:t>典型场景及设施共享</w:t>
          </w:r>
          <w:r>
            <w:tab/>
          </w:r>
          <w:r>
            <w:fldChar w:fldCharType="begin"/>
          </w:r>
          <w:r>
            <w:instrText xml:space="preserve"> PAGEREF _Toc117243241 \h </w:instrText>
          </w:r>
          <w:r>
            <w:fldChar w:fldCharType="separate"/>
          </w:r>
          <w:r>
            <w:t>210</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"_Toc117243242" </w:instrText>
          </w:r>
          <w:r>
            <w:fldChar w:fldCharType="separate"/>
          </w:r>
          <w:r>
            <w:rPr>
              <w:rStyle w:val="91"/>
              <w:rFonts w:eastAsia="仿宋_GB2312" w:cs="Times New Roman"/>
              <w14:scene3d>
                <w14:lightRig w14:rig="threePt" w14:dir="t">
                  <w14:rot w14:lat="0" w14:lon="0" w14:rev="0"/>
                </w14:lightRig>
              </w14:scene3d>
            </w:rPr>
            <w:t>6.1</w:t>
          </w:r>
          <w:r>
            <w:rPr>
              <w:rStyle w:val="91"/>
              <w:rFonts w:eastAsia="仿宋_GB2312" w:cs="Times New Roman"/>
            </w:rPr>
            <w:t xml:space="preserve"> 公用充电设施</w:t>
          </w:r>
          <w:r>
            <w:tab/>
          </w:r>
          <w:r>
            <w:fldChar w:fldCharType="begin"/>
          </w:r>
          <w:r>
            <w:instrText xml:space="preserve"> PAGEREF _Toc117243242 \h </w:instrText>
          </w:r>
          <w:r>
            <w:fldChar w:fldCharType="separate"/>
          </w:r>
          <w:r>
            <w:t>210</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"_Toc117243243" </w:instrText>
          </w:r>
          <w:r>
            <w:fldChar w:fldCharType="separate"/>
          </w:r>
          <w:r>
            <w:rPr>
              <w:rStyle w:val="91"/>
              <w:rFonts w:eastAsia="仿宋_GB2312" w:cs="Times New Roman"/>
              <w14:scene3d>
                <w14:lightRig w14:rig="threePt" w14:dir="t">
                  <w14:rot w14:lat="0" w14:lon="0" w14:rev="0"/>
                </w14:lightRig>
              </w14:scene3d>
            </w:rPr>
            <w:t>6.2</w:t>
          </w:r>
          <w:r>
            <w:rPr>
              <w:rStyle w:val="91"/>
              <w:rFonts w:eastAsia="仿宋_GB2312" w:cs="Times New Roman"/>
            </w:rPr>
            <w:t xml:space="preserve"> 专用充电设施</w:t>
          </w:r>
          <w:r>
            <w:tab/>
          </w:r>
          <w:r>
            <w:fldChar w:fldCharType="begin"/>
          </w:r>
          <w:r>
            <w:instrText xml:space="preserve"> PAGEREF _Toc117243243 \h </w:instrText>
          </w:r>
          <w:r>
            <w:fldChar w:fldCharType="separate"/>
          </w:r>
          <w:r>
            <w:t>213</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"_Toc117243244" </w:instrText>
          </w:r>
          <w:r>
            <w:fldChar w:fldCharType="separate"/>
          </w:r>
          <w:r>
            <w:rPr>
              <w:rStyle w:val="91"/>
              <w:rFonts w:eastAsia="仿宋_GB2312" w:cs="Times New Roman"/>
              <w14:scene3d>
                <w14:lightRig w14:rig="threePt" w14:dir="t">
                  <w14:rot w14:lat="0" w14:lon="0" w14:rev="0"/>
                </w14:lightRig>
              </w14:scene3d>
            </w:rPr>
            <w:t>6.3</w:t>
          </w:r>
          <w:r>
            <w:rPr>
              <w:rStyle w:val="91"/>
              <w:rFonts w:eastAsia="仿宋_GB2312" w:cs="Times New Roman"/>
            </w:rPr>
            <w:t xml:space="preserve"> 自用充电设施</w:t>
          </w:r>
          <w:r>
            <w:tab/>
          </w:r>
          <w:r>
            <w:fldChar w:fldCharType="begin"/>
          </w:r>
          <w:r>
            <w:instrText xml:space="preserve"> PAGEREF _Toc117243244 \h </w:instrText>
          </w:r>
          <w:r>
            <w:fldChar w:fldCharType="separate"/>
          </w:r>
          <w:r>
            <w:t>214</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"_Toc117243245" </w:instrText>
          </w:r>
          <w:r>
            <w:fldChar w:fldCharType="separate"/>
          </w:r>
          <w:r>
            <w:rPr>
              <w:rStyle w:val="91"/>
              <w:rFonts w:eastAsia="仿宋_GB2312" w:cs="Times New Roman"/>
              <w14:scene3d>
                <w14:lightRig w14:rig="threePt" w14:dir="t">
                  <w14:rot w14:lat="0" w14:lon="0" w14:rev="0"/>
                </w14:lightRig>
              </w14:scene3d>
            </w:rPr>
            <w:t>6.4</w:t>
          </w:r>
          <w:r>
            <w:rPr>
              <w:rStyle w:val="91"/>
              <w:rFonts w:eastAsia="仿宋_GB2312" w:cs="Times New Roman"/>
            </w:rPr>
            <w:t xml:space="preserve"> 设施共享</w:t>
          </w:r>
          <w:r>
            <w:tab/>
          </w:r>
          <w:r>
            <w:fldChar w:fldCharType="begin"/>
          </w:r>
          <w:r>
            <w:instrText xml:space="preserve"> PAGEREF _Toc117243245 \h </w:instrText>
          </w:r>
          <w:r>
            <w:fldChar w:fldCharType="separate"/>
          </w:r>
          <w:r>
            <w:t>216</w:t>
          </w:r>
          <w:r>
            <w:fldChar w:fldCharType="end"/>
          </w:r>
          <w:r>
            <w:fldChar w:fldCharType="end"/>
          </w:r>
        </w:p>
        <w:p>
          <w:pPr>
            <w:pStyle w:val="51"/>
            <w:contextualSpacing w:val="0"/>
            <w:rPr>
              <w:rFonts w:asciiTheme="minorHAnsi" w:hAnsiTheme="minorHAnsi" w:eastAsiaTheme="minorEastAsia"/>
              <w:b w:val="0"/>
              <w:sz w:val="21"/>
              <w:szCs w:val="22"/>
            </w:rPr>
          </w:pPr>
          <w:r>
            <w:fldChar w:fldCharType="begin"/>
          </w:r>
          <w:r>
            <w:instrText xml:space="preserve"> HYPERLINK \l "_Toc117243246" </w:instrText>
          </w:r>
          <w:r>
            <w:fldChar w:fldCharType="separate"/>
          </w:r>
          <w:r>
            <w:rPr>
              <w:rStyle w:val="91"/>
              <w:rFonts w:eastAsia="仿宋_GB2312" w:cs="Times New Roman"/>
              <w14:scene3d>
                <w14:lightRig w14:rig="threePt" w14:dir="t">
                  <w14:rot w14:lat="0" w14:lon="0" w14:rev="0"/>
                </w14:lightRig>
              </w14:scene3d>
            </w:rPr>
            <w:t>第7章</w:t>
          </w:r>
          <w:r>
            <w:rPr>
              <w:rFonts w:asciiTheme="minorHAnsi" w:hAnsiTheme="minorHAnsi" w:eastAsiaTheme="minorEastAsia"/>
              <w:b w:val="0"/>
              <w:sz w:val="21"/>
              <w:szCs w:val="22"/>
            </w:rPr>
            <w:tab/>
          </w:r>
          <w:r>
            <w:rPr>
              <w:rStyle w:val="91"/>
              <w:rFonts w:eastAsia="仿宋_GB2312" w:cs="Times New Roman"/>
            </w:rPr>
            <w:t>环境影响评价及安全措施</w:t>
          </w:r>
          <w:r>
            <w:tab/>
          </w:r>
          <w:r>
            <w:fldChar w:fldCharType="begin"/>
          </w:r>
          <w:r>
            <w:instrText xml:space="preserve"> PAGEREF _Toc117243246 \h </w:instrText>
          </w:r>
          <w:r>
            <w:fldChar w:fldCharType="separate"/>
          </w:r>
          <w:r>
            <w:t>218</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"_Toc117243247" </w:instrText>
          </w:r>
          <w:r>
            <w:fldChar w:fldCharType="separate"/>
          </w:r>
          <w:r>
            <w:rPr>
              <w:rStyle w:val="91"/>
              <w:rFonts w:eastAsia="仿宋_GB2312" w:cs="Times New Roman"/>
              <w14:scene3d>
                <w14:lightRig w14:rig="threePt" w14:dir="t">
                  <w14:rot w14:lat="0" w14:lon="0" w14:rev="0"/>
                </w14:lightRig>
              </w14:scene3d>
            </w:rPr>
            <w:t>7.1</w:t>
          </w:r>
          <w:r>
            <w:rPr>
              <w:rStyle w:val="91"/>
              <w:rFonts w:eastAsia="仿宋_GB2312" w:cs="Times New Roman"/>
            </w:rPr>
            <w:t xml:space="preserve"> 环境影响评价</w:t>
          </w:r>
          <w:r>
            <w:tab/>
          </w:r>
          <w:r>
            <w:fldChar w:fldCharType="begin"/>
          </w:r>
          <w:r>
            <w:instrText xml:space="preserve"> PAGEREF _Toc117243247 \h </w:instrText>
          </w:r>
          <w:r>
            <w:fldChar w:fldCharType="separate"/>
          </w:r>
          <w:r>
            <w:t>218</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"_Toc117243248" </w:instrText>
          </w:r>
          <w:r>
            <w:fldChar w:fldCharType="separate"/>
          </w:r>
          <w:r>
            <w:rPr>
              <w:rStyle w:val="91"/>
              <w:rFonts w:eastAsia="仿宋_GB2312"/>
              <w14:scene3d>
                <w14:lightRig w14:rig="threePt" w14:dir="t">
                  <w14:rot w14:lat="0" w14:lon="0" w14:rev="0"/>
                </w14:lightRig>
              </w14:scene3d>
            </w:rPr>
            <w:t>7.1.1</w:t>
          </w:r>
          <w:r>
            <w:rPr>
              <w:rStyle w:val="91"/>
              <w:rFonts w:eastAsia="仿宋_GB2312"/>
            </w:rPr>
            <w:t xml:space="preserve"> 评价依据</w:t>
          </w:r>
          <w:r>
            <w:tab/>
          </w:r>
          <w:r>
            <w:fldChar w:fldCharType="begin"/>
          </w:r>
          <w:r>
            <w:instrText xml:space="preserve"> PAGEREF _Toc117243248 \h </w:instrText>
          </w:r>
          <w:r>
            <w:fldChar w:fldCharType="separate"/>
          </w:r>
          <w:r>
            <w:t>218</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"_Toc117243249" </w:instrText>
          </w:r>
          <w:r>
            <w:fldChar w:fldCharType="separate"/>
          </w:r>
          <w:r>
            <w:rPr>
              <w:rStyle w:val="91"/>
              <w:rFonts w:eastAsia="仿宋_GB2312"/>
              <w14:scene3d>
                <w14:lightRig w14:rig="threePt" w14:dir="t">
                  <w14:rot w14:lat="0" w14:lon="0" w14:rev="0"/>
                </w14:lightRig>
              </w14:scene3d>
            </w:rPr>
            <w:t>7.1.2</w:t>
          </w:r>
          <w:r>
            <w:rPr>
              <w:rStyle w:val="91"/>
              <w:rFonts w:eastAsia="仿宋_GB2312"/>
            </w:rPr>
            <w:t xml:space="preserve"> 环境影响分析</w:t>
          </w:r>
          <w:r>
            <w:tab/>
          </w:r>
          <w:r>
            <w:fldChar w:fldCharType="begin"/>
          </w:r>
          <w:r>
            <w:instrText xml:space="preserve"> PAGEREF _Toc117243249 \h </w:instrText>
          </w:r>
          <w:r>
            <w:fldChar w:fldCharType="separate"/>
          </w:r>
          <w:r>
            <w:t>218</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"_Toc117243250" </w:instrText>
          </w:r>
          <w:r>
            <w:fldChar w:fldCharType="separate"/>
          </w:r>
          <w:r>
            <w:rPr>
              <w:rStyle w:val="91"/>
              <w:rFonts w:eastAsia="仿宋_GB2312"/>
              <w14:scene3d>
                <w14:lightRig w14:rig="threePt" w14:dir="t">
                  <w14:rot w14:lat="0" w14:lon="0" w14:rev="0"/>
                </w14:lightRig>
              </w14:scene3d>
            </w:rPr>
            <w:t>7.1.3</w:t>
          </w:r>
          <w:r>
            <w:rPr>
              <w:rStyle w:val="91"/>
              <w:rFonts w:eastAsia="仿宋_GB2312"/>
            </w:rPr>
            <w:t xml:space="preserve"> 环境保护措施</w:t>
          </w:r>
          <w:r>
            <w:tab/>
          </w:r>
          <w:r>
            <w:fldChar w:fldCharType="begin"/>
          </w:r>
          <w:r>
            <w:instrText xml:space="preserve"> PAGEREF _Toc117243250 \h </w:instrText>
          </w:r>
          <w:r>
            <w:fldChar w:fldCharType="separate"/>
          </w:r>
          <w:r>
            <w:t>219</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"_Toc117243251" </w:instrText>
          </w:r>
          <w:r>
            <w:fldChar w:fldCharType="separate"/>
          </w:r>
          <w:r>
            <w:rPr>
              <w:rStyle w:val="91"/>
              <w:rFonts w:eastAsia="仿宋_GB2312" w:cs="Times New Roman"/>
              <w14:scene3d>
                <w14:lightRig w14:rig="threePt" w14:dir="t">
                  <w14:rot w14:lat="0" w14:lon="0" w14:rev="0"/>
                </w14:lightRig>
              </w14:scene3d>
            </w:rPr>
            <w:t>7.2</w:t>
          </w:r>
          <w:r>
            <w:rPr>
              <w:rStyle w:val="91"/>
              <w:rFonts w:eastAsia="仿宋_GB2312" w:cs="Times New Roman"/>
            </w:rPr>
            <w:t xml:space="preserve"> 安全措施</w:t>
          </w:r>
          <w:r>
            <w:tab/>
          </w:r>
          <w:r>
            <w:fldChar w:fldCharType="begin"/>
          </w:r>
          <w:r>
            <w:instrText xml:space="preserve"> PAGEREF _Toc117243251 \h </w:instrText>
          </w:r>
          <w:r>
            <w:fldChar w:fldCharType="separate"/>
          </w:r>
          <w:r>
            <w:t>220</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"_Toc117243252" </w:instrText>
          </w:r>
          <w:r>
            <w:fldChar w:fldCharType="separate"/>
          </w:r>
          <w:r>
            <w:rPr>
              <w:rStyle w:val="91"/>
              <w:rFonts w:eastAsia="仿宋_GB2312"/>
              <w14:scene3d>
                <w14:lightRig w14:rig="threePt" w14:dir="t">
                  <w14:rot w14:lat="0" w14:lon="0" w14:rev="0"/>
                </w14:lightRig>
              </w14:scene3d>
            </w:rPr>
            <w:t>7.2.1</w:t>
          </w:r>
          <w:r>
            <w:rPr>
              <w:rStyle w:val="91"/>
              <w:rFonts w:eastAsia="仿宋_GB2312"/>
            </w:rPr>
            <w:t xml:space="preserve"> 消防环境安全</w:t>
          </w:r>
          <w:r>
            <w:tab/>
          </w:r>
          <w:r>
            <w:fldChar w:fldCharType="begin"/>
          </w:r>
          <w:r>
            <w:instrText xml:space="preserve"> PAGEREF _Toc117243252 \h </w:instrText>
          </w:r>
          <w:r>
            <w:fldChar w:fldCharType="separate"/>
          </w:r>
          <w:r>
            <w:t>220</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"_Toc117243253" </w:instrText>
          </w:r>
          <w:r>
            <w:fldChar w:fldCharType="separate"/>
          </w:r>
          <w:r>
            <w:rPr>
              <w:rStyle w:val="91"/>
              <w:rFonts w:eastAsia="仿宋_GB2312"/>
              <w14:scene3d>
                <w14:lightRig w14:rig="threePt" w14:dir="t">
                  <w14:rot w14:lat="0" w14:lon="0" w14:rev="0"/>
                </w14:lightRig>
              </w14:scene3d>
            </w:rPr>
            <w:t>7.2.2</w:t>
          </w:r>
          <w:r>
            <w:rPr>
              <w:rStyle w:val="91"/>
              <w:rFonts w:eastAsia="仿宋_GB2312"/>
            </w:rPr>
            <w:t xml:space="preserve"> 选址规划安全</w:t>
          </w:r>
          <w:r>
            <w:tab/>
          </w:r>
          <w:r>
            <w:fldChar w:fldCharType="begin"/>
          </w:r>
          <w:r>
            <w:instrText xml:space="preserve"> PAGEREF _Toc117243253 \h </w:instrText>
          </w:r>
          <w:r>
            <w:fldChar w:fldCharType="separate"/>
          </w:r>
          <w:r>
            <w:t>220</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"_Toc117243254" </w:instrText>
          </w:r>
          <w:r>
            <w:fldChar w:fldCharType="separate"/>
          </w:r>
          <w:r>
            <w:rPr>
              <w:rStyle w:val="91"/>
              <w:rFonts w:eastAsia="仿宋_GB2312"/>
              <w14:scene3d>
                <w14:lightRig w14:rig="threePt" w14:dir="t">
                  <w14:rot w14:lat="0" w14:lon="0" w14:rev="0"/>
                </w14:lightRig>
              </w14:scene3d>
            </w:rPr>
            <w:t>7.2.3</w:t>
          </w:r>
          <w:r>
            <w:rPr>
              <w:rStyle w:val="91"/>
              <w:rFonts w:eastAsia="仿宋_GB2312"/>
            </w:rPr>
            <w:t xml:space="preserve"> 场址设计安全</w:t>
          </w:r>
          <w:r>
            <w:tab/>
          </w:r>
          <w:r>
            <w:fldChar w:fldCharType="begin"/>
          </w:r>
          <w:r>
            <w:instrText xml:space="preserve"> PAGEREF _Toc117243254 \h </w:instrText>
          </w:r>
          <w:r>
            <w:fldChar w:fldCharType="separate"/>
          </w:r>
          <w:r>
            <w:t>222</w:t>
          </w:r>
          <w:r>
            <w:fldChar w:fldCharType="end"/>
          </w:r>
          <w:r>
            <w:fldChar w:fldCharType="end"/>
          </w:r>
        </w:p>
        <w:p>
          <w:pPr>
            <w:pStyle w:val="51"/>
            <w:contextualSpacing w:val="0"/>
            <w:rPr>
              <w:rFonts w:asciiTheme="minorHAnsi" w:hAnsiTheme="minorHAnsi" w:eastAsiaTheme="minorEastAsia"/>
              <w:b w:val="0"/>
              <w:sz w:val="21"/>
              <w:szCs w:val="22"/>
            </w:rPr>
          </w:pPr>
          <w:r>
            <w:fldChar w:fldCharType="begin"/>
          </w:r>
          <w:r>
            <w:instrText xml:space="preserve"> HYPERLINK \l "_Toc117243255" </w:instrText>
          </w:r>
          <w:r>
            <w:fldChar w:fldCharType="separate"/>
          </w:r>
          <w:r>
            <w:rPr>
              <w:rStyle w:val="91"/>
              <w:rFonts w:eastAsia="仿宋_GB2312" w:cs="Times New Roman"/>
              <w14:scene3d>
                <w14:lightRig w14:rig="threePt" w14:dir="t">
                  <w14:rot w14:lat="0" w14:lon="0" w14:rev="0"/>
                </w14:lightRig>
              </w14:scene3d>
            </w:rPr>
            <w:t>第8章</w:t>
          </w:r>
          <w:r>
            <w:rPr>
              <w:rFonts w:asciiTheme="minorHAnsi" w:hAnsiTheme="minorHAnsi" w:eastAsiaTheme="minorEastAsia"/>
              <w:b w:val="0"/>
              <w:sz w:val="21"/>
              <w:szCs w:val="22"/>
            </w:rPr>
            <w:tab/>
          </w:r>
          <w:r>
            <w:rPr>
              <w:rStyle w:val="91"/>
              <w:rFonts w:eastAsia="仿宋_GB2312" w:cs="Times New Roman"/>
            </w:rPr>
            <w:t>重点任务及实施计划</w:t>
          </w:r>
          <w:r>
            <w:tab/>
          </w:r>
          <w:r>
            <w:fldChar w:fldCharType="begin"/>
          </w:r>
          <w:r>
            <w:instrText xml:space="preserve"> PAGEREF _Toc117243255 \h </w:instrText>
          </w:r>
          <w:r>
            <w:fldChar w:fldCharType="separate"/>
          </w:r>
          <w:r>
            <w:t>224</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"_Toc117243256" </w:instrText>
          </w:r>
          <w:r>
            <w:fldChar w:fldCharType="separate"/>
          </w:r>
          <w:r>
            <w:rPr>
              <w:rStyle w:val="91"/>
              <w:rFonts w:eastAsia="仿宋_GB2312" w:cs="Times New Roman"/>
              <w14:scene3d>
                <w14:lightRig w14:rig="threePt" w14:dir="t">
                  <w14:rot w14:lat="0" w14:lon="0" w14:rev="0"/>
                </w14:lightRig>
              </w14:scene3d>
            </w:rPr>
            <w:t>8.1</w:t>
          </w:r>
          <w:r>
            <w:rPr>
              <w:rStyle w:val="91"/>
              <w:rFonts w:eastAsia="仿宋_GB2312" w:cs="Times New Roman"/>
            </w:rPr>
            <w:t xml:space="preserve"> 重点任务</w:t>
          </w:r>
          <w:r>
            <w:tab/>
          </w:r>
          <w:r>
            <w:fldChar w:fldCharType="begin"/>
          </w:r>
          <w:r>
            <w:instrText xml:space="preserve"> PAGEREF _Toc117243256 \h </w:instrText>
          </w:r>
          <w:r>
            <w:fldChar w:fldCharType="separate"/>
          </w:r>
          <w:r>
            <w:t>224</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"_Toc117243257" </w:instrText>
          </w:r>
          <w:r>
            <w:fldChar w:fldCharType="separate"/>
          </w:r>
          <w:r>
            <w:rPr>
              <w:rStyle w:val="91"/>
              <w:rFonts w:eastAsia="仿宋_GB2312"/>
              <w14:scene3d>
                <w14:lightRig w14:rig="threePt" w14:dir="t">
                  <w14:rot w14:lat="0" w14:lon="0" w14:rev="0"/>
                </w14:lightRig>
              </w14:scene3d>
            </w:rPr>
            <w:t>8.1.1</w:t>
          </w:r>
          <w:r>
            <w:rPr>
              <w:rStyle w:val="91"/>
              <w:rFonts w:eastAsia="仿宋_GB2312"/>
            </w:rPr>
            <w:t xml:space="preserve"> 推动充电基础设施体系建设</w:t>
          </w:r>
          <w:r>
            <w:tab/>
          </w:r>
          <w:r>
            <w:fldChar w:fldCharType="begin"/>
          </w:r>
          <w:r>
            <w:instrText xml:space="preserve"> PAGEREF _Toc117243257 \h </w:instrText>
          </w:r>
          <w:r>
            <w:fldChar w:fldCharType="separate"/>
          </w:r>
          <w:r>
            <w:t>224</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"_Toc117243258" </w:instrText>
          </w:r>
          <w:r>
            <w:fldChar w:fldCharType="separate"/>
          </w:r>
          <w:r>
            <w:rPr>
              <w:rStyle w:val="91"/>
              <w:rFonts w:eastAsia="仿宋_GB2312"/>
              <w14:scene3d>
                <w14:lightRig w14:rig="threePt" w14:dir="t">
                  <w14:rot w14:lat="0" w14:lon="0" w14:rev="0"/>
                </w14:lightRig>
              </w14:scene3d>
            </w:rPr>
            <w:t>8.1.2</w:t>
          </w:r>
          <w:r>
            <w:rPr>
              <w:rStyle w:val="91"/>
              <w:rFonts w:eastAsia="仿宋_GB2312"/>
            </w:rPr>
            <w:t xml:space="preserve"> 加强服务平台管理</w:t>
          </w:r>
          <w:r>
            <w:tab/>
          </w:r>
          <w:r>
            <w:fldChar w:fldCharType="begin"/>
          </w:r>
          <w:r>
            <w:instrText xml:space="preserve"> PAGEREF _Toc117243258 \h </w:instrText>
          </w:r>
          <w:r>
            <w:fldChar w:fldCharType="separate"/>
          </w:r>
          <w:r>
            <w:t>225</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"_Toc117243259" </w:instrText>
          </w:r>
          <w:r>
            <w:fldChar w:fldCharType="separate"/>
          </w:r>
          <w:r>
            <w:rPr>
              <w:rStyle w:val="91"/>
              <w:rFonts w:eastAsia="仿宋_GB2312"/>
              <w14:scene3d>
                <w14:lightRig w14:rig="threePt" w14:dir="t">
                  <w14:rot w14:lat="0" w14:lon="0" w14:rev="0"/>
                </w14:lightRig>
              </w14:scene3d>
            </w:rPr>
            <w:t>8.1.3</w:t>
          </w:r>
          <w:r>
            <w:rPr>
              <w:rStyle w:val="91"/>
              <w:rFonts w:eastAsia="仿宋_GB2312"/>
            </w:rPr>
            <w:t xml:space="preserve"> 加强配套电网保障能力</w:t>
          </w:r>
          <w:r>
            <w:tab/>
          </w:r>
          <w:r>
            <w:fldChar w:fldCharType="begin"/>
          </w:r>
          <w:r>
            <w:instrText xml:space="preserve"> PAGEREF _Toc117243259 \h </w:instrText>
          </w:r>
          <w:r>
            <w:fldChar w:fldCharType="separate"/>
          </w:r>
          <w:r>
            <w:t>226</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"_Toc117243260" </w:instrText>
          </w:r>
          <w:r>
            <w:fldChar w:fldCharType="separate"/>
          </w:r>
          <w:r>
            <w:rPr>
              <w:rStyle w:val="91"/>
              <w:rFonts w:eastAsia="仿宋_GB2312"/>
              <w14:scene3d>
                <w14:lightRig w14:rig="threePt" w14:dir="t">
                  <w14:rot w14:lat="0" w14:lon="0" w14:rev="0"/>
                </w14:lightRig>
              </w14:scene3d>
            </w:rPr>
            <w:t>8.1.4</w:t>
          </w:r>
          <w:r>
            <w:rPr>
              <w:rStyle w:val="91"/>
              <w:rFonts w:eastAsia="仿宋_GB2312"/>
            </w:rPr>
            <w:t xml:space="preserve"> 探索可持续商业模式</w:t>
          </w:r>
          <w:r>
            <w:tab/>
          </w:r>
          <w:r>
            <w:fldChar w:fldCharType="begin"/>
          </w:r>
          <w:r>
            <w:instrText xml:space="preserve"> PAGEREF _Toc117243260 \h </w:instrText>
          </w:r>
          <w:r>
            <w:fldChar w:fldCharType="separate"/>
          </w:r>
          <w:r>
            <w:t>227</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"_Toc117243261" </w:instrText>
          </w:r>
          <w:r>
            <w:fldChar w:fldCharType="separate"/>
          </w:r>
          <w:r>
            <w:rPr>
              <w:rStyle w:val="91"/>
              <w:rFonts w:eastAsia="仿宋_GB2312"/>
              <w14:scene3d>
                <w14:lightRig w14:rig="threePt" w14:dir="t">
                  <w14:rot w14:lat="0" w14:lon="0" w14:rev="0"/>
                </w14:lightRig>
              </w14:scene3d>
            </w:rPr>
            <w:t>8.1.5</w:t>
          </w:r>
          <w:r>
            <w:rPr>
              <w:rStyle w:val="91"/>
              <w:rFonts w:eastAsia="仿宋_GB2312"/>
            </w:rPr>
            <w:t xml:space="preserve"> 开展相关示范工作</w:t>
          </w:r>
          <w:r>
            <w:tab/>
          </w:r>
          <w:r>
            <w:fldChar w:fldCharType="begin"/>
          </w:r>
          <w:r>
            <w:instrText xml:space="preserve"> PAGEREF _Toc117243261 \h </w:instrText>
          </w:r>
          <w:r>
            <w:fldChar w:fldCharType="separate"/>
          </w:r>
          <w:r>
            <w:t>227</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"_Toc117243262" </w:instrText>
          </w:r>
          <w:r>
            <w:fldChar w:fldCharType="separate"/>
          </w:r>
          <w:r>
            <w:rPr>
              <w:rStyle w:val="91"/>
              <w:rFonts w:eastAsia="仿宋_GB2312" w:cs="Times New Roman"/>
              <w14:scene3d>
                <w14:lightRig w14:rig="threePt" w14:dir="t">
                  <w14:rot w14:lat="0" w14:lon="0" w14:rev="0"/>
                </w14:lightRig>
              </w14:scene3d>
            </w:rPr>
            <w:t>8.2</w:t>
          </w:r>
          <w:r>
            <w:rPr>
              <w:rStyle w:val="91"/>
              <w:rFonts w:eastAsia="仿宋_GB2312" w:cs="Times New Roman"/>
            </w:rPr>
            <w:t xml:space="preserve"> 近期实施计划</w:t>
          </w:r>
          <w:r>
            <w:tab/>
          </w:r>
          <w:r>
            <w:fldChar w:fldCharType="begin"/>
          </w:r>
          <w:r>
            <w:instrText xml:space="preserve"> PAGEREF _Toc117243262 \h </w:instrText>
          </w:r>
          <w:r>
            <w:fldChar w:fldCharType="separate"/>
          </w:r>
          <w:r>
            <w:t>228</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"_Toc117243263" </w:instrText>
          </w:r>
          <w:r>
            <w:fldChar w:fldCharType="separate"/>
          </w:r>
          <w:r>
            <w:rPr>
              <w:rStyle w:val="91"/>
              <w:rFonts w:eastAsia="仿宋_GB2312"/>
              <w14:scene3d>
                <w14:lightRig w14:rig="threePt" w14:dir="t">
                  <w14:rot w14:lat="0" w14:lon="0" w14:rev="0"/>
                </w14:lightRig>
              </w14:scene3d>
            </w:rPr>
            <w:t>8.2.1</w:t>
          </w:r>
          <w:r>
            <w:rPr>
              <w:rStyle w:val="91"/>
              <w:rFonts w:eastAsia="仿宋_GB2312"/>
            </w:rPr>
            <w:t xml:space="preserve"> 总体原则</w:t>
          </w:r>
          <w:r>
            <w:tab/>
          </w:r>
          <w:r>
            <w:fldChar w:fldCharType="begin"/>
          </w:r>
          <w:r>
            <w:instrText xml:space="preserve"> PAGEREF _Toc117243263 \h </w:instrText>
          </w:r>
          <w:r>
            <w:fldChar w:fldCharType="separate"/>
          </w:r>
          <w:r>
            <w:t>228</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"_Toc117243264" </w:instrText>
          </w:r>
          <w:r>
            <w:fldChar w:fldCharType="separate"/>
          </w:r>
          <w:r>
            <w:rPr>
              <w:rStyle w:val="91"/>
              <w:rFonts w:eastAsia="仿宋_GB2312"/>
              <w14:scene3d>
                <w14:lightRig w14:rig="threePt" w14:dir="t">
                  <w14:rot w14:lat="0" w14:lon="0" w14:rev="0"/>
                </w14:lightRig>
              </w14:scene3d>
            </w:rPr>
            <w:t>8.2.2</w:t>
          </w:r>
          <w:r>
            <w:rPr>
              <w:rStyle w:val="91"/>
              <w:rFonts w:eastAsia="仿宋_GB2312"/>
            </w:rPr>
            <w:t xml:space="preserve"> 实施计划</w:t>
          </w:r>
          <w:r>
            <w:tab/>
          </w:r>
          <w:r>
            <w:fldChar w:fldCharType="begin"/>
          </w:r>
          <w:r>
            <w:instrText xml:space="preserve"> PAGEREF _Toc117243264 \h </w:instrText>
          </w:r>
          <w:r>
            <w:fldChar w:fldCharType="separate"/>
          </w:r>
          <w:r>
            <w:t>229</w:t>
          </w:r>
          <w:r>
            <w:fldChar w:fldCharType="end"/>
          </w:r>
          <w:r>
            <w:fldChar w:fldCharType="end"/>
          </w:r>
        </w:p>
        <w:p>
          <w:pPr>
            <w:pStyle w:val="51"/>
            <w:contextualSpacing w:val="0"/>
            <w:rPr>
              <w:rFonts w:asciiTheme="minorHAnsi" w:hAnsiTheme="minorHAnsi" w:eastAsiaTheme="minorEastAsia"/>
              <w:b w:val="0"/>
              <w:sz w:val="21"/>
              <w:szCs w:val="22"/>
            </w:rPr>
          </w:pPr>
          <w:r>
            <w:fldChar w:fldCharType="begin"/>
          </w:r>
          <w:r>
            <w:instrText xml:space="preserve"> HYPERLINK \l "_Toc117243265" </w:instrText>
          </w:r>
          <w:r>
            <w:fldChar w:fldCharType="separate"/>
          </w:r>
          <w:r>
            <w:rPr>
              <w:rStyle w:val="91"/>
              <w:rFonts w:eastAsia="仿宋_GB2312" w:cs="Times New Roman"/>
              <w14:scene3d>
                <w14:lightRig w14:rig="threePt" w14:dir="t">
                  <w14:rot w14:lat="0" w14:lon="0" w14:rev="0"/>
                </w14:lightRig>
              </w14:scene3d>
            </w:rPr>
            <w:t>第9章</w:t>
          </w:r>
          <w:r>
            <w:rPr>
              <w:rFonts w:asciiTheme="minorHAnsi" w:hAnsiTheme="minorHAnsi" w:eastAsiaTheme="minorEastAsia"/>
              <w:b w:val="0"/>
              <w:sz w:val="21"/>
              <w:szCs w:val="22"/>
            </w:rPr>
            <w:tab/>
          </w:r>
          <w:r>
            <w:rPr>
              <w:rStyle w:val="91"/>
              <w:rFonts w:eastAsia="仿宋_GB2312" w:cs="Times New Roman"/>
            </w:rPr>
            <w:t>投资估算及效益分析</w:t>
          </w:r>
          <w:r>
            <w:tab/>
          </w:r>
          <w:r>
            <w:fldChar w:fldCharType="begin"/>
          </w:r>
          <w:r>
            <w:instrText xml:space="preserve"> PAGEREF _Toc117243265 \h </w:instrText>
          </w:r>
          <w:r>
            <w:fldChar w:fldCharType="separate"/>
          </w:r>
          <w:r>
            <w:t>235</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"_Toc117243266" </w:instrText>
          </w:r>
          <w:r>
            <w:fldChar w:fldCharType="separate"/>
          </w:r>
          <w:r>
            <w:rPr>
              <w:rStyle w:val="91"/>
              <w:rFonts w:eastAsia="仿宋_GB2312" w:cs="Times New Roman"/>
              <w14:scene3d>
                <w14:lightRig w14:rig="threePt" w14:dir="t">
                  <w14:rot w14:lat="0" w14:lon="0" w14:rev="0"/>
                </w14:lightRig>
              </w14:scene3d>
            </w:rPr>
            <w:t>9.1</w:t>
          </w:r>
          <w:r>
            <w:rPr>
              <w:rStyle w:val="91"/>
              <w:rFonts w:eastAsia="仿宋_GB2312" w:cs="Times New Roman"/>
            </w:rPr>
            <w:t xml:space="preserve"> 投资估算</w:t>
          </w:r>
          <w:r>
            <w:tab/>
          </w:r>
          <w:r>
            <w:fldChar w:fldCharType="begin"/>
          </w:r>
          <w:r>
            <w:instrText xml:space="preserve"> PAGEREF _Toc117243266 \h </w:instrText>
          </w:r>
          <w:r>
            <w:fldChar w:fldCharType="separate"/>
          </w:r>
          <w:r>
            <w:t>235</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"_Toc117243267" </w:instrText>
          </w:r>
          <w:r>
            <w:fldChar w:fldCharType="separate"/>
          </w:r>
          <w:r>
            <w:rPr>
              <w:rStyle w:val="91"/>
              <w:rFonts w:eastAsia="仿宋_GB2312"/>
              <w14:scene3d>
                <w14:lightRig w14:rig="threePt" w14:dir="t">
                  <w14:rot w14:lat="0" w14:lon="0" w14:rev="0"/>
                </w14:lightRig>
              </w14:scene3d>
            </w:rPr>
            <w:t>9.1.1</w:t>
          </w:r>
          <w:r>
            <w:rPr>
              <w:rStyle w:val="91"/>
              <w:rFonts w:eastAsia="仿宋_GB2312"/>
            </w:rPr>
            <w:t xml:space="preserve"> 编制依据</w:t>
          </w:r>
          <w:r>
            <w:tab/>
          </w:r>
          <w:r>
            <w:fldChar w:fldCharType="begin"/>
          </w:r>
          <w:r>
            <w:instrText xml:space="preserve"> PAGEREF _Toc117243267 \h </w:instrText>
          </w:r>
          <w:r>
            <w:fldChar w:fldCharType="separate"/>
          </w:r>
          <w:r>
            <w:t>235</w:t>
          </w:r>
          <w:r>
            <w:fldChar w:fldCharType="end"/>
          </w:r>
          <w:r>
            <w:fldChar w:fldCharType="end"/>
          </w:r>
        </w:p>
        <w:p>
          <w:pPr>
            <w:pStyle w:val="37"/>
            <w:tabs>
              <w:tab w:val="right" w:leader="dot" w:pos="8296"/>
            </w:tabs>
            <w:adjustRightInd w:val="0"/>
            <w:snapToGrid w:val="0"/>
            <w:spacing w:line="460" w:lineRule="exact"/>
            <w:ind w:firstLine="560"/>
            <w:rPr>
              <w:rFonts w:asciiTheme="minorHAnsi" w:hAnsiTheme="minorHAnsi" w:eastAsiaTheme="minorEastAsia"/>
              <w:sz w:val="21"/>
              <w:szCs w:val="22"/>
            </w:rPr>
          </w:pPr>
          <w:r>
            <w:fldChar w:fldCharType="begin"/>
          </w:r>
          <w:r>
            <w:instrText xml:space="preserve"> HYPERLINK \l "_Toc117243268" </w:instrText>
          </w:r>
          <w:r>
            <w:fldChar w:fldCharType="separate"/>
          </w:r>
          <w:r>
            <w:rPr>
              <w:rStyle w:val="91"/>
              <w:rFonts w:eastAsia="仿宋_GB2312"/>
              <w14:scene3d>
                <w14:lightRig w14:rig="threePt" w14:dir="t">
                  <w14:rot w14:lat="0" w14:lon="0" w14:rev="0"/>
                </w14:lightRig>
              </w14:scene3d>
            </w:rPr>
            <w:t>9.1.2</w:t>
          </w:r>
          <w:r>
            <w:rPr>
              <w:rStyle w:val="91"/>
              <w:rFonts w:eastAsia="仿宋_GB2312"/>
            </w:rPr>
            <w:t xml:space="preserve"> 工程量及投资</w:t>
          </w:r>
          <w:r>
            <w:tab/>
          </w:r>
          <w:r>
            <w:fldChar w:fldCharType="begin"/>
          </w:r>
          <w:r>
            <w:instrText xml:space="preserve"> PAGEREF _Toc117243268 \h </w:instrText>
          </w:r>
          <w:r>
            <w:fldChar w:fldCharType="separate"/>
          </w:r>
          <w:r>
            <w:t>235</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"_Toc117243269" </w:instrText>
          </w:r>
          <w:r>
            <w:fldChar w:fldCharType="separate"/>
          </w:r>
          <w:r>
            <w:rPr>
              <w:rStyle w:val="91"/>
              <w:rFonts w:eastAsia="仿宋_GB2312" w:cs="Times New Roman"/>
              <w14:scene3d>
                <w14:lightRig w14:rig="threePt" w14:dir="t">
                  <w14:rot w14:lat="0" w14:lon="0" w14:rev="0"/>
                </w14:lightRig>
              </w14:scene3d>
            </w:rPr>
            <w:t>9.2</w:t>
          </w:r>
          <w:r>
            <w:rPr>
              <w:rStyle w:val="91"/>
              <w:rFonts w:eastAsia="仿宋_GB2312" w:cs="Times New Roman"/>
            </w:rPr>
            <w:t xml:space="preserve"> 实施效益</w:t>
          </w:r>
          <w:r>
            <w:tab/>
          </w:r>
          <w:r>
            <w:fldChar w:fldCharType="begin"/>
          </w:r>
          <w:r>
            <w:instrText xml:space="preserve"> PAGEREF _Toc117243269 \h </w:instrText>
          </w:r>
          <w:r>
            <w:fldChar w:fldCharType="separate"/>
          </w:r>
          <w:r>
            <w:t>236</w:t>
          </w:r>
          <w:r>
            <w:fldChar w:fldCharType="end"/>
          </w:r>
          <w:r>
            <w:fldChar w:fldCharType="end"/>
          </w:r>
        </w:p>
        <w:p>
          <w:pPr>
            <w:pStyle w:val="51"/>
            <w:contextualSpacing w:val="0"/>
            <w:rPr>
              <w:rFonts w:asciiTheme="minorHAnsi" w:hAnsiTheme="minorHAnsi" w:eastAsiaTheme="minorEastAsia"/>
              <w:b w:val="0"/>
              <w:sz w:val="21"/>
              <w:szCs w:val="22"/>
            </w:rPr>
          </w:pPr>
          <w:r>
            <w:fldChar w:fldCharType="begin"/>
          </w:r>
          <w:r>
            <w:instrText xml:space="preserve"> HYPERLINK \l "_Toc117243270" </w:instrText>
          </w:r>
          <w:r>
            <w:fldChar w:fldCharType="separate"/>
          </w:r>
          <w:r>
            <w:rPr>
              <w:rStyle w:val="91"/>
              <w:rFonts w:eastAsia="仿宋_GB2312" w:cs="Times New Roman"/>
              <w14:scene3d>
                <w14:lightRig w14:rig="threePt" w14:dir="t">
                  <w14:rot w14:lat="0" w14:lon="0" w14:rev="0"/>
                </w14:lightRig>
              </w14:scene3d>
            </w:rPr>
            <w:t>第10章</w:t>
          </w:r>
          <w:r>
            <w:rPr>
              <w:rFonts w:asciiTheme="minorHAnsi" w:hAnsiTheme="minorHAnsi" w:eastAsiaTheme="minorEastAsia"/>
              <w:b w:val="0"/>
              <w:sz w:val="21"/>
              <w:szCs w:val="22"/>
            </w:rPr>
            <w:tab/>
          </w:r>
          <w:r>
            <w:rPr>
              <w:rStyle w:val="91"/>
              <w:rFonts w:eastAsia="仿宋_GB2312" w:cs="Times New Roman"/>
            </w:rPr>
            <w:t>结论及建议</w:t>
          </w:r>
          <w:r>
            <w:tab/>
          </w:r>
          <w:r>
            <w:fldChar w:fldCharType="begin"/>
          </w:r>
          <w:r>
            <w:instrText xml:space="preserve"> PAGEREF _Toc117243270 \h </w:instrText>
          </w:r>
          <w:r>
            <w:fldChar w:fldCharType="separate"/>
          </w:r>
          <w:r>
            <w:t>242</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"_Toc117243271" </w:instrText>
          </w:r>
          <w:r>
            <w:fldChar w:fldCharType="separate"/>
          </w:r>
          <w:r>
            <w:rPr>
              <w:rStyle w:val="91"/>
              <w:rFonts w:eastAsia="仿宋_GB2312" w:cs="Times New Roman"/>
              <w14:scene3d>
                <w14:lightRig w14:rig="threePt" w14:dir="t">
                  <w14:rot w14:lat="0" w14:lon="0" w14:rev="0"/>
                </w14:lightRig>
              </w14:scene3d>
            </w:rPr>
            <w:t>10.1</w:t>
          </w:r>
          <w:r>
            <w:rPr>
              <w:rStyle w:val="91"/>
              <w:rFonts w:eastAsia="仿宋_GB2312" w:cs="Times New Roman"/>
            </w:rPr>
            <w:t xml:space="preserve"> 结论</w:t>
          </w:r>
          <w:r>
            <w:tab/>
          </w:r>
          <w:r>
            <w:fldChar w:fldCharType="begin"/>
          </w:r>
          <w:r>
            <w:instrText xml:space="preserve"> PAGEREF _Toc117243271 \h </w:instrText>
          </w:r>
          <w:r>
            <w:fldChar w:fldCharType="separate"/>
          </w:r>
          <w:r>
            <w:t>242</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"_Toc117243272" </w:instrText>
          </w:r>
          <w:r>
            <w:fldChar w:fldCharType="separate"/>
          </w:r>
          <w:r>
            <w:rPr>
              <w:rStyle w:val="91"/>
              <w:rFonts w:eastAsia="仿宋_GB2312" w:cs="Times New Roman"/>
              <w14:scene3d>
                <w14:lightRig w14:rig="threePt" w14:dir="t">
                  <w14:rot w14:lat="0" w14:lon="0" w14:rev="0"/>
                </w14:lightRig>
              </w14:scene3d>
            </w:rPr>
            <w:t>10.2</w:t>
          </w:r>
          <w:r>
            <w:rPr>
              <w:rStyle w:val="91"/>
              <w:rFonts w:eastAsia="仿宋_GB2312" w:cs="Times New Roman"/>
            </w:rPr>
            <w:t xml:space="preserve"> 建议</w:t>
          </w:r>
          <w:r>
            <w:tab/>
          </w:r>
          <w:r>
            <w:fldChar w:fldCharType="begin"/>
          </w:r>
          <w:r>
            <w:instrText xml:space="preserve"> PAGEREF _Toc117243272 \h </w:instrText>
          </w:r>
          <w:r>
            <w:fldChar w:fldCharType="separate"/>
          </w:r>
          <w:r>
            <w:t>243</w:t>
          </w:r>
          <w:r>
            <w:fldChar w:fldCharType="end"/>
          </w:r>
          <w:r>
            <w:fldChar w:fldCharType="end"/>
          </w:r>
        </w:p>
        <w:p>
          <w:pPr>
            <w:pStyle w:val="51"/>
            <w:contextualSpacing w:val="0"/>
            <w:rPr>
              <w:rFonts w:asciiTheme="minorHAnsi" w:hAnsiTheme="minorHAnsi" w:eastAsiaTheme="minorEastAsia"/>
              <w:b w:val="0"/>
              <w:sz w:val="21"/>
              <w:szCs w:val="22"/>
            </w:rPr>
          </w:pPr>
          <w:r>
            <w:fldChar w:fldCharType="begin"/>
          </w:r>
          <w:r>
            <w:instrText xml:space="preserve"> HYPERLINK \l "_Toc117243273" </w:instrText>
          </w:r>
          <w:r>
            <w:fldChar w:fldCharType="separate"/>
          </w:r>
          <w:r>
            <w:rPr>
              <w:rStyle w:val="91"/>
              <w:rFonts w:eastAsia="仿宋_GB2312" w:cs="Times New Roman"/>
            </w:rPr>
            <w:t>附图 咸宁市新能源汽车充电设施布局图</w:t>
          </w:r>
          <w:r>
            <w:tab/>
          </w:r>
          <w:r>
            <w:fldChar w:fldCharType="begin"/>
          </w:r>
          <w:r>
            <w:instrText xml:space="preserve"> PAGEREF _Toc117243273 \h </w:instrText>
          </w:r>
          <w:r>
            <w:fldChar w:fldCharType="separate"/>
          </w:r>
          <w:r>
            <w:t>246</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"_Toc117243274" </w:instrText>
          </w:r>
          <w:r>
            <w:fldChar w:fldCharType="separate"/>
          </w:r>
          <w:r>
            <w:rPr>
              <w:rStyle w:val="91"/>
              <w:rFonts w:eastAsia="仿宋_GB2312" w:cs="Times New Roman"/>
            </w:rPr>
            <w:t>1.咸宁市2025年高速充电站布局图</w:t>
          </w:r>
          <w:r>
            <w:tab/>
          </w:r>
          <w:r>
            <w:fldChar w:fldCharType="begin"/>
          </w:r>
          <w:r>
            <w:instrText xml:space="preserve"> PAGEREF _Toc117243274 \h </w:instrText>
          </w:r>
          <w:r>
            <w:fldChar w:fldCharType="separate"/>
          </w:r>
          <w:r>
            <w:t>246</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"_Toc117243275" </w:instrText>
          </w:r>
          <w:r>
            <w:fldChar w:fldCharType="separate"/>
          </w:r>
          <w:r>
            <w:rPr>
              <w:rStyle w:val="91"/>
              <w:rFonts w:eastAsia="仿宋_GB2312" w:cs="Times New Roman"/>
            </w:rPr>
            <w:t>2.咸宁市2025年公共充电站布局图</w:t>
          </w:r>
          <w:r>
            <w:tab/>
          </w:r>
          <w:r>
            <w:fldChar w:fldCharType="begin"/>
          </w:r>
          <w:r>
            <w:instrText xml:space="preserve"> PAGEREF _Toc117243275 \h </w:instrText>
          </w:r>
          <w:r>
            <w:fldChar w:fldCharType="separate"/>
          </w:r>
          <w:r>
            <w:t>246</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"_Toc117243276" </w:instrText>
          </w:r>
          <w:r>
            <w:fldChar w:fldCharType="separate"/>
          </w:r>
          <w:r>
            <w:rPr>
              <w:rStyle w:val="91"/>
              <w:rFonts w:eastAsia="仿宋_GB2312" w:cs="Times New Roman"/>
            </w:rPr>
            <w:t>3.咸宁市2025年物流充电站布局图</w:t>
          </w:r>
          <w:r>
            <w:tab/>
          </w:r>
          <w:r>
            <w:fldChar w:fldCharType="begin"/>
          </w:r>
          <w:r>
            <w:instrText xml:space="preserve"> PAGEREF _Toc117243276 \h </w:instrText>
          </w:r>
          <w:r>
            <w:fldChar w:fldCharType="separate"/>
          </w:r>
          <w:r>
            <w:t>246</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"_Toc117243277" </w:instrText>
          </w:r>
          <w:r>
            <w:fldChar w:fldCharType="separate"/>
          </w:r>
          <w:r>
            <w:rPr>
              <w:rStyle w:val="91"/>
              <w:rFonts w:eastAsia="仿宋_GB2312" w:cs="Times New Roman"/>
            </w:rPr>
            <w:t>4.咸宁市2025年环卫充电站布局图</w:t>
          </w:r>
          <w:r>
            <w:tab/>
          </w:r>
          <w:r>
            <w:fldChar w:fldCharType="begin"/>
          </w:r>
          <w:r>
            <w:instrText xml:space="preserve"> PAGEREF _Toc117243277 \h </w:instrText>
          </w:r>
          <w:r>
            <w:fldChar w:fldCharType="separate"/>
          </w:r>
          <w:r>
            <w:t>246</w:t>
          </w:r>
          <w:r>
            <w:fldChar w:fldCharType="end"/>
          </w:r>
          <w:r>
            <w:fldChar w:fldCharType="end"/>
          </w:r>
        </w:p>
        <w:p>
          <w:pPr>
            <w:pStyle w:val="63"/>
            <w:adjustRightInd w:val="0"/>
            <w:contextualSpacing w:val="0"/>
            <w:rPr>
              <w:rFonts w:asciiTheme="minorHAnsi" w:hAnsiTheme="minorHAnsi" w:eastAsiaTheme="minorEastAsia"/>
              <w:b w:val="0"/>
              <w:sz w:val="21"/>
              <w:szCs w:val="22"/>
            </w:rPr>
          </w:pPr>
          <w:r>
            <w:fldChar w:fldCharType="begin"/>
          </w:r>
          <w:r>
            <w:instrText xml:space="preserve"> HYPERLINK \l "_Toc117243278" </w:instrText>
          </w:r>
          <w:r>
            <w:fldChar w:fldCharType="separate"/>
          </w:r>
          <w:r>
            <w:rPr>
              <w:rStyle w:val="91"/>
              <w:rFonts w:eastAsia="仿宋_GB2312" w:cs="Times New Roman"/>
            </w:rPr>
            <w:t>5.咸宁远景年物流充电站布局图</w:t>
          </w:r>
          <w:r>
            <w:tab/>
          </w:r>
          <w:r>
            <w:fldChar w:fldCharType="begin"/>
          </w:r>
          <w:r>
            <w:instrText xml:space="preserve"> PAGEREF _Toc117243278 \h </w:instrText>
          </w:r>
          <w:r>
            <w:fldChar w:fldCharType="separate"/>
          </w:r>
          <w:r>
            <w:t>246</w:t>
          </w:r>
          <w:r>
            <w:fldChar w:fldCharType="end"/>
          </w:r>
          <w:r>
            <w:fldChar w:fldCharType="end"/>
          </w:r>
        </w:p>
        <w:p>
          <w:pPr>
            <w:pStyle w:val="51"/>
            <w:contextualSpacing w:val="0"/>
            <w:rPr>
              <w:rFonts w:asciiTheme="minorHAnsi" w:hAnsiTheme="minorHAnsi" w:eastAsiaTheme="minorEastAsia"/>
              <w:b w:val="0"/>
              <w:sz w:val="21"/>
              <w:szCs w:val="22"/>
            </w:rPr>
          </w:pPr>
          <w:r>
            <w:fldChar w:fldCharType="begin"/>
          </w:r>
          <w:r>
            <w:instrText xml:space="preserve"> HYPERLINK \l "_Toc117243279" </w:instrText>
          </w:r>
          <w:r>
            <w:fldChar w:fldCharType="separate"/>
          </w:r>
          <w:r>
            <w:rPr>
              <w:rStyle w:val="91"/>
              <w:rFonts w:eastAsia="仿宋_GB2312" w:cs="Times New Roman"/>
            </w:rPr>
            <w:t>附表 咸宁市2025年充电设施布局项目表</w:t>
          </w:r>
          <w:r>
            <w:tab/>
          </w:r>
          <w:r>
            <w:fldChar w:fldCharType="begin"/>
          </w:r>
          <w:r>
            <w:instrText xml:space="preserve"> PAGEREF _Toc117243279 \h </w:instrText>
          </w:r>
          <w:r>
            <w:fldChar w:fldCharType="separate"/>
          </w:r>
          <w:r>
            <w:t>247</w:t>
          </w:r>
          <w:r>
            <w:fldChar w:fldCharType="end"/>
          </w:r>
          <w:r>
            <w:fldChar w:fldCharType="end"/>
          </w:r>
        </w:p>
        <w:p>
          <w:pPr>
            <w:adjustRightInd w:val="0"/>
            <w:snapToGrid w:val="0"/>
            <w:spacing w:line="460" w:lineRule="exact"/>
            <w:ind w:firstLine="560"/>
            <w:rPr>
              <w:rFonts w:eastAsia="仿宋_GB2312" w:cs="Times New Roman"/>
            </w:rPr>
          </w:pPr>
          <w:r>
            <w:rPr>
              <w:rFonts w:eastAsia="仿宋_GB2312" w:cs="Times New Roman"/>
              <w:bCs/>
              <w:color w:val="000000" w:themeColor="text1"/>
              <w:lang w:val="zh-CN"/>
              <w14:textFill>
                <w14:solidFill>
                  <w14:schemeClr w14:val="tx1"/>
                </w14:solidFill>
              </w14:textFill>
            </w:rPr>
            <w:fldChar w:fldCharType="end"/>
          </w:r>
        </w:p>
      </w:sdtContent>
    </w:sdt>
    <w:p>
      <w:pPr>
        <w:pStyle w:val="2"/>
        <w:numPr>
          <w:ilvl w:val="0"/>
          <w:numId w:val="9"/>
        </w:numPr>
        <w:rPr>
          <w:rFonts w:eastAsia="仿宋_GB2312" w:cs="Times New Roman"/>
          <w:sz w:val="24"/>
          <w:szCs w:val="24"/>
        </w:rPr>
        <w:sectPr>
          <w:pgSz w:w="11906" w:h="16838"/>
          <w:pgMar w:top="1440" w:right="1800" w:bottom="1440" w:left="1800" w:header="851" w:footer="992" w:gutter="0"/>
          <w:pgNumType w:fmt="upperRoman" w:start="1"/>
          <w:cols w:space="425" w:num="1"/>
          <w:docGrid w:type="lines" w:linePitch="312" w:charSpace="0"/>
        </w:sectPr>
      </w:pPr>
    </w:p>
    <w:p>
      <w:pPr>
        <w:pStyle w:val="2"/>
        <w:numPr>
          <w:ilvl w:val="0"/>
          <w:numId w:val="9"/>
        </w:numPr>
        <w:rPr>
          <w:rFonts w:eastAsia="仿宋_GB2312" w:cs="Times New Roman"/>
        </w:rPr>
      </w:pPr>
      <w:bookmarkStart w:id="1" w:name="_Toc61257679"/>
      <w:bookmarkStart w:id="2" w:name="_Toc117243165"/>
      <w:bookmarkStart w:id="3" w:name="_Hlk5176641"/>
      <w:r>
        <w:rPr>
          <w:rFonts w:eastAsia="仿宋_GB2312" w:cs="Times New Roman"/>
        </w:rPr>
        <w:t>前言</w:t>
      </w:r>
      <w:bookmarkEnd w:id="1"/>
      <w:bookmarkEnd w:id="2"/>
    </w:p>
    <w:p>
      <w:pPr>
        <w:pStyle w:val="3"/>
        <w:adjustRightInd w:val="0"/>
        <w:rPr>
          <w:rFonts w:eastAsia="仿宋_GB2312" w:cs="Times New Roman"/>
        </w:rPr>
      </w:pPr>
      <w:bookmarkStart w:id="4" w:name="_Toc61257680"/>
      <w:bookmarkStart w:id="5" w:name="_Toc117243166"/>
      <w:r>
        <w:rPr>
          <w:rFonts w:eastAsia="仿宋_GB2312" w:cs="Times New Roman"/>
        </w:rPr>
        <w:t>规划背景</w:t>
      </w:r>
      <w:bookmarkEnd w:id="4"/>
      <w:bookmarkEnd w:id="5"/>
    </w:p>
    <w:p>
      <w:pPr>
        <w:topLinePunct/>
        <w:adjustRightInd w:val="0"/>
        <w:snapToGrid w:val="0"/>
        <w:ind w:firstLine="562"/>
        <w:rPr>
          <w:rFonts w:eastAsia="仿宋_GB2312" w:cs="Times New Roman"/>
          <w:b/>
          <w:bCs/>
        </w:rPr>
      </w:pPr>
      <w:bookmarkStart w:id="6" w:name="OLE_LINK7"/>
      <w:r>
        <w:rPr>
          <w:rFonts w:eastAsia="仿宋_GB2312" w:cs="Times New Roman"/>
          <w:b/>
          <w:bCs/>
        </w:rPr>
        <w:t>1.新能源汽车快速发展</w:t>
      </w:r>
    </w:p>
    <w:bookmarkEnd w:id="6"/>
    <w:p>
      <w:pPr>
        <w:topLinePunct/>
        <w:adjustRightInd w:val="0"/>
        <w:snapToGrid w:val="0"/>
        <w:ind w:firstLine="562"/>
        <w:rPr>
          <w:rFonts w:eastAsia="仿宋_GB2312" w:cs="Times New Roman"/>
        </w:rPr>
      </w:pPr>
      <w:r>
        <w:rPr>
          <w:rFonts w:eastAsia="仿宋_GB2312" w:cs="Times New Roman"/>
          <w:b/>
          <w:bCs/>
        </w:rPr>
        <w:t>能源危机：</w:t>
      </w:r>
      <w:r>
        <w:rPr>
          <w:rFonts w:eastAsia="仿宋_GB2312" w:cs="Times New Roman"/>
        </w:rPr>
        <w:t>随着国际形势变化，全球石油价格上涨，经济大国能源紧缺问题日益严重。现阶段以石油为主的燃油车使用成本越来越高，而世界上主要汽车消费国石油自给率不高，石油储备越来越不能满足各国消费需要，</w:t>
      </w:r>
      <w:r>
        <w:rPr>
          <w:rFonts w:hint="eastAsia" w:eastAsia="仿宋_GB2312" w:cs="Times New Roman"/>
        </w:rPr>
        <w:t>中、美、日、德、法作为全球主要汽车消费国，石油自给率均不高，其中中国石油供给率仅为27%，美国石油自给率为33%，而日本德国法国的自给率均在10%以下</w:t>
      </w:r>
      <w:r>
        <w:rPr>
          <w:rFonts w:eastAsia="仿宋_GB2312" w:cs="Times New Roman"/>
        </w:rPr>
        <w:t>。</w:t>
      </w:r>
    </w:p>
    <w:p>
      <w:pPr>
        <w:topLinePunct/>
        <w:adjustRightInd w:val="0"/>
        <w:snapToGrid w:val="0"/>
        <w:ind w:firstLine="562"/>
        <w:rPr>
          <w:rFonts w:eastAsia="仿宋_GB2312" w:cs="Times New Roman"/>
        </w:rPr>
      </w:pPr>
      <w:r>
        <w:rPr>
          <w:rFonts w:eastAsia="仿宋_GB2312" w:cs="Times New Roman"/>
          <w:b/>
          <w:bCs/>
        </w:rPr>
        <w:t>气候变化：</w:t>
      </w:r>
      <w:r>
        <w:rPr>
          <w:rFonts w:eastAsia="仿宋_GB2312" w:cs="Times New Roman"/>
        </w:rPr>
        <w:t>传统燃油汽车所排放的尾气是大气污染的主要污染源之一。尾气中二氧化碳致使全球变暖，使气候变化加剧，引发热浪、飓风、洪涝及干旱；二氧化硫和氮氧化物在大气中分别转化成硫酸和硝酸，出现酸雨现象，破坏生态系统的平衡；尾气排放也是近期倍受关注的 PM2.5主要来源，汽车尾气碳排放占全球碳排放量的 25%，加剧了全球气候变暖</w:t>
      </w:r>
      <w:r>
        <w:rPr>
          <w:rFonts w:hint="eastAsia" w:eastAsia="仿宋_GB2312" w:cs="Times New Roman"/>
        </w:rPr>
        <w:t>，是</w:t>
      </w:r>
      <w:r>
        <w:rPr>
          <w:rFonts w:eastAsia="仿宋_GB2312" w:cs="Times New Roman"/>
        </w:rPr>
        <w:t>全球气候变暖</w:t>
      </w:r>
      <w:r>
        <w:rPr>
          <w:rFonts w:hint="eastAsia" w:eastAsia="仿宋_GB2312" w:cs="Times New Roman"/>
        </w:rPr>
        <w:t>的主要推手之一</w:t>
      </w:r>
      <w:r>
        <w:rPr>
          <w:rFonts w:eastAsia="仿宋_GB2312" w:cs="Times New Roman"/>
        </w:rPr>
        <w:t>。</w:t>
      </w:r>
    </w:p>
    <w:p>
      <w:pPr>
        <w:topLinePunct/>
        <w:adjustRightInd w:val="0"/>
        <w:snapToGrid w:val="0"/>
        <w:ind w:firstLine="562"/>
        <w:rPr>
          <w:rFonts w:eastAsia="仿宋_GB2312" w:cs="Times New Roman"/>
        </w:rPr>
      </w:pPr>
      <w:r>
        <w:rPr>
          <w:rFonts w:eastAsia="仿宋_GB2312" w:cs="Times New Roman"/>
          <w:b/>
          <w:bCs/>
        </w:rPr>
        <w:t>“双碳”目标：</w:t>
      </w:r>
      <w:r>
        <w:rPr>
          <w:rFonts w:eastAsia="仿宋_GB2312" w:cs="Times New Roman"/>
        </w:rPr>
        <w:t>我国二氧化碳排放全球第一，国家提出“双碳”战略，倡导绿色、环保、低碳的生活方式。发展新能源汽车能有效减少二氧化碳排放。交通运输行业的低碳转型被列入中国“碳达峰”十大行动之一，新能源汽车发展是道路交通领域实现“双碳”目标的必由之路。</w:t>
      </w:r>
    </w:p>
    <w:p>
      <w:pPr>
        <w:topLinePunct/>
        <w:adjustRightInd w:val="0"/>
        <w:snapToGrid w:val="0"/>
        <w:ind w:firstLine="562"/>
        <w:rPr>
          <w:rFonts w:eastAsia="仿宋_GB2312" w:cs="Times New Roman"/>
        </w:rPr>
      </w:pPr>
      <w:r>
        <w:rPr>
          <w:rFonts w:eastAsia="仿宋_GB2312" w:cs="Times New Roman"/>
          <w:b/>
          <w:bCs/>
        </w:rPr>
        <w:t>在全球能源危机、世界气候变化和国家提出“双碳”目标的发展背景下，燃油车使用成本高、汽车尾气危害大等弊端越来越受到重视，</w:t>
      </w:r>
      <w:r>
        <w:rPr>
          <w:rFonts w:eastAsia="仿宋_GB2312" w:cs="Times New Roman"/>
        </w:rPr>
        <w:t>不管是从政治还是经济角度考虑，鼓励发展新能源汽车，降低石油对外依赖是各国政府制定汽车产业政策的必要选择</w:t>
      </w:r>
      <w:r>
        <w:rPr>
          <w:rFonts w:hint="eastAsia" w:eastAsia="仿宋_GB2312" w:cs="Times New Roman"/>
        </w:rPr>
        <w:t>；</w:t>
      </w:r>
      <w:r>
        <w:rPr>
          <w:rFonts w:eastAsia="仿宋_GB2312" w:cs="Times New Roman"/>
        </w:rPr>
        <w:t>同时我国传统汽车工业起步晚、产业落后，发展新能源汽车也是实现汽车工业弯道超车的绝佳机会。目前新能源车发展迅速，具有巨大的发展潜力，</w:t>
      </w:r>
      <w:r>
        <w:rPr>
          <w:rFonts w:eastAsia="仿宋_GB2312" w:cs="Times New Roman"/>
          <w:bCs/>
        </w:rPr>
        <w:t xml:space="preserve">部分国家也陆续出台了燃油车禁售时间，无论是从国家还是汽车企业层面，燃油车逐步被淘汰、新能源汽车成为主流是必然的结果。 </w:t>
      </w:r>
    </w:p>
    <w:p>
      <w:pPr>
        <w:pStyle w:val="19"/>
        <w:ind w:firstLine="480"/>
        <w:rPr>
          <w:rFonts w:eastAsia="仿宋_GB2312" w:cs="Times New Roman"/>
          <w:bCs/>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1</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r>
        <w:rPr>
          <w:rFonts w:eastAsia="仿宋_GB2312" w:cs="Times New Roman"/>
        </w:rPr>
        <w:t>各国禁售燃油车时间表</w:t>
      </w:r>
    </w:p>
    <w:tbl>
      <w:tblPr>
        <w:tblStyle w:val="76"/>
        <w:tblW w:w="4983" w:type="pct"/>
        <w:tblInd w:w="0" w:type="dxa"/>
        <w:tblLayout w:type="autofit"/>
        <w:tblCellMar>
          <w:top w:w="0" w:type="dxa"/>
          <w:left w:w="108" w:type="dxa"/>
          <w:bottom w:w="0" w:type="dxa"/>
          <w:right w:w="108" w:type="dxa"/>
        </w:tblCellMar>
      </w:tblPr>
      <w:tblGrid>
        <w:gridCol w:w="688"/>
        <w:gridCol w:w="688"/>
        <w:gridCol w:w="7117"/>
      </w:tblGrid>
      <w:tr>
        <w:tblPrEx>
          <w:tblCellMar>
            <w:top w:w="0" w:type="dxa"/>
            <w:left w:w="108" w:type="dxa"/>
            <w:bottom w:w="0" w:type="dxa"/>
            <w:right w:w="108" w:type="dxa"/>
          </w:tblCellMar>
        </w:tblPrEx>
        <w:trPr>
          <w:trHeight w:val="191" w:hRule="atLeast"/>
          <w:tblHeader/>
        </w:trPr>
        <w:tc>
          <w:tcPr>
            <w:tcW w:w="405"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仿宋_GB2312" w:cs="Times New Roman"/>
                <w:b/>
                <w:bCs/>
                <w:kern w:val="0"/>
                <w:sz w:val="21"/>
                <w:szCs w:val="21"/>
              </w:rPr>
            </w:pPr>
            <w:r>
              <w:rPr>
                <w:rFonts w:eastAsia="仿宋_GB2312" w:cs="Times New Roman"/>
                <w:b/>
                <w:bCs/>
                <w:kern w:val="0"/>
                <w:sz w:val="21"/>
                <w:szCs w:val="21"/>
              </w:rPr>
              <w:t>国家</w:t>
            </w:r>
          </w:p>
        </w:tc>
        <w:tc>
          <w:tcPr>
            <w:tcW w:w="405" w:type="pct"/>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eastAsia="仿宋_GB2312" w:cs="Times New Roman"/>
                <w:b/>
                <w:bCs/>
                <w:kern w:val="0"/>
                <w:sz w:val="21"/>
                <w:szCs w:val="21"/>
              </w:rPr>
            </w:pPr>
            <w:r>
              <w:rPr>
                <w:rFonts w:eastAsia="仿宋_GB2312" w:cs="Times New Roman"/>
                <w:b/>
                <w:bCs/>
                <w:kern w:val="0"/>
                <w:sz w:val="21"/>
                <w:szCs w:val="21"/>
              </w:rPr>
              <w:t>时间</w:t>
            </w:r>
          </w:p>
        </w:tc>
        <w:tc>
          <w:tcPr>
            <w:tcW w:w="4190" w:type="pct"/>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eastAsia="仿宋_GB2312" w:cs="Times New Roman"/>
                <w:b/>
                <w:bCs/>
                <w:kern w:val="0"/>
                <w:sz w:val="21"/>
                <w:szCs w:val="21"/>
              </w:rPr>
            </w:pPr>
            <w:r>
              <w:rPr>
                <w:rFonts w:eastAsia="仿宋_GB2312" w:cs="Times New Roman"/>
                <w:b/>
                <w:bCs/>
                <w:kern w:val="0"/>
                <w:sz w:val="21"/>
                <w:szCs w:val="21"/>
              </w:rPr>
              <w:t>内容</w:t>
            </w:r>
          </w:p>
        </w:tc>
      </w:tr>
      <w:tr>
        <w:tblPrEx>
          <w:tblCellMar>
            <w:top w:w="0" w:type="dxa"/>
            <w:left w:w="108" w:type="dxa"/>
            <w:bottom w:w="0" w:type="dxa"/>
            <w:right w:w="108" w:type="dxa"/>
          </w:tblCellMar>
        </w:tblPrEx>
        <w:trPr>
          <w:trHeight w:val="191" w:hRule="atLeast"/>
        </w:trPr>
        <w:tc>
          <w:tcPr>
            <w:tcW w:w="405" w:type="pct"/>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荷兰</w:t>
            </w:r>
          </w:p>
        </w:tc>
        <w:tc>
          <w:tcPr>
            <w:tcW w:w="405" w:type="pct"/>
            <w:tcBorders>
              <w:top w:val="nil"/>
              <w:left w:val="nil"/>
              <w:bottom w:val="single" w:color="auto" w:sz="4" w:space="0"/>
              <w:right w:val="single" w:color="auto" w:sz="4" w:space="0"/>
            </w:tcBorders>
            <w:vAlign w:val="center"/>
          </w:tcPr>
          <w:p>
            <w:pPr>
              <w:widowControl/>
              <w:spacing w:line="240" w:lineRule="auto"/>
              <w:ind w:firstLine="0" w:firstLineChars="0"/>
              <w:jc w:val="center"/>
              <w:rPr>
                <w:rFonts w:eastAsia="仿宋_GB2312" w:cs="Times New Roman"/>
                <w:color w:val="333333"/>
                <w:kern w:val="0"/>
                <w:sz w:val="21"/>
                <w:szCs w:val="21"/>
              </w:rPr>
            </w:pPr>
            <w:r>
              <w:rPr>
                <w:rFonts w:eastAsia="仿宋_GB2312" w:cs="Times New Roman"/>
                <w:color w:val="333333"/>
                <w:kern w:val="0"/>
                <w:sz w:val="21"/>
                <w:szCs w:val="21"/>
              </w:rPr>
              <w:t>2025</w:t>
            </w:r>
          </w:p>
        </w:tc>
        <w:tc>
          <w:tcPr>
            <w:tcW w:w="4190" w:type="pct"/>
            <w:tcBorders>
              <w:top w:val="nil"/>
              <w:left w:val="nil"/>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333333"/>
                <w:kern w:val="0"/>
                <w:sz w:val="21"/>
                <w:szCs w:val="21"/>
              </w:rPr>
            </w:pPr>
            <w:r>
              <w:rPr>
                <w:rFonts w:eastAsia="仿宋_GB2312" w:cs="Times New Roman"/>
                <w:color w:val="333333"/>
                <w:kern w:val="0"/>
                <w:sz w:val="21"/>
                <w:szCs w:val="21"/>
              </w:rPr>
              <w:t>荷兰劳工党要求从2025年开始禁止在本国销售传统的汽油和柴油汽车。</w:t>
            </w:r>
          </w:p>
        </w:tc>
      </w:tr>
      <w:tr>
        <w:tblPrEx>
          <w:tblCellMar>
            <w:top w:w="0" w:type="dxa"/>
            <w:left w:w="108" w:type="dxa"/>
            <w:bottom w:w="0" w:type="dxa"/>
            <w:right w:w="108" w:type="dxa"/>
          </w:tblCellMar>
        </w:tblPrEx>
        <w:trPr>
          <w:trHeight w:val="383" w:hRule="atLeast"/>
        </w:trPr>
        <w:tc>
          <w:tcPr>
            <w:tcW w:w="405" w:type="pct"/>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挪威</w:t>
            </w:r>
          </w:p>
        </w:tc>
        <w:tc>
          <w:tcPr>
            <w:tcW w:w="405" w:type="pct"/>
            <w:tcBorders>
              <w:top w:val="nil"/>
              <w:left w:val="nil"/>
              <w:bottom w:val="single" w:color="auto" w:sz="4" w:space="0"/>
              <w:right w:val="single" w:color="auto" w:sz="4" w:space="0"/>
            </w:tcBorders>
            <w:vAlign w:val="center"/>
          </w:tcPr>
          <w:p>
            <w:pPr>
              <w:widowControl/>
              <w:spacing w:line="240" w:lineRule="auto"/>
              <w:ind w:firstLine="0" w:firstLineChars="0"/>
              <w:jc w:val="center"/>
              <w:rPr>
                <w:rFonts w:eastAsia="仿宋_GB2312" w:cs="Times New Roman"/>
                <w:color w:val="333333"/>
                <w:kern w:val="0"/>
                <w:sz w:val="21"/>
                <w:szCs w:val="21"/>
              </w:rPr>
            </w:pPr>
            <w:r>
              <w:rPr>
                <w:rFonts w:eastAsia="仿宋_GB2312" w:cs="Times New Roman"/>
                <w:color w:val="333333"/>
                <w:kern w:val="0"/>
                <w:sz w:val="21"/>
                <w:szCs w:val="21"/>
              </w:rPr>
              <w:t>2025</w:t>
            </w:r>
          </w:p>
        </w:tc>
        <w:tc>
          <w:tcPr>
            <w:tcW w:w="4190" w:type="pct"/>
            <w:tcBorders>
              <w:top w:val="nil"/>
              <w:left w:val="nil"/>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333333"/>
                <w:kern w:val="0"/>
                <w:sz w:val="21"/>
                <w:szCs w:val="21"/>
              </w:rPr>
            </w:pPr>
            <w:r>
              <w:rPr>
                <w:rFonts w:eastAsia="仿宋_GB2312" w:cs="Times New Roman"/>
                <w:color w:val="333333"/>
                <w:kern w:val="0"/>
                <w:sz w:val="21"/>
                <w:szCs w:val="21"/>
              </w:rPr>
              <w:t>挪威的四个主要政党一致同意从2025年起禁止燃油汽车销售。目前电动汽车在挪威占新出售汽车的24%。</w:t>
            </w:r>
          </w:p>
        </w:tc>
      </w:tr>
      <w:tr>
        <w:tblPrEx>
          <w:tblCellMar>
            <w:top w:w="0" w:type="dxa"/>
            <w:left w:w="108" w:type="dxa"/>
            <w:bottom w:w="0" w:type="dxa"/>
            <w:right w:w="108" w:type="dxa"/>
          </w:tblCellMar>
        </w:tblPrEx>
        <w:trPr>
          <w:trHeight w:val="574" w:hRule="atLeast"/>
        </w:trPr>
        <w:tc>
          <w:tcPr>
            <w:tcW w:w="405" w:type="pct"/>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印度</w:t>
            </w:r>
          </w:p>
        </w:tc>
        <w:tc>
          <w:tcPr>
            <w:tcW w:w="405" w:type="pct"/>
            <w:tcBorders>
              <w:top w:val="nil"/>
              <w:left w:val="nil"/>
              <w:bottom w:val="single" w:color="auto" w:sz="4" w:space="0"/>
              <w:right w:val="single" w:color="auto" w:sz="4" w:space="0"/>
            </w:tcBorders>
            <w:vAlign w:val="center"/>
          </w:tcPr>
          <w:p>
            <w:pPr>
              <w:widowControl/>
              <w:spacing w:line="240" w:lineRule="auto"/>
              <w:ind w:firstLine="0" w:firstLineChars="0"/>
              <w:jc w:val="center"/>
              <w:rPr>
                <w:rFonts w:eastAsia="仿宋_GB2312" w:cs="Times New Roman"/>
                <w:color w:val="333333"/>
                <w:kern w:val="0"/>
                <w:sz w:val="21"/>
                <w:szCs w:val="21"/>
              </w:rPr>
            </w:pPr>
            <w:r>
              <w:rPr>
                <w:rFonts w:eastAsia="仿宋_GB2312" w:cs="Times New Roman"/>
                <w:color w:val="333333"/>
                <w:kern w:val="0"/>
                <w:sz w:val="21"/>
                <w:szCs w:val="21"/>
              </w:rPr>
              <w:t>2030</w:t>
            </w:r>
          </w:p>
        </w:tc>
        <w:tc>
          <w:tcPr>
            <w:tcW w:w="4190" w:type="pct"/>
            <w:tcBorders>
              <w:top w:val="nil"/>
              <w:left w:val="nil"/>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333333"/>
                <w:kern w:val="0"/>
                <w:sz w:val="21"/>
                <w:szCs w:val="21"/>
              </w:rPr>
            </w:pPr>
            <w:r>
              <w:rPr>
                <w:rFonts w:eastAsia="仿宋_GB2312" w:cs="Times New Roman"/>
                <w:color w:val="333333"/>
                <w:kern w:val="0"/>
                <w:sz w:val="21"/>
                <w:szCs w:val="21"/>
              </w:rPr>
              <w:t>印度对外称，到2030年印度只卖电动汽车，全面停止以石油燃料为动力的车辆销售。而据印度政府和业内消息人士称，一家颇具影响力的政府智库已草拟一份报告，建议印度到2032年全面实现车辆电动化。</w:t>
            </w:r>
          </w:p>
        </w:tc>
      </w:tr>
      <w:tr>
        <w:tblPrEx>
          <w:tblCellMar>
            <w:top w:w="0" w:type="dxa"/>
            <w:left w:w="108" w:type="dxa"/>
            <w:bottom w:w="0" w:type="dxa"/>
            <w:right w:w="108" w:type="dxa"/>
          </w:tblCellMar>
        </w:tblPrEx>
        <w:trPr>
          <w:trHeight w:val="383" w:hRule="atLeast"/>
        </w:trPr>
        <w:tc>
          <w:tcPr>
            <w:tcW w:w="405" w:type="pct"/>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德国</w:t>
            </w:r>
          </w:p>
        </w:tc>
        <w:tc>
          <w:tcPr>
            <w:tcW w:w="405" w:type="pct"/>
            <w:tcBorders>
              <w:top w:val="nil"/>
              <w:left w:val="nil"/>
              <w:bottom w:val="single" w:color="auto" w:sz="4" w:space="0"/>
              <w:right w:val="single" w:color="auto" w:sz="4" w:space="0"/>
            </w:tcBorders>
            <w:vAlign w:val="center"/>
          </w:tcPr>
          <w:p>
            <w:pPr>
              <w:widowControl/>
              <w:spacing w:line="240" w:lineRule="auto"/>
              <w:ind w:firstLine="0" w:firstLineChars="0"/>
              <w:jc w:val="center"/>
              <w:rPr>
                <w:rFonts w:eastAsia="仿宋_GB2312" w:cs="Times New Roman"/>
                <w:color w:val="333333"/>
                <w:kern w:val="0"/>
                <w:sz w:val="21"/>
                <w:szCs w:val="21"/>
              </w:rPr>
            </w:pPr>
            <w:r>
              <w:rPr>
                <w:rFonts w:eastAsia="仿宋_GB2312" w:cs="Times New Roman"/>
                <w:color w:val="333333"/>
                <w:kern w:val="0"/>
                <w:sz w:val="21"/>
                <w:szCs w:val="21"/>
              </w:rPr>
              <w:t>2030</w:t>
            </w:r>
          </w:p>
        </w:tc>
        <w:tc>
          <w:tcPr>
            <w:tcW w:w="4190" w:type="pct"/>
            <w:tcBorders>
              <w:top w:val="nil"/>
              <w:left w:val="nil"/>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333333"/>
                <w:kern w:val="0"/>
                <w:sz w:val="21"/>
                <w:szCs w:val="21"/>
              </w:rPr>
            </w:pPr>
            <w:r>
              <w:rPr>
                <w:rFonts w:eastAsia="仿宋_GB2312" w:cs="Times New Roman"/>
                <w:color w:val="333333"/>
                <w:kern w:val="0"/>
                <w:sz w:val="21"/>
                <w:szCs w:val="21"/>
              </w:rPr>
              <w:t>德国联邦参议院曾以多票通过决议，自2030年起新车只能为零排放汽车，禁止销售汽油车和柴油车</w:t>
            </w:r>
          </w:p>
        </w:tc>
      </w:tr>
      <w:tr>
        <w:tblPrEx>
          <w:tblCellMar>
            <w:top w:w="0" w:type="dxa"/>
            <w:left w:w="108" w:type="dxa"/>
            <w:bottom w:w="0" w:type="dxa"/>
            <w:right w:w="108" w:type="dxa"/>
          </w:tblCellMar>
        </w:tblPrEx>
        <w:trPr>
          <w:trHeight w:val="574" w:hRule="atLeast"/>
        </w:trPr>
        <w:tc>
          <w:tcPr>
            <w:tcW w:w="405" w:type="pct"/>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法国</w:t>
            </w:r>
          </w:p>
        </w:tc>
        <w:tc>
          <w:tcPr>
            <w:tcW w:w="405" w:type="pct"/>
            <w:tcBorders>
              <w:top w:val="nil"/>
              <w:left w:val="nil"/>
              <w:bottom w:val="single" w:color="auto" w:sz="4" w:space="0"/>
              <w:right w:val="single" w:color="auto" w:sz="4" w:space="0"/>
            </w:tcBorders>
            <w:vAlign w:val="center"/>
          </w:tcPr>
          <w:p>
            <w:pPr>
              <w:widowControl/>
              <w:spacing w:line="240" w:lineRule="auto"/>
              <w:ind w:firstLine="0" w:firstLineChars="0"/>
              <w:jc w:val="center"/>
              <w:rPr>
                <w:rFonts w:eastAsia="仿宋_GB2312" w:cs="Times New Roman"/>
                <w:color w:val="333333"/>
                <w:kern w:val="0"/>
                <w:sz w:val="21"/>
                <w:szCs w:val="21"/>
              </w:rPr>
            </w:pPr>
            <w:r>
              <w:rPr>
                <w:rFonts w:eastAsia="仿宋_GB2312" w:cs="Times New Roman"/>
                <w:color w:val="333333"/>
                <w:kern w:val="0"/>
                <w:sz w:val="21"/>
                <w:szCs w:val="21"/>
              </w:rPr>
              <w:t>2040</w:t>
            </w:r>
          </w:p>
        </w:tc>
        <w:tc>
          <w:tcPr>
            <w:tcW w:w="4190" w:type="pct"/>
            <w:tcBorders>
              <w:top w:val="nil"/>
              <w:left w:val="nil"/>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333333"/>
                <w:kern w:val="0"/>
                <w:sz w:val="21"/>
                <w:szCs w:val="21"/>
              </w:rPr>
            </w:pPr>
            <w:r>
              <w:rPr>
                <w:rFonts w:eastAsia="仿宋_GB2312" w:cs="Times New Roman"/>
                <w:color w:val="333333"/>
                <w:kern w:val="0"/>
                <w:sz w:val="21"/>
                <w:szCs w:val="21"/>
              </w:rPr>
              <w:t>法国能源部长尼古拉斯</w:t>
            </w:r>
            <w:r>
              <w:rPr>
                <w:rFonts w:eastAsia="微软雅黑" w:cs="Times New Roman"/>
                <w:color w:val="333333"/>
                <w:kern w:val="0"/>
                <w:sz w:val="21"/>
                <w:szCs w:val="21"/>
              </w:rPr>
              <w:t>•</w:t>
            </w:r>
            <w:r>
              <w:rPr>
                <w:rFonts w:eastAsia="仿宋_GB2312" w:cs="Times New Roman"/>
                <w:color w:val="333333"/>
                <w:kern w:val="0"/>
                <w:sz w:val="21"/>
                <w:szCs w:val="21"/>
              </w:rPr>
              <w:t>霍洛（Nicolas Hulot）表示，为实现《巴黎协定》目标，法国计划从2040年开始，全面停止出售汽油车和柴油车，将法国打造成为一个碳平衡的国家，计划于2050年实现碳中和。</w:t>
            </w:r>
          </w:p>
        </w:tc>
      </w:tr>
    </w:tbl>
    <w:p>
      <w:pPr>
        <w:topLinePunct/>
        <w:adjustRightInd w:val="0"/>
        <w:snapToGrid w:val="0"/>
        <w:spacing w:before="156" w:beforeLines="50"/>
        <w:ind w:firstLine="562"/>
        <w:rPr>
          <w:rFonts w:eastAsia="仿宋_GB2312" w:cs="Times New Roman"/>
          <w:b/>
          <w:bCs/>
        </w:rPr>
      </w:pPr>
      <w:bookmarkStart w:id="7" w:name="OLE_LINK9"/>
      <w:r>
        <w:rPr>
          <w:rFonts w:eastAsia="仿宋_GB2312" w:cs="Times New Roman"/>
          <w:b/>
          <w:bCs/>
        </w:rPr>
        <w:t>2.电动汽车发展趋势</w:t>
      </w:r>
    </w:p>
    <w:bookmarkEnd w:id="7"/>
    <w:p>
      <w:pPr>
        <w:topLinePunct/>
        <w:adjustRightInd w:val="0"/>
        <w:snapToGrid w:val="0"/>
        <w:ind w:firstLine="562"/>
        <w:rPr>
          <w:rFonts w:eastAsia="仿宋_GB2312" w:cs="Times New Roman"/>
        </w:rPr>
      </w:pPr>
      <w:bookmarkStart w:id="8" w:name="OLE_LINK4"/>
      <w:r>
        <w:rPr>
          <w:rFonts w:eastAsia="仿宋_GB2312" w:cs="Times New Roman"/>
          <w:b/>
          <w:bCs/>
        </w:rPr>
        <w:t>新能源汽车是指采用非常规的车用燃料作为动力来源（或使用常规的车用燃料、采用新型车载动力装置），综合车辆的动力控制和驱动方面的先进技术，形成的技术原理先进、具有新技术、新结构的汽车。新能源汽车包括纯电动汽车、增程式电动汽车、混合动力汽车、燃料电池电动汽车、氢发动机汽车等。</w:t>
      </w:r>
    </w:p>
    <w:bookmarkEnd w:id="8"/>
    <w:p>
      <w:pPr>
        <w:topLinePunct/>
        <w:adjustRightInd w:val="0"/>
        <w:snapToGrid w:val="0"/>
        <w:ind w:firstLine="560"/>
        <w:rPr>
          <w:rFonts w:eastAsia="仿宋_GB2312" w:cs="Times New Roman"/>
          <w:bCs/>
        </w:rPr>
      </w:pPr>
      <w:r>
        <w:rPr>
          <w:rFonts w:eastAsia="仿宋_GB2312" w:cs="Times New Roman"/>
          <w:bCs/>
        </w:rPr>
        <w:t>从技术发展成熟程度和中国国情来看，纯电动汽车是大力推广的发展方向，混合动力作为大面积充电网络还没建立起来之前的过渡技术，而氢燃料电池技术不成熟，成本昂贵；相比较于其他新能源汽车而言，</w:t>
      </w:r>
      <w:r>
        <w:rPr>
          <w:rFonts w:eastAsia="仿宋_GB2312" w:cs="Times New Roman"/>
        </w:rPr>
        <w:t>纯电动汽车的电能是清洁能源，可由风能、光能等可再生一次能源转换而来，不存在化石能源的紧缺问题，加上我国提出“3060双碳”发展目标，制定了大力发展风光等新能源的基本战略，各类行业最终也会朝着电气化发展。</w:t>
      </w:r>
    </w:p>
    <w:p>
      <w:pPr>
        <w:topLinePunct/>
        <w:adjustRightInd w:val="0"/>
        <w:snapToGrid w:val="0"/>
        <w:ind w:firstLine="562"/>
        <w:rPr>
          <w:rFonts w:eastAsia="仿宋_GB2312" w:cs="Times New Roman"/>
          <w:b/>
          <w:bCs/>
        </w:rPr>
      </w:pPr>
      <w:r>
        <w:rPr>
          <w:rFonts w:eastAsia="仿宋_GB2312" w:cs="Times New Roman"/>
          <w:b/>
          <w:bCs/>
        </w:rPr>
        <w:t>3.充电设施配套不足</w:t>
      </w:r>
    </w:p>
    <w:p>
      <w:pPr>
        <w:topLinePunct/>
        <w:adjustRightInd w:val="0"/>
        <w:snapToGrid w:val="0"/>
        <w:ind w:firstLine="560"/>
        <w:rPr>
          <w:rFonts w:eastAsia="仿宋_GB2312" w:cs="Times New Roman"/>
          <w:bCs/>
        </w:rPr>
      </w:pPr>
      <w:r>
        <w:rPr>
          <w:rFonts w:eastAsia="仿宋_GB2312" w:cs="Times New Roman"/>
          <w:bCs/>
        </w:rPr>
        <w:t>电动汽车快速发展的同时，</w:t>
      </w:r>
      <w:r>
        <w:rPr>
          <w:rFonts w:hint="eastAsia" w:eastAsia="仿宋_GB2312" w:cs="Times New Roman"/>
          <w:bCs/>
        </w:rPr>
        <w:t>需要</w:t>
      </w:r>
      <w:r>
        <w:rPr>
          <w:rFonts w:eastAsia="仿宋_GB2312" w:cs="Times New Roman"/>
          <w:bCs/>
        </w:rPr>
        <w:t>与之配套的充电设施建设也是刻不容缓。</w:t>
      </w:r>
      <w:r>
        <w:rPr>
          <w:rFonts w:eastAsia="仿宋_GB2312" w:cs="Times New Roman"/>
        </w:rPr>
        <w:t>2020年3月4日，在中共中央政治局常务委员会召开的会议上，决策层强调要加快推进国家规划已明确的重大工程和基础设施建设，其中“要加快5G网络、数据中心等新型基础设施建设进度”，让“新型基础设施建设”再次成为热词。新能源汽车充电桩作为新基建中的重要项目之一，将对人民生产生活产生巨大影响。此外，国家发改委产业发展司表示，为促进新能源汽车产业发展，国家将继续加大充电基础设施建设力度。从2015年至2021年，随着我国电动汽车快速发展，充电设施规模也逐渐增多，但仍然存在</w:t>
      </w:r>
      <w:r>
        <w:rPr>
          <w:rFonts w:hint="eastAsia" w:eastAsia="仿宋_GB2312" w:cs="Times New Roman"/>
        </w:rPr>
        <w:t>“</w:t>
      </w:r>
      <w:r>
        <w:rPr>
          <w:rFonts w:eastAsia="仿宋_GB2312" w:cs="Times New Roman"/>
        </w:rPr>
        <w:t>车多桩少</w:t>
      </w:r>
      <w:r>
        <w:rPr>
          <w:rFonts w:hint="eastAsia" w:eastAsia="仿宋_GB2312" w:cs="Times New Roman"/>
        </w:rPr>
        <w:t>”</w:t>
      </w:r>
      <w:r>
        <w:rPr>
          <w:rFonts w:eastAsia="仿宋_GB2312" w:cs="Times New Roman"/>
        </w:rPr>
        <w:t>的问题。充电设施严重不足与电动汽车快速增长的矛盾将进一步加剧，加快充电设施规划建设已成为十分重要而紧迫的任务。基于以上背景，编制了本规划</w:t>
      </w:r>
      <w:r>
        <w:rPr>
          <w:rFonts w:eastAsia="仿宋_GB2312" w:cs="Times New Roman"/>
          <w:kern w:val="0"/>
          <w:sz w:val="24"/>
          <w:szCs w:val="24"/>
        </w:rPr>
        <w:t xml:space="preserve"> </w:t>
      </w:r>
      <w:r>
        <w:rPr>
          <w:rFonts w:eastAsia="仿宋_GB2312" w:cs="Times New Roman"/>
        </w:rPr>
        <w:t>。</w:t>
      </w:r>
    </w:p>
    <w:p>
      <w:pPr>
        <w:pStyle w:val="3"/>
        <w:adjustRightInd w:val="0"/>
        <w:rPr>
          <w:rFonts w:eastAsia="仿宋_GB2312" w:cs="Times New Roman"/>
        </w:rPr>
      </w:pPr>
      <w:bookmarkStart w:id="9" w:name="_Toc61257681"/>
      <w:bookmarkStart w:id="10" w:name="_Toc117243167"/>
      <w:bookmarkStart w:id="11" w:name="_Toc531875952"/>
      <w:bookmarkStart w:id="12" w:name="_Toc4923681"/>
      <w:bookmarkStart w:id="13" w:name="_Toc4943791"/>
      <w:r>
        <w:rPr>
          <w:rFonts w:eastAsia="仿宋_GB2312" w:cs="Times New Roman"/>
        </w:rPr>
        <w:t>规划范围及年限</w:t>
      </w:r>
      <w:bookmarkEnd w:id="9"/>
      <w:bookmarkEnd w:id="10"/>
    </w:p>
    <w:p>
      <w:pPr>
        <w:adjustRightInd w:val="0"/>
        <w:snapToGrid w:val="0"/>
        <w:ind w:firstLine="560"/>
        <w:rPr>
          <w:rFonts w:eastAsia="仿宋_GB2312" w:cs="Times New Roman"/>
        </w:rPr>
      </w:pPr>
      <w:r>
        <w:rPr>
          <w:rFonts w:eastAsia="仿宋_GB2312" w:cs="Times New Roman"/>
        </w:rPr>
        <w:t>规划范围：</w:t>
      </w:r>
      <w:r>
        <w:rPr>
          <w:rFonts w:eastAsia="仿宋_GB2312" w:cs="Times New Roman"/>
          <w:kern w:val="0"/>
        </w:rPr>
        <w:t>咸宁全市，</w:t>
      </w:r>
      <w:r>
        <w:rPr>
          <w:rFonts w:eastAsia="仿宋_GB2312" w:cs="Times New Roman"/>
          <w:color w:val="000000"/>
        </w:rPr>
        <w:t>共辖1个区、1个县级市、4个县。</w:t>
      </w:r>
      <w:r>
        <w:rPr>
          <w:rFonts w:eastAsia="仿宋_GB2312" w:cs="Times New Roman"/>
          <w:kern w:val="0"/>
        </w:rPr>
        <w:t>涵盖咸安区、赤壁市、嘉鱼县、通城县、崇阳县、通山县。</w:t>
      </w:r>
    </w:p>
    <w:p>
      <w:pPr>
        <w:pStyle w:val="583"/>
        <w:ind w:firstLine="560"/>
        <w:rPr>
          <w:rFonts w:eastAsia="仿宋_GB2312"/>
        </w:rPr>
      </w:pPr>
      <w:r>
        <w:rPr>
          <w:rFonts w:eastAsia="仿宋_GB2312"/>
        </w:rPr>
        <w:t>规划年</w:t>
      </w:r>
      <w:r>
        <w:rPr>
          <w:rFonts w:eastAsia="仿宋_GB2312"/>
          <w:spacing w:val="-3"/>
        </w:rPr>
        <w:t>限</w:t>
      </w:r>
      <w:r>
        <w:rPr>
          <w:rFonts w:eastAsia="仿宋_GB2312"/>
        </w:rPr>
        <w:t xml:space="preserve">：规划基准年为2021年，规划年限为2022年～2025年，规划水平年为2025年，远景展望至2030年。 </w:t>
      </w:r>
    </w:p>
    <w:p>
      <w:pPr>
        <w:pStyle w:val="3"/>
        <w:adjustRightInd w:val="0"/>
        <w:rPr>
          <w:rFonts w:eastAsia="仿宋_GB2312" w:cs="Times New Roman"/>
        </w:rPr>
      </w:pPr>
      <w:bookmarkStart w:id="14" w:name="_Toc117243168"/>
      <w:r>
        <w:rPr>
          <w:rFonts w:hint="eastAsia" w:eastAsia="仿宋_GB2312" w:cs="Times New Roman"/>
        </w:rPr>
        <w:t>规划思路</w:t>
      </w:r>
      <w:bookmarkEnd w:id="14"/>
    </w:p>
    <w:p>
      <w:pPr>
        <w:adjustRightInd w:val="0"/>
        <w:snapToGrid w:val="0"/>
        <w:ind w:firstLine="560"/>
        <w:rPr>
          <w:rFonts w:eastAsia="仿宋_GB2312" w:cs="Times New Roman"/>
        </w:rPr>
      </w:pPr>
      <w:bookmarkStart w:id="15" w:name="_Hlk99633235"/>
      <w:r>
        <w:rPr>
          <w:rFonts w:eastAsia="仿宋_GB2312" w:cs="Times New Roman"/>
        </w:rPr>
        <w:t>以咸宁市现状社会经济、人口、道路交通运行特征、汽车及新能源汽车保有量为基础，进行现状分析；通过对咸宁交通发展趋势进行分析，对新能源汽车保有量进行预测，结合新能源汽车运营特性和充电特性，对新能源汽车充电设施需求进行分析预测；根据本次充电设施规划目标、布局原则，对新能源汽车充电设施进行统筹布局规划；通过布局规划分析，提出充电设施实施保障措施及安全措施；测算出本次投资与经济社会效益，进而提出相关建议。</w:t>
      </w:r>
      <w:bookmarkEnd w:id="15"/>
      <w:bookmarkStart w:id="16" w:name="_Toc61257684"/>
    </w:p>
    <w:p>
      <w:pPr>
        <w:adjustRightInd w:val="0"/>
        <w:snapToGrid w:val="0"/>
        <w:ind w:firstLine="0" w:firstLineChars="0"/>
        <w:jc w:val="center"/>
        <w:rPr>
          <w:rFonts w:eastAsia="仿宋_GB2312" w:cs="Times New Roman"/>
        </w:rPr>
      </w:pPr>
      <w:r>
        <w:rPr>
          <w:rFonts w:eastAsia="仿宋_GB2312" w:cs="Times New Roman"/>
        </w:rPr>
        <w:drawing>
          <wp:inline distT="0" distB="0" distL="0" distR="0">
            <wp:extent cx="5181600" cy="4236085"/>
            <wp:effectExtent l="0" t="0" r="0" b="0"/>
            <wp:docPr id="7172" name="图片 71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72" name="图片 7172"/>
                    <pic:cNvPicPr>
                      <a:picLocks noChangeAspect="true" noChangeArrowheads="true"/>
                    </pic:cNvPicPr>
                  </pic:nvPicPr>
                  <pic:blipFill>
                    <a:blip r:embed="rId18" cstate="print">
                      <a:extLst>
                        <a:ext uri="{28A0092B-C50C-407E-A947-70E740481C1C}">
                          <a14:useLocalDpi xmlns:a14="http://schemas.microsoft.com/office/drawing/2010/main" val="false"/>
                        </a:ext>
                      </a:extLst>
                    </a:blip>
                    <a:srcRect/>
                    <a:stretch>
                      <a:fillRect/>
                    </a:stretch>
                  </pic:blipFill>
                  <pic:spPr>
                    <a:xfrm>
                      <a:off x="0" y="0"/>
                      <a:ext cx="5195778" cy="4247707"/>
                    </a:xfrm>
                    <a:prstGeom prst="rect">
                      <a:avLst/>
                    </a:prstGeom>
                    <a:noFill/>
                  </pic:spPr>
                </pic:pic>
              </a:graphicData>
            </a:graphic>
          </wp:inline>
        </w:drawing>
      </w:r>
    </w:p>
    <w:p>
      <w:pPr>
        <w:pStyle w:val="19"/>
        <w:adjustRightInd w:val="0"/>
        <w:snapToGrid w:val="0"/>
        <w:ind w:firstLine="560"/>
        <w:rPr>
          <w:rFonts w:eastAsia="仿宋_GB2312" w:cs="Times New Roman"/>
        </w:rPr>
      </w:pPr>
      <w:bookmarkStart w:id="17" w:name="_Ref54256353"/>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1</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bookmarkEnd w:id="17"/>
      <w:r>
        <w:rPr>
          <w:rFonts w:hint="eastAsia" w:eastAsia="仿宋_GB2312" w:cs="Times New Roman"/>
        </w:rPr>
        <w:t>规划思路</w:t>
      </w:r>
      <w:r>
        <w:rPr>
          <w:rFonts w:eastAsia="仿宋_GB2312" w:cs="Times New Roman"/>
        </w:rPr>
        <w:t>图</w:t>
      </w:r>
    </w:p>
    <w:p>
      <w:pPr>
        <w:pStyle w:val="3"/>
        <w:adjustRightInd w:val="0"/>
        <w:rPr>
          <w:rFonts w:eastAsia="仿宋_GB2312" w:cs="Times New Roman"/>
        </w:rPr>
      </w:pPr>
      <w:bookmarkStart w:id="18" w:name="_Toc117243169"/>
      <w:r>
        <w:rPr>
          <w:rFonts w:eastAsia="仿宋_GB2312" w:cs="Times New Roman"/>
        </w:rPr>
        <w:t>基本原则</w:t>
      </w:r>
      <w:bookmarkEnd w:id="16"/>
      <w:bookmarkEnd w:id="18"/>
    </w:p>
    <w:p>
      <w:pPr>
        <w:pStyle w:val="106"/>
        <w:numPr>
          <w:ilvl w:val="0"/>
          <w:numId w:val="10"/>
        </w:numPr>
        <w:adjustRightInd w:val="0"/>
        <w:snapToGrid w:val="0"/>
        <w:ind w:left="0" w:firstLine="561" w:firstLineChars="0"/>
        <w:rPr>
          <w:rFonts w:eastAsia="仿宋_GB2312" w:cs="Times New Roman"/>
          <w:b/>
          <w:bCs/>
        </w:rPr>
      </w:pPr>
      <w:bookmarkStart w:id="19" w:name="_Toc61257685"/>
      <w:r>
        <w:rPr>
          <w:rFonts w:eastAsia="仿宋_GB2312" w:cs="Times New Roman"/>
          <w:b/>
          <w:bCs/>
        </w:rPr>
        <w:t>因地制宜，科学布局</w:t>
      </w:r>
    </w:p>
    <w:p>
      <w:pPr>
        <w:adjustRightInd w:val="0"/>
        <w:snapToGrid w:val="0"/>
        <w:ind w:firstLine="560"/>
        <w:rPr>
          <w:rFonts w:eastAsia="仿宋_GB2312" w:cs="Times New Roman"/>
        </w:rPr>
      </w:pPr>
      <w:r>
        <w:rPr>
          <w:rFonts w:eastAsia="仿宋_GB2312" w:cs="Times New Roman"/>
        </w:rPr>
        <w:t>根据全市的新能源汽车发展需求和应用特点，以及不同层次的充电需求，遵循“市场主导、快慢互济”的技术导向，科学把握发展节奏，分类有序推进实施，合理布局充电设施；充分利用城市碎片化的闲置土地，用模块化方式快速建设新能源汽车充电基础设施，降低建设成本，节约土地资源。</w:t>
      </w:r>
    </w:p>
    <w:p>
      <w:pPr>
        <w:pStyle w:val="106"/>
        <w:numPr>
          <w:ilvl w:val="0"/>
          <w:numId w:val="10"/>
        </w:numPr>
        <w:adjustRightInd w:val="0"/>
        <w:snapToGrid w:val="0"/>
        <w:ind w:left="0" w:firstLine="562" w:firstLineChars="0"/>
        <w:rPr>
          <w:rFonts w:eastAsia="仿宋_GB2312" w:cs="Times New Roman"/>
          <w:b/>
          <w:bCs/>
        </w:rPr>
      </w:pPr>
      <w:r>
        <w:rPr>
          <w:rFonts w:eastAsia="仿宋_GB2312" w:cs="Times New Roman"/>
          <w:b/>
          <w:bCs/>
        </w:rPr>
        <w:t>协调推进，适度超前</w:t>
      </w:r>
    </w:p>
    <w:p>
      <w:pPr>
        <w:adjustRightInd w:val="0"/>
        <w:snapToGrid w:val="0"/>
        <w:ind w:firstLine="560"/>
        <w:rPr>
          <w:rFonts w:eastAsia="仿宋_GB2312" w:cs="Times New Roman"/>
        </w:rPr>
      </w:pPr>
      <w:r>
        <w:rPr>
          <w:rFonts w:eastAsia="仿宋_GB2312" w:cs="Times New Roman"/>
        </w:rPr>
        <w:t>强化部门协同，促进新能源汽车与能源、交通、信息通信深度融合，统筹推进技术研发、标准制定、推广应用和基础设施建设，建立横向协同、纵向贯通的协调推进机制，把制度优势和市场优势转化为产业优势。按照“桩站先行”的原则，适度超前建设，推进充电基础设施科学发展。</w:t>
      </w:r>
    </w:p>
    <w:p>
      <w:pPr>
        <w:pStyle w:val="106"/>
        <w:numPr>
          <w:ilvl w:val="0"/>
          <w:numId w:val="10"/>
        </w:numPr>
        <w:adjustRightInd w:val="0"/>
        <w:snapToGrid w:val="0"/>
        <w:ind w:left="0" w:firstLine="567" w:firstLineChars="0"/>
        <w:rPr>
          <w:rFonts w:eastAsia="仿宋_GB2312" w:cs="Times New Roman"/>
          <w:b/>
          <w:bCs/>
          <w:spacing w:val="7"/>
        </w:rPr>
      </w:pPr>
      <w:r>
        <w:rPr>
          <w:rFonts w:eastAsia="仿宋_GB2312" w:cs="Times New Roman"/>
          <w:b/>
          <w:bCs/>
          <w:spacing w:val="4"/>
        </w:rPr>
        <w:t>统一规范，互联互通</w:t>
      </w:r>
    </w:p>
    <w:p>
      <w:pPr>
        <w:adjustRightInd w:val="0"/>
        <w:snapToGrid w:val="0"/>
        <w:ind w:firstLine="564"/>
        <w:rPr>
          <w:rFonts w:eastAsia="仿宋_GB2312" w:cs="Times New Roman"/>
        </w:rPr>
      </w:pPr>
      <w:r>
        <w:rPr>
          <w:rFonts w:eastAsia="仿宋_GB2312" w:cs="Times New Roman"/>
          <w:spacing w:val="2"/>
        </w:rPr>
        <w:t>按照国家相关标准建设充电设施，为新能源汽车“车行天下”提供有力保障。规范充电设施建设运营，理顺管理流程，健全管理机制；促进各充电平台之间实现互联互通，提高充电服务的通用性和开放性</w:t>
      </w:r>
      <w:r>
        <w:rPr>
          <w:rFonts w:eastAsia="仿宋_GB2312" w:cs="Times New Roman"/>
        </w:rPr>
        <w:t>。</w:t>
      </w:r>
    </w:p>
    <w:p>
      <w:pPr>
        <w:pStyle w:val="106"/>
        <w:numPr>
          <w:ilvl w:val="0"/>
          <w:numId w:val="10"/>
        </w:numPr>
        <w:adjustRightInd w:val="0"/>
        <w:snapToGrid w:val="0"/>
        <w:ind w:left="0" w:firstLine="561" w:firstLineChars="0"/>
        <w:rPr>
          <w:rFonts w:eastAsia="仿宋_GB2312" w:cs="Times New Roman"/>
          <w:b/>
          <w:bCs/>
          <w:spacing w:val="-5"/>
        </w:rPr>
      </w:pPr>
      <w:r>
        <w:rPr>
          <w:rFonts w:eastAsia="仿宋_GB2312" w:cs="Times New Roman"/>
          <w:b/>
          <w:bCs/>
        </w:rPr>
        <w:t>市场主导</w:t>
      </w:r>
      <w:r>
        <w:rPr>
          <w:rFonts w:eastAsia="仿宋_GB2312" w:cs="Times New Roman"/>
          <w:b/>
          <w:bCs/>
          <w:spacing w:val="-3"/>
        </w:rPr>
        <w:t>，</w:t>
      </w:r>
      <w:r>
        <w:rPr>
          <w:rFonts w:eastAsia="仿宋_GB2312" w:cs="Times New Roman"/>
          <w:b/>
          <w:bCs/>
        </w:rPr>
        <w:t>改善环境</w:t>
      </w:r>
    </w:p>
    <w:p>
      <w:pPr>
        <w:adjustRightInd w:val="0"/>
        <w:snapToGrid w:val="0"/>
        <w:ind w:firstLine="560"/>
        <w:rPr>
          <w:rFonts w:eastAsia="仿宋_GB2312" w:cs="Times New Roman"/>
        </w:rPr>
      </w:pPr>
      <w:r>
        <w:rPr>
          <w:rFonts w:eastAsia="仿宋_GB2312" w:cs="Times New Roman"/>
        </w:rPr>
        <w:t>充分发挥市场在资源配置中的决定性作用，强化企业在技术路线选择、产品产能布局等方面的主体地位，</w:t>
      </w:r>
      <w:r>
        <w:rPr>
          <w:rFonts w:hint="eastAsia" w:eastAsia="仿宋_GB2312" w:cs="Times New Roman"/>
        </w:rPr>
        <w:t>同时</w:t>
      </w:r>
      <w:r>
        <w:rPr>
          <w:rFonts w:eastAsia="仿宋_GB2312" w:cs="Times New Roman"/>
        </w:rPr>
        <w:t>发挥政府在法规标准制定、绿色安全监管、市场秩序维护等方面的重要作用，营造良好产业发展环境。</w:t>
      </w:r>
    </w:p>
    <w:p>
      <w:pPr>
        <w:pStyle w:val="106"/>
        <w:numPr>
          <w:ilvl w:val="0"/>
          <w:numId w:val="10"/>
        </w:numPr>
        <w:adjustRightInd w:val="0"/>
        <w:snapToGrid w:val="0"/>
        <w:ind w:left="0" w:firstLine="567" w:firstLineChars="0"/>
        <w:rPr>
          <w:rFonts w:eastAsia="仿宋_GB2312" w:cs="Times New Roman"/>
          <w:b/>
          <w:bCs/>
        </w:rPr>
      </w:pPr>
      <w:r>
        <w:rPr>
          <w:rFonts w:eastAsia="仿宋_GB2312" w:cs="Times New Roman"/>
          <w:b/>
          <w:bCs/>
        </w:rPr>
        <w:t>创新驱动，开放发展</w:t>
      </w:r>
    </w:p>
    <w:p>
      <w:pPr>
        <w:adjustRightInd w:val="0"/>
        <w:snapToGrid w:val="0"/>
        <w:ind w:firstLine="560"/>
        <w:rPr>
          <w:rFonts w:eastAsia="仿宋_GB2312" w:cs="Times New Roman"/>
        </w:rPr>
      </w:pPr>
      <w:r>
        <w:rPr>
          <w:rFonts w:eastAsia="仿宋_GB2312" w:cs="Times New Roman"/>
        </w:rPr>
        <w:t>深入实施创新驱动发展战略，强化产学研用协同，建立以企业为主体、市场为导向的技术创新体系，鼓励商业模式创新，完善激励和保护创新的制度环境，构建新型产业创新生态。践行开放融通互利共赢的</w:t>
      </w:r>
      <w:r>
        <w:rPr>
          <w:rFonts w:hint="eastAsia" w:eastAsia="仿宋_GB2312" w:cs="Times New Roman"/>
        </w:rPr>
        <w:t>发展模式</w:t>
      </w:r>
      <w:r>
        <w:rPr>
          <w:rFonts w:eastAsia="仿宋_GB2312" w:cs="Times New Roman"/>
        </w:rPr>
        <w:t>。</w:t>
      </w:r>
    </w:p>
    <w:p>
      <w:pPr>
        <w:pStyle w:val="3"/>
        <w:adjustRightInd w:val="0"/>
        <w:rPr>
          <w:rFonts w:eastAsia="仿宋_GB2312" w:cs="Times New Roman"/>
        </w:rPr>
      </w:pPr>
      <w:bookmarkStart w:id="20" w:name="_Toc117243170"/>
      <w:r>
        <w:rPr>
          <w:rFonts w:eastAsia="仿宋_GB2312" w:cs="Times New Roman"/>
        </w:rPr>
        <w:t>编制依据</w:t>
      </w:r>
      <w:bookmarkEnd w:id="11"/>
      <w:bookmarkEnd w:id="12"/>
      <w:bookmarkEnd w:id="13"/>
      <w:bookmarkEnd w:id="19"/>
      <w:bookmarkEnd w:id="20"/>
    </w:p>
    <w:p>
      <w:pPr>
        <w:adjustRightInd w:val="0"/>
        <w:snapToGrid w:val="0"/>
        <w:ind w:firstLine="562"/>
        <w:rPr>
          <w:rFonts w:eastAsia="仿宋_GB2312" w:cs="Times New Roman"/>
          <w:b/>
        </w:rPr>
      </w:pPr>
      <w:r>
        <w:rPr>
          <w:rFonts w:eastAsia="仿宋_GB2312" w:cs="Times New Roman"/>
          <w:b/>
        </w:rPr>
        <w:t>1</w:t>
      </w:r>
      <w:r>
        <w:rPr>
          <w:rFonts w:hint="eastAsia" w:eastAsia="仿宋_GB2312" w:cs="Times New Roman"/>
          <w:b/>
        </w:rPr>
        <w:t>.</w:t>
      </w:r>
      <w:r>
        <w:rPr>
          <w:rFonts w:eastAsia="仿宋_GB2312" w:cs="Times New Roman"/>
          <w:b/>
        </w:rPr>
        <w:t xml:space="preserve"> 国家、省市相关政策文件</w:t>
      </w:r>
    </w:p>
    <w:p>
      <w:pPr>
        <w:adjustRightInd w:val="0"/>
        <w:snapToGrid w:val="0"/>
        <w:ind w:firstLine="560" w:firstLineChars="0"/>
        <w:rPr>
          <w:rFonts w:eastAsia="仿宋_GB2312" w:cs="Times New Roman"/>
          <w:bCs/>
        </w:rPr>
      </w:pPr>
      <w:r>
        <w:rPr>
          <w:rFonts w:eastAsia="仿宋_GB2312" w:cs="Times New Roman"/>
          <w:bCs/>
        </w:rPr>
        <w:t>（1）</w:t>
      </w:r>
      <w:bookmarkStart w:id="21" w:name="_Hlk109200531"/>
      <w:r>
        <w:rPr>
          <w:rFonts w:eastAsia="仿宋_GB2312" w:cs="Times New Roman"/>
          <w:bCs/>
        </w:rPr>
        <w:t>《国务院办公厅关于加快新能源汽车充电基础设施建设的指导意见》（国办发[2015]73号）；</w:t>
      </w:r>
      <w:bookmarkEnd w:id="21"/>
    </w:p>
    <w:p>
      <w:pPr>
        <w:adjustRightInd w:val="0"/>
        <w:snapToGrid w:val="0"/>
        <w:ind w:firstLine="560" w:firstLineChars="0"/>
        <w:rPr>
          <w:rFonts w:eastAsia="仿宋_GB2312" w:cs="Times New Roman"/>
          <w:bCs/>
        </w:rPr>
      </w:pPr>
      <w:r>
        <w:rPr>
          <w:rFonts w:eastAsia="仿宋_GB2312" w:cs="Times New Roman"/>
          <w:bCs/>
        </w:rPr>
        <w:t>（2）《国家能源局关于印发新能源汽车充电基础设施专项规划编制提纲的通知》（国能电力[2015]447号）；</w:t>
      </w:r>
    </w:p>
    <w:p>
      <w:pPr>
        <w:adjustRightInd w:val="0"/>
        <w:snapToGrid w:val="0"/>
        <w:ind w:firstLine="560" w:firstLineChars="0"/>
        <w:rPr>
          <w:rFonts w:eastAsia="仿宋_GB2312" w:cs="Times New Roman"/>
          <w:bCs/>
        </w:rPr>
      </w:pPr>
      <w:r>
        <w:rPr>
          <w:rFonts w:eastAsia="仿宋_GB2312" w:cs="Times New Roman"/>
          <w:bCs/>
        </w:rPr>
        <w:t>（3）《电动汽车充电基础设施发展指南（2015-2020年）》（发改能源[2015]1454号）；</w:t>
      </w:r>
    </w:p>
    <w:p>
      <w:pPr>
        <w:adjustRightInd w:val="0"/>
        <w:snapToGrid w:val="0"/>
        <w:ind w:firstLine="560" w:firstLineChars="0"/>
        <w:rPr>
          <w:rFonts w:eastAsia="仿宋_GB2312" w:cs="Times New Roman"/>
          <w:bCs/>
        </w:rPr>
      </w:pPr>
      <w:r>
        <w:rPr>
          <w:rFonts w:eastAsia="仿宋_GB2312" w:cs="Times New Roman"/>
          <w:bCs/>
        </w:rPr>
        <w:t>（4）《交通运输部关于加快推进新能源汽车在交通运输行业推广应用的实施意见》（交运发[2015]34号）；</w:t>
      </w:r>
    </w:p>
    <w:p>
      <w:pPr>
        <w:adjustRightInd w:val="0"/>
        <w:snapToGrid w:val="0"/>
        <w:ind w:firstLine="560" w:firstLineChars="0"/>
        <w:rPr>
          <w:rFonts w:eastAsia="仿宋_GB2312" w:cs="Times New Roman"/>
          <w:bCs/>
        </w:rPr>
      </w:pPr>
      <w:r>
        <w:rPr>
          <w:rFonts w:eastAsia="仿宋_GB2312" w:cs="Times New Roman"/>
          <w:bCs/>
        </w:rPr>
        <w:t>（5）《关于加快单位内部电动汽车充电基础设施的通知》（国能电力〔2017〕19号）；</w:t>
      </w:r>
    </w:p>
    <w:p>
      <w:pPr>
        <w:adjustRightInd w:val="0"/>
        <w:snapToGrid w:val="0"/>
        <w:ind w:firstLine="560" w:firstLineChars="0"/>
        <w:rPr>
          <w:rFonts w:eastAsia="仿宋_GB2312" w:cs="Times New Roman"/>
          <w:bCs/>
        </w:rPr>
      </w:pPr>
      <w:r>
        <w:rPr>
          <w:rFonts w:eastAsia="仿宋_GB2312" w:cs="Times New Roman"/>
          <w:bCs/>
        </w:rPr>
        <w:t>（6）关于印发《提升新能源汽车充电保障能力行动计划》的通知(发改能源〔2018〕1698号)；</w:t>
      </w:r>
    </w:p>
    <w:p>
      <w:pPr>
        <w:adjustRightInd w:val="0"/>
        <w:snapToGrid w:val="0"/>
        <w:ind w:firstLine="560" w:firstLineChars="0"/>
        <w:rPr>
          <w:rFonts w:eastAsia="仿宋_GB2312" w:cs="Times New Roman"/>
          <w:bCs/>
        </w:rPr>
      </w:pPr>
      <w:r>
        <w:rPr>
          <w:rFonts w:eastAsia="仿宋_GB2312" w:cs="Times New Roman"/>
          <w:bCs/>
        </w:rPr>
        <w:t>（7）《关于进一步完善新能源汽车推广应用财政补贴政策的通知》（财建〔2019〕138号）；</w:t>
      </w:r>
    </w:p>
    <w:p>
      <w:pPr>
        <w:adjustRightInd w:val="0"/>
        <w:snapToGrid w:val="0"/>
        <w:ind w:firstLine="560" w:firstLineChars="0"/>
        <w:rPr>
          <w:rFonts w:eastAsia="仿宋_GB2312" w:cs="Times New Roman"/>
          <w:bCs/>
        </w:rPr>
      </w:pPr>
      <w:r>
        <w:rPr>
          <w:rFonts w:eastAsia="仿宋_GB2312" w:cs="Times New Roman"/>
          <w:bCs/>
        </w:rPr>
        <w:t>（8）《交通运输部等十二部门和单位关于印发绿色出行行动计划（2019—2022年）的通知》（交运发〔2019〕70号）；</w:t>
      </w:r>
    </w:p>
    <w:p>
      <w:pPr>
        <w:adjustRightInd w:val="0"/>
        <w:snapToGrid w:val="0"/>
        <w:ind w:firstLine="560" w:firstLineChars="0"/>
        <w:rPr>
          <w:rFonts w:eastAsia="仿宋_GB2312" w:cs="Times New Roman"/>
          <w:bCs/>
        </w:rPr>
      </w:pPr>
      <w:r>
        <w:rPr>
          <w:rFonts w:eastAsia="仿宋_GB2312" w:cs="Times New Roman"/>
          <w:bCs/>
        </w:rPr>
        <w:t>（9）《关于稳定和扩大汽车消费若干措施的通知》（发改产业〔2020〕684号）；</w:t>
      </w:r>
    </w:p>
    <w:p>
      <w:pPr>
        <w:adjustRightInd w:val="0"/>
        <w:snapToGrid w:val="0"/>
        <w:ind w:firstLine="560" w:firstLineChars="0"/>
        <w:rPr>
          <w:rFonts w:eastAsia="仿宋_GB2312" w:cs="Times New Roman"/>
          <w:bCs/>
        </w:rPr>
      </w:pPr>
      <w:r>
        <w:rPr>
          <w:rFonts w:eastAsia="仿宋_GB2312" w:cs="Times New Roman"/>
          <w:bCs/>
        </w:rPr>
        <w:t>（10）《关于印发新能源汽车产业发展规划（2021—2035年）的通知》（国办发〔2020〕39号）；</w:t>
      </w:r>
    </w:p>
    <w:p>
      <w:pPr>
        <w:adjustRightInd w:val="0"/>
        <w:snapToGrid w:val="0"/>
        <w:ind w:firstLine="560" w:firstLineChars="0"/>
        <w:rPr>
          <w:rFonts w:eastAsia="仿宋_GB2312" w:cs="Times New Roman"/>
          <w:bCs/>
        </w:rPr>
      </w:pPr>
      <w:r>
        <w:rPr>
          <w:rFonts w:eastAsia="仿宋_GB2312" w:cs="Times New Roman"/>
          <w:bCs/>
        </w:rPr>
        <w:t>（11）《关于印发2030年前碳达峰行动方案的通知》（国发〔2021〕23号）；</w:t>
      </w:r>
    </w:p>
    <w:p>
      <w:pPr>
        <w:adjustRightInd w:val="0"/>
        <w:snapToGrid w:val="0"/>
        <w:ind w:firstLine="560" w:firstLineChars="0"/>
        <w:rPr>
          <w:rFonts w:eastAsia="仿宋_GB2312" w:cs="Times New Roman"/>
          <w:bCs/>
        </w:rPr>
      </w:pPr>
      <w:r>
        <w:rPr>
          <w:rFonts w:eastAsia="仿宋_GB2312" w:cs="Times New Roman"/>
          <w:bCs/>
        </w:rPr>
        <w:t>（12）《关于进一步提升电动汽车充电基础设施服务保障能力的实施意见》（发改能源规〔2022〕53号）；</w:t>
      </w:r>
    </w:p>
    <w:p>
      <w:pPr>
        <w:adjustRightInd w:val="0"/>
        <w:snapToGrid w:val="0"/>
        <w:ind w:firstLine="560" w:firstLineChars="0"/>
        <w:rPr>
          <w:rFonts w:eastAsia="仿宋_GB2312" w:cs="Times New Roman"/>
          <w:bCs/>
        </w:rPr>
      </w:pPr>
      <w:r>
        <w:rPr>
          <w:rFonts w:eastAsia="仿宋_GB2312" w:cs="Times New Roman"/>
          <w:bCs/>
        </w:rPr>
        <w:t>（13）《加快推进公路沿线充电基础设施行动方案》（交公路发〔2022〕80号）；</w:t>
      </w:r>
    </w:p>
    <w:p>
      <w:pPr>
        <w:adjustRightInd w:val="0"/>
        <w:snapToGrid w:val="0"/>
        <w:ind w:firstLine="560" w:firstLineChars="0"/>
        <w:rPr>
          <w:rFonts w:eastAsia="仿宋_GB2312" w:cs="Times New Roman"/>
          <w:bCs/>
        </w:rPr>
      </w:pPr>
      <w:r>
        <w:rPr>
          <w:rFonts w:eastAsia="仿宋_GB2312" w:cs="Times New Roman"/>
          <w:bCs/>
        </w:rPr>
        <w:t>（14）《湖北省人民政府办公厅关于加快新能源汽车推广应用的实施意见》（鄂政办发〔2015〕24号）；</w:t>
      </w:r>
    </w:p>
    <w:p>
      <w:pPr>
        <w:adjustRightInd w:val="0"/>
        <w:snapToGrid w:val="0"/>
        <w:ind w:firstLine="560" w:firstLineChars="0"/>
        <w:rPr>
          <w:rFonts w:eastAsia="仿宋_GB2312" w:cs="Times New Roman"/>
          <w:bCs/>
        </w:rPr>
      </w:pPr>
      <w:r>
        <w:rPr>
          <w:rFonts w:eastAsia="仿宋_GB2312" w:cs="Times New Roman"/>
          <w:bCs/>
        </w:rPr>
        <w:t>（15）《省发改委关于印发湖北省电动汽车充电基础设施建设专项规划（2016-2020年）的通知》（鄂发改能源〔2016〕740号）；</w:t>
      </w:r>
    </w:p>
    <w:p>
      <w:pPr>
        <w:adjustRightInd w:val="0"/>
        <w:snapToGrid w:val="0"/>
        <w:ind w:firstLine="560" w:firstLineChars="0"/>
        <w:rPr>
          <w:rFonts w:eastAsia="仿宋_GB2312" w:cs="Times New Roman"/>
          <w:bCs/>
        </w:rPr>
      </w:pPr>
      <w:r>
        <w:rPr>
          <w:rFonts w:eastAsia="仿宋_GB2312" w:cs="Times New Roman"/>
          <w:bCs/>
        </w:rPr>
        <w:t>（16）《湖北省新能源汽车充电基础设施建设运营管理暂行办法》（鄂能源建设〔2021〕28号）。</w:t>
      </w:r>
    </w:p>
    <w:p>
      <w:pPr>
        <w:adjustRightInd w:val="0"/>
        <w:snapToGrid w:val="0"/>
        <w:ind w:firstLine="281" w:firstLineChars="100"/>
        <w:rPr>
          <w:rFonts w:eastAsia="仿宋_GB2312" w:cs="Times New Roman"/>
          <w:b/>
        </w:rPr>
      </w:pPr>
      <w:r>
        <w:rPr>
          <w:rFonts w:eastAsia="仿宋_GB2312" w:cs="Times New Roman"/>
          <w:b/>
        </w:rPr>
        <w:t>2</w:t>
      </w:r>
      <w:r>
        <w:rPr>
          <w:rFonts w:hint="eastAsia" w:eastAsia="仿宋_GB2312" w:cs="Times New Roman"/>
          <w:b/>
        </w:rPr>
        <w:t>.</w:t>
      </w:r>
      <w:r>
        <w:rPr>
          <w:rFonts w:eastAsia="仿宋_GB2312" w:cs="Times New Roman"/>
          <w:b/>
        </w:rPr>
        <w:t xml:space="preserve"> 行业规范文件及地方相关规划</w:t>
      </w:r>
    </w:p>
    <w:p>
      <w:pPr>
        <w:adjustRightInd w:val="0"/>
        <w:snapToGrid w:val="0"/>
        <w:ind w:firstLine="560"/>
        <w:rPr>
          <w:rFonts w:eastAsia="仿宋_GB2312" w:cs="Times New Roman"/>
        </w:rPr>
      </w:pPr>
      <w:r>
        <w:rPr>
          <w:rFonts w:eastAsia="仿宋_GB2312" w:cs="Times New Roman"/>
        </w:rPr>
        <w:t>（1）</w:t>
      </w:r>
      <w:r>
        <w:rPr>
          <w:rFonts w:eastAsia="仿宋_GB2312" w:cs="Times New Roman"/>
        </w:rPr>
        <w:tab/>
      </w:r>
      <w:r>
        <w:rPr>
          <w:rFonts w:eastAsia="仿宋_GB2312" w:cs="Times New Roman"/>
        </w:rPr>
        <w:t>《城市道路交通规划设计规范》（GB 50220）；</w:t>
      </w:r>
    </w:p>
    <w:p>
      <w:pPr>
        <w:adjustRightInd w:val="0"/>
        <w:snapToGrid w:val="0"/>
        <w:ind w:firstLine="560"/>
        <w:rPr>
          <w:rFonts w:eastAsia="仿宋_GB2312" w:cs="Times New Roman"/>
        </w:rPr>
      </w:pPr>
      <w:r>
        <w:rPr>
          <w:rFonts w:eastAsia="仿宋_GB2312" w:cs="Times New Roman"/>
        </w:rPr>
        <w:t>（2）</w:t>
      </w:r>
      <w:r>
        <w:rPr>
          <w:rFonts w:eastAsia="仿宋_GB2312" w:cs="Times New Roman"/>
        </w:rPr>
        <w:tab/>
      </w:r>
      <w:r>
        <w:rPr>
          <w:rFonts w:eastAsia="仿宋_GB2312" w:cs="Times New Roman"/>
        </w:rPr>
        <w:t>《电动汽车充换电设施术语》（GB/T 29317-2012）；</w:t>
      </w:r>
    </w:p>
    <w:p>
      <w:pPr>
        <w:adjustRightInd w:val="0"/>
        <w:snapToGrid w:val="0"/>
        <w:ind w:firstLine="560"/>
        <w:rPr>
          <w:rFonts w:eastAsia="仿宋_GB2312" w:cs="Times New Roman"/>
        </w:rPr>
      </w:pPr>
      <w:r>
        <w:rPr>
          <w:rFonts w:eastAsia="仿宋_GB2312" w:cs="Times New Roman"/>
        </w:rPr>
        <w:t>（3）</w:t>
      </w:r>
      <w:r>
        <w:rPr>
          <w:rFonts w:eastAsia="仿宋_GB2312" w:cs="Times New Roman"/>
        </w:rPr>
        <w:tab/>
      </w:r>
      <w:r>
        <w:rPr>
          <w:rFonts w:eastAsia="仿宋_GB2312" w:cs="Times New Roman"/>
        </w:rPr>
        <w:t>《新能源汽车充换电站设施接入电网技术规范》（GB/T36278-2018）；</w:t>
      </w:r>
    </w:p>
    <w:p>
      <w:pPr>
        <w:adjustRightInd w:val="0"/>
        <w:snapToGrid w:val="0"/>
        <w:ind w:firstLine="560"/>
        <w:rPr>
          <w:rFonts w:eastAsia="仿宋_GB2312" w:cs="Times New Roman"/>
        </w:rPr>
      </w:pPr>
      <w:r>
        <w:rPr>
          <w:rFonts w:eastAsia="仿宋_GB2312" w:cs="Times New Roman"/>
        </w:rPr>
        <w:t>（4）</w:t>
      </w:r>
      <w:r>
        <w:rPr>
          <w:rFonts w:eastAsia="仿宋_GB2312" w:cs="Times New Roman"/>
        </w:rPr>
        <w:tab/>
      </w:r>
      <w:r>
        <w:rPr>
          <w:rFonts w:eastAsia="仿宋_GB2312" w:cs="Times New Roman"/>
        </w:rPr>
        <w:t>《咸宁市咸安区环境卫生设施专项规划》（2011-2030）；</w:t>
      </w:r>
    </w:p>
    <w:p>
      <w:pPr>
        <w:adjustRightInd w:val="0"/>
        <w:snapToGrid w:val="0"/>
        <w:ind w:firstLine="560"/>
        <w:rPr>
          <w:rFonts w:eastAsia="仿宋_GB2312" w:cs="Times New Roman"/>
          <w:bCs/>
        </w:rPr>
      </w:pPr>
      <w:r>
        <w:rPr>
          <w:rFonts w:eastAsia="仿宋_GB2312" w:cs="Times New Roman"/>
          <w:bCs/>
        </w:rPr>
        <w:t>（5）《咸宁市城市总体规划（2011-2030年）》；</w:t>
      </w:r>
    </w:p>
    <w:p>
      <w:pPr>
        <w:adjustRightInd w:val="0"/>
        <w:snapToGrid w:val="0"/>
        <w:ind w:firstLine="560"/>
        <w:rPr>
          <w:rFonts w:eastAsia="仿宋_GB2312" w:cs="Times New Roman"/>
        </w:rPr>
      </w:pPr>
      <w:r>
        <w:rPr>
          <w:rFonts w:eastAsia="仿宋_GB2312" w:cs="Times New Roman"/>
        </w:rPr>
        <w:t>（6）《咸宁市现代物流业发展规划》(2015-2030)；</w:t>
      </w:r>
    </w:p>
    <w:p>
      <w:pPr>
        <w:adjustRightInd w:val="0"/>
        <w:snapToGrid w:val="0"/>
        <w:ind w:firstLine="560"/>
        <w:rPr>
          <w:rFonts w:eastAsia="仿宋_GB2312" w:cs="Times New Roman"/>
          <w:bCs/>
        </w:rPr>
      </w:pPr>
      <w:r>
        <w:rPr>
          <w:rFonts w:eastAsia="仿宋_GB2312" w:cs="Times New Roman"/>
          <w:bCs/>
        </w:rPr>
        <w:t>（7）《咸宁市统计年鉴》（2016-2021）；</w:t>
      </w:r>
    </w:p>
    <w:p>
      <w:pPr>
        <w:adjustRightInd w:val="0"/>
        <w:snapToGrid w:val="0"/>
        <w:ind w:firstLine="560"/>
        <w:rPr>
          <w:rFonts w:eastAsia="仿宋_GB2312" w:cs="Times New Roman"/>
          <w:bCs/>
        </w:rPr>
      </w:pPr>
      <w:r>
        <w:rPr>
          <w:rFonts w:eastAsia="仿宋_GB2312" w:cs="Times New Roman"/>
          <w:bCs/>
        </w:rPr>
        <w:t>（8）《咸宁市国民经济和社会发展统计公报》（2016-2021）</w:t>
      </w:r>
    </w:p>
    <w:p>
      <w:pPr>
        <w:adjustRightInd w:val="0"/>
        <w:snapToGrid w:val="0"/>
        <w:ind w:firstLine="560" w:firstLineChars="0"/>
        <w:rPr>
          <w:rFonts w:eastAsia="仿宋_GB2312" w:cs="Times New Roman"/>
          <w:bCs/>
        </w:rPr>
      </w:pPr>
      <w:r>
        <w:rPr>
          <w:rFonts w:eastAsia="仿宋_GB2312" w:cs="Times New Roman"/>
          <w:bCs/>
        </w:rPr>
        <w:t>（9）《咸宁市咸安区公共交通规划》（2018-2030）；</w:t>
      </w:r>
    </w:p>
    <w:p>
      <w:pPr>
        <w:adjustRightInd w:val="0"/>
        <w:snapToGrid w:val="0"/>
        <w:ind w:firstLine="560"/>
        <w:rPr>
          <w:rFonts w:eastAsia="仿宋_GB2312" w:cs="Times New Roman"/>
        </w:rPr>
      </w:pPr>
      <w:r>
        <w:rPr>
          <w:rFonts w:eastAsia="仿宋_GB2312" w:cs="Times New Roman"/>
        </w:rPr>
        <w:t>（10）</w:t>
      </w:r>
      <w:r>
        <w:rPr>
          <w:rFonts w:eastAsia="仿宋_GB2312" w:cs="Times New Roman"/>
        </w:rPr>
        <w:tab/>
      </w:r>
      <w:r>
        <w:rPr>
          <w:rFonts w:eastAsia="仿宋_GB2312" w:cs="Times New Roman"/>
        </w:rPr>
        <w:t>《咸宁市咸安区公交场站布局专项规划》（2018-2035年）；</w:t>
      </w:r>
    </w:p>
    <w:p>
      <w:pPr>
        <w:adjustRightInd w:val="0"/>
        <w:snapToGrid w:val="0"/>
        <w:ind w:firstLine="560" w:firstLineChars="0"/>
        <w:rPr>
          <w:rFonts w:eastAsia="仿宋_GB2312" w:cs="Times New Roman"/>
          <w:bCs/>
        </w:rPr>
      </w:pPr>
      <w:r>
        <w:rPr>
          <w:rFonts w:eastAsia="仿宋_GB2312" w:cs="Times New Roman"/>
        </w:rPr>
        <w:t>（11）《咸宁市推动多式联运高质量发展三年攻坚行动方案》（2021—2023年）；</w:t>
      </w:r>
    </w:p>
    <w:p>
      <w:pPr>
        <w:adjustRightInd w:val="0"/>
        <w:snapToGrid w:val="0"/>
        <w:ind w:firstLine="560" w:firstLineChars="0"/>
        <w:rPr>
          <w:rFonts w:eastAsia="仿宋_GB2312" w:cs="Times New Roman"/>
          <w:bCs/>
        </w:rPr>
      </w:pPr>
      <w:r>
        <w:rPr>
          <w:rFonts w:eastAsia="仿宋_GB2312" w:cs="Times New Roman"/>
          <w:bCs/>
        </w:rPr>
        <w:t>（12）《咸宁市国民经济和社会发展第十四个五年规划和2035年远景目标纲要》；</w:t>
      </w:r>
    </w:p>
    <w:p>
      <w:pPr>
        <w:adjustRightInd w:val="0"/>
        <w:snapToGrid w:val="0"/>
        <w:ind w:firstLine="560" w:firstLineChars="0"/>
        <w:rPr>
          <w:rFonts w:eastAsia="仿宋_GB2312" w:cs="Times New Roman"/>
          <w:bCs/>
        </w:rPr>
      </w:pPr>
      <w:r>
        <w:rPr>
          <w:rFonts w:eastAsia="仿宋_GB2312" w:cs="Times New Roman"/>
          <w:bCs/>
        </w:rPr>
        <w:t>（13）《咸宁市“十四五”配电网发展规划报告》（2021版）；</w:t>
      </w:r>
    </w:p>
    <w:p>
      <w:pPr>
        <w:adjustRightInd w:val="0"/>
        <w:snapToGrid w:val="0"/>
        <w:ind w:firstLine="560"/>
        <w:rPr>
          <w:rFonts w:eastAsia="仿宋_GB2312" w:cs="Times New Roman"/>
          <w:bCs/>
        </w:rPr>
      </w:pPr>
      <w:r>
        <w:rPr>
          <w:rFonts w:eastAsia="仿宋_GB2312" w:cs="Times New Roman"/>
        </w:rPr>
        <w:t>（14）《咸宁市综合交通运输“十四五”规划》</w:t>
      </w:r>
      <w:r>
        <w:rPr>
          <w:rFonts w:eastAsia="仿宋_GB2312" w:cs="Times New Roman"/>
          <w:bCs/>
        </w:rPr>
        <w:t>。</w:t>
      </w:r>
    </w:p>
    <w:p>
      <w:pPr>
        <w:adjustRightInd w:val="0"/>
        <w:snapToGrid w:val="0"/>
        <w:ind w:firstLine="560"/>
        <w:rPr>
          <w:rFonts w:eastAsia="仿宋_GB2312" w:cs="Times New Roman"/>
        </w:rPr>
      </w:pPr>
    </w:p>
    <w:p>
      <w:pPr>
        <w:adjustRightInd w:val="0"/>
        <w:snapToGrid w:val="0"/>
        <w:ind w:firstLine="0" w:firstLineChars="0"/>
        <w:rPr>
          <w:rFonts w:eastAsia="仿宋_GB2312" w:cs="Times New Roman"/>
        </w:rPr>
      </w:pPr>
    </w:p>
    <w:p>
      <w:pPr>
        <w:pStyle w:val="2"/>
        <w:rPr>
          <w:rFonts w:eastAsia="仿宋_GB2312" w:cs="Times New Roman"/>
        </w:rPr>
      </w:pPr>
      <w:bookmarkStart w:id="22" w:name="_Toc61257686"/>
      <w:bookmarkStart w:id="23" w:name="_Toc117243171"/>
      <w:bookmarkStart w:id="24" w:name="OLE_LINK13"/>
      <w:r>
        <w:rPr>
          <w:rFonts w:eastAsia="仿宋_GB2312" w:cs="Times New Roman"/>
        </w:rPr>
        <w:t>发展现状</w:t>
      </w:r>
      <w:bookmarkEnd w:id="22"/>
      <w:bookmarkEnd w:id="23"/>
    </w:p>
    <w:bookmarkEnd w:id="24"/>
    <w:p>
      <w:pPr>
        <w:pStyle w:val="3"/>
        <w:adjustRightInd w:val="0"/>
        <w:rPr>
          <w:rFonts w:eastAsia="仿宋_GB2312" w:cs="Times New Roman"/>
        </w:rPr>
      </w:pPr>
      <w:bookmarkStart w:id="25" w:name="_Toc61257687"/>
      <w:bookmarkStart w:id="26" w:name="_Toc117243172"/>
      <w:r>
        <w:rPr>
          <w:rFonts w:eastAsia="仿宋_GB2312" w:cs="Times New Roman"/>
        </w:rPr>
        <w:t>社会经济发展</w:t>
      </w:r>
      <w:bookmarkEnd w:id="25"/>
      <w:r>
        <w:rPr>
          <w:rFonts w:eastAsia="仿宋_GB2312" w:cs="Times New Roman"/>
        </w:rPr>
        <w:t>现状</w:t>
      </w:r>
      <w:bookmarkEnd w:id="26"/>
    </w:p>
    <w:p>
      <w:pPr>
        <w:pStyle w:val="4"/>
        <w:spacing w:before="156" w:after="156"/>
        <w:rPr>
          <w:rFonts w:eastAsia="仿宋_GB2312"/>
        </w:rPr>
      </w:pPr>
      <w:bookmarkStart w:id="27" w:name="_Toc117243173"/>
      <w:r>
        <w:rPr>
          <w:rFonts w:eastAsia="仿宋_GB2312"/>
        </w:rPr>
        <w:t>地区总体情况</w:t>
      </w:r>
      <w:bookmarkEnd w:id="27"/>
    </w:p>
    <w:p>
      <w:pPr>
        <w:numPr>
          <w:ilvl w:val="0"/>
          <w:numId w:val="11"/>
        </w:numPr>
        <w:adjustRightInd w:val="0"/>
        <w:snapToGrid w:val="0"/>
        <w:ind w:firstLine="562"/>
        <w:rPr>
          <w:rFonts w:eastAsia="仿宋_GB2312" w:cs="Times New Roman"/>
          <w:b/>
          <w:bCs/>
          <w:color w:val="000000"/>
        </w:rPr>
      </w:pPr>
      <w:r>
        <w:rPr>
          <w:rFonts w:eastAsia="仿宋_GB2312" w:cs="Times New Roman"/>
          <w:b/>
          <w:bCs/>
          <w:color w:val="000000"/>
        </w:rPr>
        <w:t>地理位置</w:t>
      </w:r>
    </w:p>
    <w:p>
      <w:pPr>
        <w:adjustRightInd w:val="0"/>
        <w:snapToGrid w:val="0"/>
        <w:ind w:firstLine="560"/>
        <w:rPr>
          <w:rFonts w:eastAsia="仿宋_GB2312" w:cs="Times New Roman"/>
        </w:rPr>
      </w:pPr>
      <w:r>
        <w:rPr>
          <w:rFonts w:eastAsia="仿宋_GB2312" w:cs="Times New Roman"/>
        </w:rPr>
        <w:t>咸宁位于湖北省东南部，北临武汉，南接岳阳，东靠九江，西界荆州，位居武汉、长沙、南昌“中三角”交汇的中心。素有“湖北南大门”之称，享有“桂花、楠竹、茶叶、苎麻、温泉之乡”之誉。是全国“两型”社会建设综合配套改革试验区，是极具发展潜力的核心城市，是宜业、宜居、宜赏的实力之城、活力之城、魅力之城。</w:t>
      </w:r>
    </w:p>
    <w:p>
      <w:pPr>
        <w:numPr>
          <w:ilvl w:val="0"/>
          <w:numId w:val="11"/>
        </w:numPr>
        <w:adjustRightInd w:val="0"/>
        <w:snapToGrid w:val="0"/>
        <w:ind w:firstLine="562"/>
        <w:rPr>
          <w:rFonts w:eastAsia="仿宋_GB2312" w:cs="Times New Roman"/>
          <w:b/>
          <w:bCs/>
          <w:color w:val="000000"/>
        </w:rPr>
      </w:pPr>
      <w:r>
        <w:rPr>
          <w:rFonts w:eastAsia="仿宋_GB2312" w:cs="Times New Roman"/>
          <w:b/>
          <w:bCs/>
          <w:color w:val="000000"/>
        </w:rPr>
        <w:t>行政区域和人口</w:t>
      </w:r>
    </w:p>
    <w:p>
      <w:pPr>
        <w:adjustRightInd w:val="0"/>
        <w:snapToGrid w:val="0"/>
        <w:ind w:firstLine="560"/>
        <w:rPr>
          <w:rFonts w:eastAsia="仿宋_GB2312" w:cs="Times New Roman"/>
        </w:rPr>
      </w:pPr>
      <w:r>
        <w:rPr>
          <w:rFonts w:eastAsia="仿宋_GB2312" w:cs="Times New Roman"/>
        </w:rPr>
        <w:t>咸宁市国土面积9681平方公里，现辖一区一市四县：咸安区、赤壁市，以及嘉鱼、崇阳、通山、通城四个县。2021年末全市常住人口265.83万人，其中城镇人口149.84万人，常住人口城镇化率57.35％。咸宁行政区划示意如</w:t>
      </w:r>
      <w:r>
        <w:rPr>
          <w:rFonts w:eastAsia="仿宋_GB2312" w:cs="Times New Roman"/>
        </w:rPr>
        <w:fldChar w:fldCharType="begin"/>
      </w:r>
      <w:r>
        <w:rPr>
          <w:rFonts w:eastAsia="仿宋_GB2312" w:cs="Times New Roman"/>
        </w:rPr>
        <w:instrText xml:space="preserve"> REF _Ref114147536 \h  \* MERGEFORMAT </w:instrText>
      </w:r>
      <w:r>
        <w:rPr>
          <w:rFonts w:eastAsia="仿宋_GB2312" w:cs="Times New Roman"/>
        </w:rPr>
        <w:fldChar w:fldCharType="separate"/>
      </w:r>
      <w:r>
        <w:rPr>
          <w:rFonts w:eastAsia="仿宋_GB2312" w:cs="Times New Roman"/>
        </w:rPr>
        <w:t>图 2</w:t>
      </w:r>
      <w:r>
        <w:rPr>
          <w:rFonts w:eastAsia="仿宋_GB2312" w:cs="Times New Roman"/>
        </w:rPr>
        <w:noBreakHyphen/>
      </w:r>
      <w:r>
        <w:rPr>
          <w:rFonts w:eastAsia="仿宋_GB2312" w:cs="Times New Roman"/>
        </w:rPr>
        <w:t>1</w:t>
      </w:r>
      <w:r>
        <w:rPr>
          <w:rFonts w:eastAsia="仿宋_GB2312" w:cs="Times New Roman"/>
        </w:rPr>
        <w:fldChar w:fldCharType="end"/>
      </w:r>
      <w:r>
        <w:rPr>
          <w:rFonts w:eastAsia="仿宋_GB2312" w:cs="Times New Roman"/>
        </w:rPr>
        <w:t>所示。</w:t>
      </w:r>
    </w:p>
    <w:p>
      <w:pPr>
        <w:adjustRightInd w:val="0"/>
        <w:snapToGrid w:val="0"/>
        <w:ind w:firstLine="0" w:firstLineChars="0"/>
        <w:jc w:val="center"/>
        <w:rPr>
          <w:rFonts w:eastAsia="仿宋_GB2312" w:cs="Times New Roman"/>
        </w:rPr>
      </w:pPr>
      <w:r>
        <w:rPr>
          <w:rFonts w:eastAsia="仿宋_GB2312" w:cs="Times New Roman"/>
        </w:rPr>
        <w:drawing>
          <wp:inline distT="0" distB="0" distL="0" distR="0">
            <wp:extent cx="5077460" cy="4659630"/>
            <wp:effectExtent l="0" t="0" r="8890" b="7620"/>
            <wp:docPr id="7171" name="图片 717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71" name="图片 7171"/>
                    <pic:cNvPicPr>
                      <a:picLocks noChangeAspect="true" noChangeArrowheads="true"/>
                    </pic:cNvPicPr>
                  </pic:nvPicPr>
                  <pic:blipFill>
                    <a:blip r:embed="rId19">
                      <a:extLst>
                        <a:ext uri="{28A0092B-C50C-407E-A947-70E740481C1C}">
                          <a14:useLocalDpi xmlns:a14="http://schemas.microsoft.com/office/drawing/2010/main" val="false"/>
                        </a:ext>
                      </a:extLst>
                    </a:blip>
                    <a:srcRect l="930" t="12043" r="1620" b="798"/>
                    <a:stretch>
                      <a:fillRect/>
                    </a:stretch>
                  </pic:blipFill>
                  <pic:spPr>
                    <a:xfrm>
                      <a:off x="0" y="0"/>
                      <a:ext cx="5077691" cy="4660218"/>
                    </a:xfrm>
                    <a:prstGeom prst="rect">
                      <a:avLst/>
                    </a:prstGeom>
                    <a:noFill/>
                    <a:ln>
                      <a:noFill/>
                    </a:ln>
                  </pic:spPr>
                </pic:pic>
              </a:graphicData>
            </a:graphic>
          </wp:inline>
        </w:drawing>
      </w:r>
    </w:p>
    <w:p>
      <w:pPr>
        <w:pStyle w:val="19"/>
        <w:adjustRightInd w:val="0"/>
        <w:snapToGrid w:val="0"/>
        <w:rPr>
          <w:rFonts w:eastAsia="仿宋_GB2312" w:cs="Times New Roman"/>
          <w:color w:val="000000"/>
        </w:rPr>
      </w:pPr>
      <w:bookmarkStart w:id="28" w:name="_Ref114147536"/>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bookmarkEnd w:id="28"/>
      <w:r>
        <w:rPr>
          <w:rFonts w:eastAsia="仿宋_GB2312" w:cs="Times New Roman"/>
        </w:rPr>
        <w:t>咸宁市行政区划示意图</w:t>
      </w:r>
    </w:p>
    <w:p>
      <w:pPr>
        <w:pStyle w:val="4"/>
        <w:spacing w:before="156"/>
        <w:rPr>
          <w:rFonts w:eastAsia="仿宋_GB2312"/>
        </w:rPr>
      </w:pPr>
      <w:bookmarkStart w:id="29" w:name="_Toc117243174"/>
      <w:r>
        <w:rPr>
          <w:rFonts w:eastAsia="仿宋_GB2312"/>
        </w:rPr>
        <w:t>经济发展现状</w:t>
      </w:r>
      <w:bookmarkEnd w:id="29"/>
    </w:p>
    <w:p>
      <w:pPr>
        <w:adjustRightInd w:val="0"/>
        <w:snapToGrid w:val="0"/>
        <w:ind w:firstLine="560"/>
        <w:rPr>
          <w:rFonts w:eastAsia="仿宋_GB2312" w:cs="Times New Roman"/>
        </w:rPr>
      </w:pPr>
      <w:r>
        <w:rPr>
          <w:rFonts w:eastAsia="仿宋_GB2312" w:cs="Times New Roman"/>
        </w:rPr>
        <w:t>“十三五”期间，咸宁市经济呈现稳中向好、稳中提质的趋势</w:t>
      </w:r>
      <w:r>
        <w:rPr>
          <w:rFonts w:hint="eastAsia" w:eastAsia="仿宋_GB2312" w:cs="Times New Roman"/>
        </w:rPr>
        <w:t>。</w:t>
      </w:r>
      <w:r>
        <w:rPr>
          <w:rFonts w:eastAsia="仿宋_GB2312" w:cs="Times New Roman"/>
        </w:rPr>
        <w:t>一是产业结构调整升级</w:t>
      </w:r>
      <w:r>
        <w:rPr>
          <w:rFonts w:hint="eastAsia" w:eastAsia="仿宋_GB2312" w:cs="Times New Roman"/>
        </w:rPr>
        <w:t>，</w:t>
      </w:r>
      <w:r>
        <w:rPr>
          <w:rFonts w:eastAsia="仿宋_GB2312" w:cs="Times New Roman"/>
        </w:rPr>
        <w:t>咸宁市三次产业结构比由2016年的12.3：50.6：37.1调整为2021年的13.5：40.1：46.4</w:t>
      </w:r>
      <w:r>
        <w:rPr>
          <w:rFonts w:hint="eastAsia" w:eastAsia="仿宋_GB2312" w:cs="Times New Roman"/>
        </w:rPr>
        <w:t>；</w:t>
      </w:r>
      <w:r>
        <w:rPr>
          <w:rFonts w:eastAsia="仿宋_GB2312" w:cs="Times New Roman"/>
        </w:rPr>
        <w:t>二是工业结构改善优化</w:t>
      </w:r>
      <w:r>
        <w:rPr>
          <w:rFonts w:hint="eastAsia" w:eastAsia="仿宋_GB2312" w:cs="Times New Roman"/>
        </w:rPr>
        <w:t>，</w:t>
      </w:r>
      <w:r>
        <w:rPr>
          <w:rFonts w:eastAsia="仿宋_GB2312" w:cs="Times New Roman"/>
        </w:rPr>
        <w:t>工业经济中高新技术产业比重不断增加，传统高能耗行业比重不断下降，落后产能淘汰加速。</w:t>
      </w:r>
    </w:p>
    <w:p>
      <w:pPr>
        <w:pStyle w:val="70"/>
        <w:shd w:val="clear" w:color="auto" w:fill="FFFFFF"/>
        <w:adjustRightInd w:val="0"/>
        <w:snapToGrid w:val="0"/>
        <w:spacing w:beforeAutospacing="0" w:afterAutospacing="0" w:line="360" w:lineRule="auto"/>
        <w:ind w:firstLine="560" w:firstLineChars="200"/>
        <w:jc w:val="both"/>
        <w:rPr>
          <w:rFonts w:ascii="Times New Roman" w:hAnsi="Times New Roman" w:eastAsia="仿宋_GB2312"/>
          <w:sz w:val="28"/>
          <w:szCs w:val="28"/>
        </w:rPr>
      </w:pPr>
      <w:r>
        <w:rPr>
          <w:rFonts w:ascii="Times New Roman" w:hAnsi="Times New Roman" w:eastAsia="仿宋_GB2312"/>
          <w:kern w:val="2"/>
          <w:sz w:val="28"/>
          <w:szCs w:val="20"/>
        </w:rPr>
        <w:t>2021年，全市完成生产总值1751.82亿元，比上年增长12.8％；咸宁全市常住人口265.83万人，人均GDP</w:t>
      </w:r>
      <w:r>
        <w:rPr>
          <w:rFonts w:ascii="Times New Roman" w:hAnsi="Times New Roman" w:eastAsia="仿宋_GB2312"/>
          <w:kern w:val="2"/>
          <w:sz w:val="28"/>
          <w:szCs w:val="28"/>
        </w:rPr>
        <w:t>达6.62万元/人。</w:t>
      </w:r>
      <w:r>
        <w:rPr>
          <w:rFonts w:ascii="Times New Roman" w:hAnsi="Times New Roman" w:eastAsia="仿宋_GB2312"/>
          <w:sz w:val="28"/>
          <w:szCs w:val="28"/>
        </w:rPr>
        <w:t>经济社会情况主要指标统计如</w:t>
      </w:r>
      <w:r>
        <w:rPr>
          <w:rFonts w:ascii="Times New Roman" w:hAnsi="Times New Roman" w:eastAsia="仿宋_GB2312"/>
          <w:bCs/>
          <w:sz w:val="28"/>
          <w:szCs w:val="28"/>
        </w:rPr>
        <w:fldChar w:fldCharType="begin"/>
      </w:r>
      <w:r>
        <w:rPr>
          <w:rFonts w:ascii="Times New Roman" w:hAnsi="Times New Roman" w:eastAsia="仿宋_GB2312"/>
          <w:bCs/>
          <w:sz w:val="28"/>
          <w:szCs w:val="28"/>
        </w:rPr>
        <w:instrText xml:space="preserve"> REF _Ref116554365 \h  \* MERGEFORMAT </w:instrText>
      </w:r>
      <w:r>
        <w:rPr>
          <w:rFonts w:ascii="Times New Roman" w:hAnsi="Times New Roman" w:eastAsia="仿宋_GB2312"/>
          <w:bCs/>
          <w:sz w:val="28"/>
          <w:szCs w:val="28"/>
        </w:rPr>
        <w:fldChar w:fldCharType="separate"/>
      </w:r>
      <w:r>
        <w:rPr>
          <w:rFonts w:ascii="Times New Roman" w:hAnsi="Times New Roman" w:eastAsia="仿宋_GB2312"/>
          <w:bCs/>
          <w:sz w:val="28"/>
          <w:szCs w:val="28"/>
        </w:rPr>
        <w:t>表 2</w:t>
      </w:r>
      <w:r>
        <w:rPr>
          <w:rFonts w:ascii="Times New Roman" w:hAnsi="Times New Roman" w:eastAsia="仿宋_GB2312"/>
          <w:bCs/>
          <w:sz w:val="28"/>
          <w:szCs w:val="28"/>
        </w:rPr>
        <w:noBreakHyphen/>
      </w:r>
      <w:r>
        <w:rPr>
          <w:rFonts w:ascii="Times New Roman" w:hAnsi="Times New Roman" w:eastAsia="仿宋_GB2312"/>
          <w:bCs/>
          <w:sz w:val="28"/>
          <w:szCs w:val="28"/>
        </w:rPr>
        <w:t>1</w:t>
      </w:r>
      <w:r>
        <w:rPr>
          <w:rFonts w:ascii="Times New Roman" w:hAnsi="Times New Roman" w:eastAsia="仿宋_GB2312"/>
          <w:bCs/>
          <w:sz w:val="28"/>
          <w:szCs w:val="28"/>
        </w:rPr>
        <w:fldChar w:fldCharType="end"/>
      </w:r>
      <w:r>
        <w:rPr>
          <w:rFonts w:ascii="Times New Roman" w:hAnsi="Times New Roman" w:eastAsia="仿宋_GB2312"/>
          <w:bCs/>
          <w:sz w:val="28"/>
          <w:szCs w:val="28"/>
        </w:rPr>
        <w:t>所示</w:t>
      </w:r>
      <w:r>
        <w:rPr>
          <w:rFonts w:ascii="Times New Roman" w:hAnsi="Times New Roman" w:eastAsia="仿宋_GB2312"/>
          <w:sz w:val="28"/>
          <w:szCs w:val="28"/>
        </w:rPr>
        <w:t>。</w:t>
      </w:r>
    </w:p>
    <w:p>
      <w:pPr>
        <w:pStyle w:val="70"/>
        <w:shd w:val="clear" w:color="auto" w:fill="FFFFFF"/>
        <w:adjustRightInd w:val="0"/>
        <w:snapToGrid w:val="0"/>
        <w:spacing w:beforeAutospacing="0" w:afterAutospacing="0" w:line="360" w:lineRule="auto"/>
        <w:ind w:firstLine="560" w:firstLineChars="200"/>
        <w:jc w:val="both"/>
        <w:rPr>
          <w:rFonts w:ascii="Times New Roman" w:hAnsi="Times New Roman" w:eastAsia="仿宋_GB2312"/>
          <w:sz w:val="28"/>
          <w:szCs w:val="28"/>
        </w:rPr>
      </w:pPr>
    </w:p>
    <w:p>
      <w:pPr>
        <w:pStyle w:val="70"/>
        <w:shd w:val="clear" w:color="auto" w:fill="FFFFFF"/>
        <w:adjustRightInd w:val="0"/>
        <w:snapToGrid w:val="0"/>
        <w:spacing w:beforeAutospacing="0" w:afterAutospacing="0" w:line="360" w:lineRule="auto"/>
        <w:ind w:firstLine="560" w:firstLineChars="200"/>
        <w:jc w:val="both"/>
        <w:rPr>
          <w:rFonts w:ascii="Times New Roman" w:hAnsi="Times New Roman" w:eastAsia="仿宋_GB2312"/>
          <w:sz w:val="28"/>
          <w:szCs w:val="28"/>
        </w:rPr>
      </w:pPr>
    </w:p>
    <w:p>
      <w:pPr>
        <w:pStyle w:val="19"/>
        <w:adjustRightInd w:val="0"/>
        <w:snapToGrid w:val="0"/>
        <w:rPr>
          <w:rFonts w:eastAsia="仿宋_GB2312" w:cs="Times New Roman"/>
        </w:rPr>
      </w:pPr>
      <w:bookmarkStart w:id="30" w:name="_Ref116554365"/>
      <w:bookmarkStart w:id="31" w:name="_Ref114147645"/>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bookmarkEnd w:id="30"/>
      <w:bookmarkEnd w:id="31"/>
      <w:r>
        <w:rPr>
          <w:rFonts w:eastAsia="仿宋_GB2312" w:cs="Times New Roman"/>
        </w:rPr>
        <w:t>咸宁市经济社会历史发展情况</w:t>
      </w:r>
    </w:p>
    <w:tbl>
      <w:tblPr>
        <w:tblStyle w:val="76"/>
        <w:tblW w:w="5000" w:type="pct"/>
        <w:tblInd w:w="0" w:type="dxa"/>
        <w:tblLayout w:type="autofit"/>
        <w:tblCellMar>
          <w:top w:w="0" w:type="dxa"/>
          <w:left w:w="0" w:type="dxa"/>
          <w:bottom w:w="0" w:type="dxa"/>
          <w:right w:w="0" w:type="dxa"/>
        </w:tblCellMar>
      </w:tblPr>
      <w:tblGrid>
        <w:gridCol w:w="1141"/>
        <w:gridCol w:w="1435"/>
        <w:gridCol w:w="1435"/>
        <w:gridCol w:w="1435"/>
        <w:gridCol w:w="1435"/>
        <w:gridCol w:w="1435"/>
      </w:tblGrid>
      <w:tr>
        <w:tblPrEx>
          <w:tblCellMar>
            <w:top w:w="0" w:type="dxa"/>
            <w:left w:w="0" w:type="dxa"/>
            <w:bottom w:w="0" w:type="dxa"/>
            <w:right w:w="0" w:type="dxa"/>
          </w:tblCellMar>
        </w:tblPrEx>
        <w:trPr>
          <w:trHeight w:val="222" w:hRule="atLeast"/>
          <w:tblHeader/>
        </w:trPr>
        <w:tc>
          <w:tcPr>
            <w:tcW w:w="686"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年份</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土地面积(km²)</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GDP(亿元)</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年末总人口（万人）</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人均GDP（万元/人）</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城镇化率（%）</w:t>
            </w:r>
          </w:p>
        </w:tc>
      </w:tr>
      <w:tr>
        <w:tblPrEx>
          <w:tblCellMar>
            <w:top w:w="0" w:type="dxa"/>
            <w:left w:w="0" w:type="dxa"/>
            <w:bottom w:w="0" w:type="dxa"/>
            <w:right w:w="0" w:type="dxa"/>
          </w:tblCellMar>
        </w:tblPrEx>
        <w:trPr>
          <w:trHeight w:val="222" w:hRule="atLeast"/>
          <w:tblHeader/>
        </w:trPr>
        <w:tc>
          <w:tcPr>
            <w:tcW w:w="686"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2016</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9861</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1141.89</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252.6</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4.52</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49.9</w:t>
            </w:r>
          </w:p>
        </w:tc>
      </w:tr>
      <w:tr>
        <w:tblPrEx>
          <w:tblCellMar>
            <w:top w:w="0" w:type="dxa"/>
            <w:left w:w="0" w:type="dxa"/>
            <w:bottom w:w="0" w:type="dxa"/>
            <w:right w:w="0" w:type="dxa"/>
          </w:tblCellMar>
        </w:tblPrEx>
        <w:trPr>
          <w:trHeight w:val="222" w:hRule="atLeast"/>
          <w:tblHeader/>
        </w:trPr>
        <w:tc>
          <w:tcPr>
            <w:tcW w:w="686"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2017</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9861</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1287.24</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253.51</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5.08</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52.5</w:t>
            </w:r>
          </w:p>
        </w:tc>
      </w:tr>
      <w:tr>
        <w:tblPrEx>
          <w:tblCellMar>
            <w:top w:w="0" w:type="dxa"/>
            <w:left w:w="0" w:type="dxa"/>
            <w:bottom w:w="0" w:type="dxa"/>
            <w:right w:w="0" w:type="dxa"/>
          </w:tblCellMar>
        </w:tblPrEx>
        <w:trPr>
          <w:trHeight w:val="222" w:hRule="atLeast"/>
          <w:tblHeader/>
        </w:trPr>
        <w:tc>
          <w:tcPr>
            <w:tcW w:w="686"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2018</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9861</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1454.21</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254.33</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5.72</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53.7</w:t>
            </w:r>
          </w:p>
        </w:tc>
      </w:tr>
      <w:tr>
        <w:tblPrEx>
          <w:tblCellMar>
            <w:top w:w="0" w:type="dxa"/>
            <w:left w:w="0" w:type="dxa"/>
            <w:bottom w:w="0" w:type="dxa"/>
            <w:right w:w="0" w:type="dxa"/>
          </w:tblCellMar>
        </w:tblPrEx>
        <w:trPr>
          <w:trHeight w:val="222" w:hRule="atLeast"/>
          <w:tblHeader/>
        </w:trPr>
        <w:tc>
          <w:tcPr>
            <w:tcW w:w="686"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2019</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9861</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1594.98</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254.84</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6.26</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54.4</w:t>
            </w:r>
          </w:p>
        </w:tc>
      </w:tr>
      <w:tr>
        <w:tblPrEx>
          <w:tblCellMar>
            <w:top w:w="0" w:type="dxa"/>
            <w:left w:w="0" w:type="dxa"/>
            <w:bottom w:w="0" w:type="dxa"/>
            <w:right w:w="0" w:type="dxa"/>
          </w:tblCellMar>
        </w:tblPrEx>
        <w:trPr>
          <w:trHeight w:val="222" w:hRule="atLeast"/>
          <w:tblHeader/>
        </w:trPr>
        <w:tc>
          <w:tcPr>
            <w:tcW w:w="686"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2020</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9861</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1524.67</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260.41</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5.74</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55.2</w:t>
            </w:r>
          </w:p>
        </w:tc>
      </w:tr>
      <w:tr>
        <w:tblPrEx>
          <w:tblCellMar>
            <w:top w:w="0" w:type="dxa"/>
            <w:left w:w="0" w:type="dxa"/>
            <w:bottom w:w="0" w:type="dxa"/>
            <w:right w:w="0" w:type="dxa"/>
          </w:tblCellMar>
        </w:tblPrEx>
        <w:trPr>
          <w:trHeight w:val="222" w:hRule="atLeast"/>
          <w:tblHeader/>
        </w:trPr>
        <w:tc>
          <w:tcPr>
            <w:tcW w:w="686"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2021</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9861</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1751.82</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265.83</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6.62</w:t>
            </w:r>
          </w:p>
        </w:tc>
        <w:tc>
          <w:tcPr>
            <w:tcW w:w="863"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57.35</w:t>
            </w:r>
          </w:p>
        </w:tc>
      </w:tr>
    </w:tbl>
    <w:p>
      <w:pPr>
        <w:pStyle w:val="4"/>
        <w:spacing w:before="156"/>
        <w:rPr>
          <w:rFonts w:eastAsia="仿宋_GB2312"/>
        </w:rPr>
      </w:pPr>
      <w:bookmarkStart w:id="32" w:name="_Toc117243175"/>
      <w:r>
        <w:rPr>
          <w:rFonts w:eastAsia="仿宋_GB2312"/>
        </w:rPr>
        <w:t>道路交通现状</w:t>
      </w:r>
      <w:bookmarkEnd w:id="32"/>
    </w:p>
    <w:p>
      <w:pPr>
        <w:adjustRightInd w:val="0"/>
        <w:snapToGrid w:val="0"/>
        <w:ind w:firstLine="560"/>
        <w:jc w:val="left"/>
        <w:rPr>
          <w:rFonts w:eastAsia="仿宋_GB2312" w:cs="Times New Roman"/>
        </w:rPr>
      </w:pPr>
      <w:bookmarkStart w:id="33" w:name="_Toc61257691"/>
      <w:bookmarkStart w:id="34" w:name="_Toc48242815"/>
      <w:r>
        <w:rPr>
          <w:rFonts w:eastAsia="仿宋_GB2312" w:cs="Times New Roman"/>
        </w:rPr>
        <w:t>咸宁市地处</w:t>
      </w:r>
      <w:r>
        <w:fldChar w:fldCharType="begin"/>
      </w:r>
      <w:r>
        <w:instrText xml:space="preserve"> HYPERLINK "https://baike.baidu.com/item/%E5%8D%8E%E4%B8%AD/69771" \t "https://baike.baidu.com/item/%E5%92%B8%E5%AE%81/_blank" </w:instrText>
      </w:r>
      <w:r>
        <w:fldChar w:fldCharType="separate"/>
      </w:r>
      <w:r>
        <w:rPr>
          <w:rFonts w:eastAsia="仿宋_GB2312" w:cs="Times New Roman"/>
        </w:rPr>
        <w:t>华中</w:t>
      </w:r>
      <w:r>
        <w:rPr>
          <w:rFonts w:eastAsia="仿宋_GB2312" w:cs="Times New Roman"/>
        </w:rPr>
        <w:fldChar w:fldCharType="end"/>
      </w:r>
      <w:r>
        <w:rPr>
          <w:rFonts w:eastAsia="仿宋_GB2312" w:cs="Times New Roman"/>
        </w:rPr>
        <w:t>腹地，长江中游，京广高铁、武咸城铁、京广普铁“三铁”合聚，京港澳高速、武深高速、杭瑞高速、京广高铁、武咸城铁等在境内纵横交错，嘉鱼、赤壁长江大桥建成通车，境内有128公里长江岸线，坐高铁21分钟可到武汉，</w:t>
      </w:r>
      <w:r>
        <w:rPr>
          <w:rFonts w:hint="eastAsia" w:ascii="微软雅黑" w:hAnsi="微软雅黑" w:eastAsia="微软雅黑" w:cs="微软雅黑"/>
        </w:rPr>
        <w:t>簰</w:t>
      </w:r>
      <w:r>
        <w:rPr>
          <w:rFonts w:eastAsia="仿宋_GB2312" w:cs="Times New Roman"/>
        </w:rPr>
        <w:t>洲湾长江大桥、咸宁机场正在筹建。</w:t>
      </w:r>
    </w:p>
    <w:p>
      <w:pPr>
        <w:pStyle w:val="3"/>
        <w:adjustRightInd w:val="0"/>
        <w:rPr>
          <w:rFonts w:eastAsia="仿宋_GB2312" w:cs="Times New Roman"/>
        </w:rPr>
      </w:pPr>
      <w:bookmarkStart w:id="35" w:name="_Toc117243176"/>
      <w:r>
        <w:rPr>
          <w:rFonts w:eastAsia="仿宋_GB2312" w:cs="Times New Roman"/>
        </w:rPr>
        <w:t>新能源汽车及充电设施相关政策</w:t>
      </w:r>
      <w:bookmarkEnd w:id="33"/>
      <w:bookmarkEnd w:id="34"/>
      <w:r>
        <w:rPr>
          <w:rFonts w:eastAsia="仿宋_GB2312" w:cs="Times New Roman"/>
        </w:rPr>
        <w:t>分析</w:t>
      </w:r>
      <w:bookmarkEnd w:id="35"/>
    </w:p>
    <w:p>
      <w:pPr>
        <w:pStyle w:val="4"/>
        <w:spacing w:before="156" w:after="156"/>
        <w:rPr>
          <w:rFonts w:eastAsia="仿宋_GB2312"/>
        </w:rPr>
      </w:pPr>
      <w:bookmarkStart w:id="36" w:name="_Toc117243177"/>
      <w:bookmarkStart w:id="37" w:name="_Hlk39065712"/>
      <w:r>
        <w:rPr>
          <w:rFonts w:eastAsia="仿宋_GB2312"/>
        </w:rPr>
        <w:t>国家政策</w:t>
      </w:r>
      <w:bookmarkEnd w:id="36"/>
    </w:p>
    <w:p>
      <w:pPr>
        <w:adjustRightInd w:val="0"/>
        <w:snapToGrid w:val="0"/>
        <w:ind w:firstLine="560"/>
        <w:rPr>
          <w:rFonts w:eastAsia="仿宋_GB2312" w:cs="Times New Roman"/>
        </w:rPr>
      </w:pPr>
      <w:r>
        <w:rPr>
          <w:rFonts w:hint="eastAsia" w:eastAsia="仿宋_GB2312" w:cs="Times New Roman"/>
        </w:rPr>
        <w:t>近年来，国家连续出台多项新能源汽车配套支持政策，从产业发展、用地保障、电价优惠、财政补贴等方面为新能源汽车及其相关产业的发展提供了较多的政策支撑，为新能源汽车及充电设施快速发展奠定了坚实基础。</w:t>
      </w:r>
    </w:p>
    <w:p>
      <w:pPr>
        <w:adjustRightInd w:val="0"/>
        <w:snapToGrid w:val="0"/>
        <w:ind w:firstLine="560"/>
        <w:rPr>
          <w:rFonts w:eastAsia="仿宋_GB2312" w:cs="Times New Roman"/>
        </w:rPr>
      </w:pPr>
      <w:r>
        <w:rPr>
          <w:rFonts w:hint="eastAsia" w:eastAsia="仿宋_GB2312" w:cs="Times New Roman"/>
        </w:rPr>
        <w:t>如2015年</w:t>
      </w:r>
      <w:r>
        <w:rPr>
          <w:rFonts w:eastAsia="仿宋_GB2312" w:cs="Times New Roman"/>
        </w:rPr>
        <w:t>国务院办公厅印发《关于加快电动汽车充电基础设施建设的指导意见》（国办发〔2015〕73号），部署加快推进新能源汽车充电基础设施建设工作，这项扩内需惠民生的新举措，为新能源汽车行业迎来发展的春天</w:t>
      </w:r>
      <w:r>
        <w:rPr>
          <w:rFonts w:hint="eastAsia" w:eastAsia="仿宋_GB2312" w:cs="Times New Roman"/>
        </w:rPr>
        <w:t>。</w:t>
      </w:r>
    </w:p>
    <w:p>
      <w:pPr>
        <w:adjustRightInd w:val="0"/>
        <w:snapToGrid w:val="0"/>
        <w:ind w:firstLine="560"/>
        <w:rPr>
          <w:rFonts w:eastAsia="仿宋_GB2312" w:cs="Times New Roman"/>
        </w:rPr>
      </w:pPr>
      <w:r>
        <w:rPr>
          <w:rFonts w:hint="eastAsia" w:eastAsia="仿宋_GB2312" w:cs="Times New Roman"/>
        </w:rPr>
        <w:t>2018年国家发改委在《关于印发“提升新能源汽车充电保障能力行动计划”的通知》(发改能源〔2018〕1698号)中明确提出以新能源汽车推广应用为出发点，以提升充电保障能力为行动目标，推动充电基础设施高质量发展，为新能源汽车发展提供坚实能源保障，为新能源汽车用户提供更高效便捷的充电服务。</w:t>
      </w:r>
    </w:p>
    <w:p>
      <w:pPr>
        <w:adjustRightInd w:val="0"/>
        <w:snapToGrid w:val="0"/>
        <w:ind w:firstLine="560"/>
        <w:rPr>
          <w:rFonts w:eastAsia="仿宋_GB2312" w:cs="Times New Roman"/>
        </w:rPr>
      </w:pPr>
      <w:r>
        <w:rPr>
          <w:rFonts w:hint="eastAsia" w:eastAsia="仿宋_GB2312" w:cs="Times New Roman"/>
        </w:rPr>
        <w:t>2019年</w:t>
      </w:r>
      <w:r>
        <w:rPr>
          <w:rFonts w:eastAsia="仿宋_GB2312" w:cs="Times New Roman"/>
        </w:rPr>
        <w:t>交通运输部等十二部门和单位在《关于印发绿色出行行动计划（2019—2022年）的通知》（交运发〔2019〕70号）中明确指出加快充电基础设施建设，</w:t>
      </w:r>
      <w:r>
        <w:rPr>
          <w:rFonts w:hint="eastAsia" w:eastAsia="仿宋_GB2312" w:cs="Times New Roman"/>
        </w:rPr>
        <w:t>为充电设施建设指明了方向</w:t>
      </w:r>
      <w:r>
        <w:rPr>
          <w:rFonts w:eastAsia="仿宋_GB2312" w:cs="Times New Roman"/>
        </w:rPr>
        <w:t>。</w:t>
      </w:r>
    </w:p>
    <w:p>
      <w:pPr>
        <w:adjustRightInd w:val="0"/>
        <w:snapToGrid w:val="0"/>
        <w:ind w:firstLine="560"/>
        <w:rPr>
          <w:rFonts w:eastAsia="仿宋_GB2312" w:cs="Times New Roman"/>
        </w:rPr>
      </w:pPr>
      <w:r>
        <w:rPr>
          <w:rFonts w:hint="eastAsia" w:eastAsia="仿宋_GB2312" w:cs="Times New Roman"/>
        </w:rPr>
        <w:t>2020年</w:t>
      </w:r>
      <w:r>
        <w:rPr>
          <w:rFonts w:eastAsia="仿宋_GB2312" w:cs="Times New Roman"/>
        </w:rPr>
        <w:t>国务院《关于印发新能源汽车产业发展规划（2021—2035年）的通知》（国办发〔2020〕39号）中进一步强调要突破关键核心技术，优化产业发展环境，</w:t>
      </w:r>
      <w:r>
        <w:rPr>
          <w:rFonts w:eastAsia="仿宋_GB2312" w:cs="Times New Roman"/>
          <w:b/>
          <w:bCs/>
        </w:rPr>
        <w:t>推动我国新能源汽车产业高质量可持续发展，加快建设汽车强国</w:t>
      </w:r>
      <w:r>
        <w:rPr>
          <w:rFonts w:hint="eastAsia" w:eastAsia="仿宋_GB2312" w:cs="Times New Roman"/>
        </w:rPr>
        <w:t>。</w:t>
      </w:r>
    </w:p>
    <w:p>
      <w:pPr>
        <w:adjustRightInd w:val="0"/>
        <w:snapToGrid w:val="0"/>
        <w:ind w:firstLine="560"/>
        <w:rPr>
          <w:rFonts w:eastAsia="仿宋_GB2312" w:cs="Times New Roman"/>
        </w:rPr>
      </w:pPr>
      <w:r>
        <w:rPr>
          <w:rFonts w:hint="eastAsia" w:eastAsia="仿宋_GB2312" w:cs="Times New Roman"/>
        </w:rPr>
        <w:t>202</w:t>
      </w:r>
      <w:r>
        <w:rPr>
          <w:rFonts w:eastAsia="仿宋_GB2312" w:cs="Times New Roman"/>
        </w:rPr>
        <w:tab/>
      </w:r>
      <w:r>
        <w:rPr>
          <w:rFonts w:hint="eastAsia" w:eastAsia="仿宋_GB2312" w:cs="Times New Roman"/>
        </w:rPr>
        <w:t>1年</w:t>
      </w:r>
      <w:r>
        <w:rPr>
          <w:rFonts w:eastAsia="仿宋_GB2312" w:cs="Times New Roman"/>
        </w:rPr>
        <w:t>《关于印发2030年前碳达峰行动方案的通知》（国发〔2021〕23号）指出要</w:t>
      </w:r>
      <w:r>
        <w:rPr>
          <w:rFonts w:eastAsia="仿宋_GB2312" w:cs="Times New Roman"/>
          <w:b/>
          <w:bCs/>
        </w:rPr>
        <w:t>大力推广新能源汽车，逐步降低传统燃油汽车在新车产销和汽车保有量中的占比，到2030年，当年新增新能源、清洁能源动力的交通工具比例达到40%左右，有序推进充电桩、配套电网、加注(气)站、加氢站等基础设施建设</w:t>
      </w:r>
      <w:r>
        <w:rPr>
          <w:rFonts w:eastAsia="仿宋_GB2312" w:cs="Times New Roman"/>
        </w:rPr>
        <w:t>，提升城市公共交通基础设施水平</w:t>
      </w:r>
      <w:r>
        <w:rPr>
          <w:rFonts w:hint="eastAsia" w:eastAsia="仿宋_GB2312" w:cs="Times New Roman"/>
        </w:rPr>
        <w:t>。</w:t>
      </w:r>
    </w:p>
    <w:p>
      <w:pPr>
        <w:adjustRightInd w:val="0"/>
        <w:snapToGrid w:val="0"/>
        <w:ind w:firstLine="560"/>
        <w:rPr>
          <w:rFonts w:eastAsia="仿宋_GB2312" w:cs="Times New Roman"/>
        </w:rPr>
      </w:pPr>
      <w:r>
        <w:rPr>
          <w:rFonts w:hint="eastAsia" w:eastAsia="仿宋_GB2312" w:cs="Times New Roman"/>
        </w:rPr>
        <w:t>2022年</w:t>
      </w:r>
      <w:r>
        <w:rPr>
          <w:rFonts w:eastAsia="仿宋_GB2312" w:cs="Times New Roman"/>
        </w:rPr>
        <w:t>《加快推进公路沿线充电基础设施建设行动方案》（交公路发〔2022〕80号）中指出要加快健全完善公路沿线充电基础设施，并提出了具体要求。2014-2022年国家充电基础设施相关政策一览表如</w:t>
      </w:r>
      <w:r>
        <w:rPr>
          <w:rFonts w:eastAsia="仿宋_GB2312" w:cs="Times New Roman"/>
        </w:rPr>
        <w:fldChar w:fldCharType="begin"/>
      </w:r>
      <w:r>
        <w:rPr>
          <w:rFonts w:eastAsia="仿宋_GB2312" w:cs="Times New Roman"/>
        </w:rPr>
        <w:instrText xml:space="preserve"> REF _Ref114147795 \h  \* MERGEFORMAT </w:instrText>
      </w:r>
      <w:r>
        <w:rPr>
          <w:rFonts w:eastAsia="仿宋_GB2312" w:cs="Times New Roman"/>
        </w:rPr>
        <w:fldChar w:fldCharType="separate"/>
      </w:r>
      <w:r>
        <w:rPr>
          <w:rFonts w:eastAsia="仿宋_GB2312" w:cs="Times New Roman"/>
        </w:rPr>
        <w:t>表 2</w:t>
      </w:r>
      <w:r>
        <w:rPr>
          <w:rFonts w:eastAsia="仿宋_GB2312" w:cs="Times New Roman"/>
        </w:rPr>
        <w:noBreakHyphen/>
      </w:r>
      <w:r>
        <w:rPr>
          <w:rFonts w:eastAsia="仿宋_GB2312" w:cs="Times New Roman"/>
        </w:rPr>
        <w:t>2</w:t>
      </w:r>
      <w:r>
        <w:rPr>
          <w:rFonts w:eastAsia="仿宋_GB2312" w:cs="Times New Roman"/>
        </w:rPr>
        <w:fldChar w:fldCharType="end"/>
      </w:r>
      <w:r>
        <w:rPr>
          <w:rFonts w:eastAsia="仿宋_GB2312" w:cs="Times New Roman"/>
        </w:rPr>
        <w:t>所示。</w:t>
      </w:r>
    </w:p>
    <w:p>
      <w:pPr>
        <w:pStyle w:val="19"/>
        <w:adjustRightInd w:val="0"/>
        <w:snapToGrid w:val="0"/>
        <w:rPr>
          <w:rFonts w:eastAsia="仿宋_GB2312" w:cs="Times New Roman"/>
        </w:rPr>
      </w:pPr>
      <w:bookmarkStart w:id="38" w:name="_Ref114147795"/>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w:t>
      </w:r>
      <w:r>
        <w:rPr>
          <w:rFonts w:eastAsia="仿宋_GB2312" w:cs="Times New Roman"/>
        </w:rPr>
        <w:fldChar w:fldCharType="end"/>
      </w:r>
      <w:bookmarkEnd w:id="38"/>
      <w:r>
        <w:rPr>
          <w:rFonts w:eastAsia="仿宋_GB2312" w:cs="Times New Roman"/>
        </w:rPr>
        <w:t xml:space="preserve"> </w:t>
      </w:r>
      <w:bookmarkStart w:id="39" w:name="_Hlk39065295"/>
      <w:r>
        <w:rPr>
          <w:rFonts w:eastAsia="仿宋_GB2312" w:cs="Times New Roman"/>
        </w:rPr>
        <w:t>2014-2022年国家充电基础设施相关政策一览表</w:t>
      </w:r>
      <w:bookmarkEnd w:id="39"/>
    </w:p>
    <w:tbl>
      <w:tblPr>
        <w:tblStyle w:val="76"/>
        <w:tblW w:w="50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59"/>
        <w:gridCol w:w="1140"/>
        <w:gridCol w:w="1993"/>
        <w:gridCol w:w="4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2" w:hRule="atLeast"/>
          <w:tblHeader/>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bookmarkStart w:id="40" w:name="_Hlk39065304"/>
            <w:r>
              <w:rPr>
                <w:rFonts w:eastAsia="仿宋_GB2312" w:cs="Times New Roman"/>
                <w:b/>
                <w:bCs/>
                <w:color w:val="000000"/>
                <w:kern w:val="0"/>
                <w:sz w:val="18"/>
                <w:szCs w:val="18"/>
              </w:rPr>
              <w:t>时间</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发布部门</w:t>
            </w:r>
          </w:p>
        </w:tc>
        <w:tc>
          <w:tcPr>
            <w:tcW w:w="1189" w:type="pct"/>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措施</w:t>
            </w:r>
          </w:p>
        </w:tc>
        <w:tc>
          <w:tcPr>
            <w:tcW w:w="2558" w:type="pct"/>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要点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2014.7</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国务院</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国务院办公厅关于加快新能源汽车推广应用的指导意见国办发〔2014〕35 号</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鼓励社会资本进入充电设施建设领域，积极利用城市中现有的场地和设施，推进充电设施项目建设，完善充电设施布局。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2015.10</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国务院办公</w:t>
            </w:r>
          </w:p>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厅</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《关于加快电动汽车充电基础设施建设的指导意见》（国办发〔2015〕73 号）</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明确我国将以纯电驱动为新能源汽车发展的主要战略取向，力争到2020 年基本建成适度超前、车桩相随、智能高效的充电基础设施体系，满足超过500 万辆新能源汽车的充电需求。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2015.11</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发改、能源、工信、住建</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电动汽车充电基础设施发展指南（2015—2020 年）（发改能源〔2015〕1454 号）</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按照适度超前原则明确充电基础设施建设目标：到2020 年，新增集中式充换电站超过1.2万座， 分散式充电桩超过480 万个，以满足全国500 万辆新能源汽车充电需求。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2016.1</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财政部等四部委</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bookmarkStart w:id="41" w:name="_Hlk16690063"/>
            <w:r>
              <w:rPr>
                <w:rFonts w:eastAsia="仿宋_GB2312" w:cs="Times New Roman"/>
                <w:color w:val="000000"/>
                <w:kern w:val="0"/>
                <w:sz w:val="18"/>
                <w:szCs w:val="18"/>
              </w:rPr>
              <w:t>《十三五新能源汽车充电基础设施奖励政策》</w:t>
            </w:r>
            <w:bookmarkEnd w:id="41"/>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提出详细的各部门建立充电桩的政策补贴条件，建立信息上报和公示制度。各省（区、市）建立车辆推广和充电基础设施建设情况上报制度，按月报送新能源汽车推广、充电设施数量情况等信息。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2016.3</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国家能源局</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《2016年能源工作指导意见》</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按“桩站先行、适度超前”原则，2016年计划建设充电站2000多座、分散式公共充电桩10万个，私人专用充电桩86万个，充电设施总投资300亿元。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2016.8</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国家发改委、能源局等四部委</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《加快居民区电动汽车充电桩及配套设施建设的通知》</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分批在京津冀鲁、长三角、珠三角等地重点城市开展试点示范；充分调动各有关部门参与的积极性，加大对现有相关基础设施进行改造，解决当前居民区新能源汽车充电基础设施建设难题。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 xml:space="preserve">2016．11 </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国务院</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《“十三五”国家战略新兴产业发展规划》（国发[2016]67号）</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新能源汽车产业继续列为国家战略新兴产业，明确要求实现新能源汽车规模应用，提升新能源汽车和插电式混合动力汽车产业化水平。到2020年，实现当年产销200万辆以上，累计产销超过500万辆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5"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2016.12</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国家发改委、住建部等四部委</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《关于统筹加快推进停车场与充电基础设施一体化建设的通知》</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在具备各条件的城市整合各类停车资源，鼓励引导有实力的停车场管理企业及充电服务企业开展停车充电一体化项目建设运营，到2020年，居住区停车位、单位停车场、公交及出租车场站、公共建筑物停车场、社会公共停车场、纳入国家充电基础设施专项规划的高速公路服务区等配建的充电基础设施或预留建设安装条件的车位比例明显提升，有效满足新能源车充电基础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2017.1</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国家能源局、国资委、国管局</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关于加快单位内部电动汽车充电基础设施的通知（国能电力〔2017〕19号）</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发挥公共机构(包括各级国家机关、事业单位、团体组织)与国有企业示范带头作用，加快单位内部充电设施建设，为单位和职工推广使用新能源汽车创造有利环境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2018.12</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国家发展改革委</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关于印发《提升新能源汽车充电保障能力行动计划》的通知(发改能源〔2018〕1698号)</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以新能源汽车推广应用为出发点，以提升充电保障能力为行动目标，推动充电基础设施高质量发展，为新能源汽车发展提供坚实能源保障，为新能源汽车用户提供更高效便捷的充电服务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2019.3</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财政部、工信部、科技部、国家发改委</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《关于进一步完善新能源汽车推广应用财政补贴政策的通知》（财建〔2019〕138号）</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明确过渡期后不再对新能源汽车（新能源公交车和燃料电池汽车除外）给予购置补贴，转为用于支持充电（加氢）基础设施“短板”建设和配套运营服务等方面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2019.5</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交通运输部 中央宣传部 国家发展改革委等十二部门</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bookmarkStart w:id="42" w:name="_Hlk38447694"/>
            <w:r>
              <w:rPr>
                <w:rFonts w:eastAsia="仿宋_GB2312" w:cs="Times New Roman"/>
                <w:color w:val="000000"/>
                <w:kern w:val="0"/>
                <w:sz w:val="18"/>
                <w:szCs w:val="18"/>
              </w:rPr>
              <w:t>《关于印发绿色出行行动计划（2019—2022年）的通知》（交运发〔2019〕70号）</w:t>
            </w:r>
            <w:bookmarkEnd w:id="42"/>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加快充电基础设施建设，加快构建便利高效、适度超前的充电网络体系建设，重点推进城市公交枢纽、停车场、首末站充电设施设备的规划与建设。鼓励高速公路服务区配合相关部门推进充电服务设施建设。加大对充电基础设施的补贴力度，将新能源汽车购置补贴资金逐步转向充电基础设施建设及运营环节。推广落实各种形式的充电优惠政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2020.4</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国家发展改革委、科技部等11部门</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《关于稳定和扩大汽车消费若干措施的通知》（发改产业〔2020〕684号）</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新能源汽车购置补贴政策将延续至2022年底，并平缓2020-2022年补贴退坡力度和节奏，加快补贴资金清算速度。加快推动新能源汽车在城市公共交通等领域推广应用。将新能源汽车免征车辆购置税的优惠政策延续至2022年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2020.11</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bookmarkStart w:id="43" w:name="_Hlk97040117"/>
            <w:r>
              <w:rPr>
                <w:rFonts w:eastAsia="仿宋_GB2312" w:cs="Times New Roman"/>
                <w:color w:val="000000"/>
                <w:kern w:val="0"/>
                <w:sz w:val="18"/>
                <w:szCs w:val="18"/>
              </w:rPr>
              <w:t>国务院</w:t>
            </w:r>
            <w:bookmarkEnd w:id="43"/>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《关于印发新能源汽车产业发展规划（2021—2035年）的通知》（国办发〔2020〕39号）</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要以习近平新时代中国特色社会主义思想为指引，坚持新发展理念，以深化供给侧结构性改革为主线，坚持电动化、网联化、智能化发展方向，以融合创新为重点，</w:t>
            </w:r>
            <w:bookmarkStart w:id="44" w:name="_Hlk97040195"/>
            <w:r>
              <w:rPr>
                <w:rFonts w:eastAsia="仿宋_GB2312" w:cs="Times New Roman"/>
                <w:color w:val="000000"/>
                <w:kern w:val="0"/>
                <w:sz w:val="18"/>
                <w:szCs w:val="18"/>
              </w:rPr>
              <w:t>突破关键核心技术，优化产业发展环境，推动我国新能源汽车产业高质量可持续发展，加快建设汽车强国</w:t>
            </w:r>
            <w:bookmarkEnd w:id="4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2021.10</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国务院</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bookmarkStart w:id="45" w:name="_Hlk97041794"/>
            <w:r>
              <w:rPr>
                <w:rFonts w:eastAsia="仿宋_GB2312" w:cs="Times New Roman"/>
                <w:color w:val="000000"/>
                <w:kern w:val="0"/>
                <w:sz w:val="18"/>
                <w:szCs w:val="18"/>
              </w:rPr>
              <w:t>《关于印发2030年前碳达峰行动方案的通知》（国发〔2021〕23号）</w:t>
            </w:r>
            <w:bookmarkEnd w:id="45"/>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大力推广新能源汽车，逐步降低传统燃油汽车在新车产销和汽车保有量中的占比。到2030年，当年新增新能源、清洁能源动力的交通工具比例达到40%左右。有序推进充电桩、配套电网、加注(气)站、加氢站等基础设施建设，提升城市公共交通基础设施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2022.1</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国家发展改革委等10部门</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《关于进一步提升电动汽车充电基础设施服务保障能力的实施意见》（发改能源规〔2022〕53号）</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到“十四五”末，我国新能源汽车充电保障能力进一步提升，形成适度超前、布局均衡、智能高效的充电基础设施体系，能够满足超过2000万辆电动汽车充电需求。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1" w:hRule="atLeast"/>
          <w:jc w:val="center"/>
        </w:trPr>
        <w:tc>
          <w:tcPr>
            <w:tcW w:w="57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2022.8</w:t>
            </w:r>
          </w:p>
        </w:tc>
        <w:tc>
          <w:tcPr>
            <w:tcW w:w="680"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交通运输部、国家能源局、国网公司、南网公司</w:t>
            </w:r>
          </w:p>
        </w:tc>
        <w:tc>
          <w:tcPr>
            <w:tcW w:w="1189"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《加快推进公路沿线充电基础设施建设行动方案》（交公路发〔2022〕80号）</w:t>
            </w:r>
          </w:p>
        </w:tc>
        <w:tc>
          <w:tcPr>
            <w:tcW w:w="2558" w:type="pct"/>
            <w:shd w:val="clear" w:color="auto" w:fill="auto"/>
            <w:vAlign w:val="center"/>
          </w:tcPr>
          <w:p>
            <w:pPr>
              <w:widowControl/>
              <w:adjustRightInd w:val="0"/>
              <w:snapToGrid w:val="0"/>
              <w:spacing w:line="240" w:lineRule="auto"/>
              <w:ind w:firstLine="0" w:firstLineChars="0"/>
              <w:rPr>
                <w:rFonts w:eastAsia="仿宋_GB2312" w:cs="Times New Roman"/>
                <w:color w:val="000000"/>
                <w:kern w:val="0"/>
                <w:sz w:val="18"/>
                <w:szCs w:val="18"/>
              </w:rPr>
            </w:pPr>
            <w:r>
              <w:rPr>
                <w:rFonts w:eastAsia="仿宋_GB2312" w:cs="Times New Roman"/>
                <w:color w:val="000000"/>
                <w:kern w:val="0"/>
                <w:sz w:val="18"/>
                <w:szCs w:val="18"/>
              </w:rPr>
              <w:t>2025年，高速公路和普通国省干线公路服务区（站）充电基础设施进一步加密优化，农村公路沿线有效覆盖，基本形成“固定设施为主体，移动设施为补充，重要节点全覆盖，运行维护服务好，群众出行有保障”的公路沿线充电设施网络。</w:t>
            </w:r>
          </w:p>
        </w:tc>
      </w:tr>
      <w:bookmarkEnd w:id="37"/>
      <w:bookmarkEnd w:id="40"/>
    </w:tbl>
    <w:p>
      <w:pPr>
        <w:pStyle w:val="4"/>
        <w:spacing w:before="156" w:after="156"/>
        <w:rPr>
          <w:rFonts w:eastAsia="仿宋_GB2312"/>
        </w:rPr>
      </w:pPr>
      <w:bookmarkStart w:id="46" w:name="_Toc117243178"/>
      <w:r>
        <w:rPr>
          <w:rFonts w:eastAsia="仿宋_GB2312"/>
        </w:rPr>
        <w:t>湖北政策</w:t>
      </w:r>
      <w:bookmarkEnd w:id="46"/>
    </w:p>
    <w:p>
      <w:pPr>
        <w:adjustRightInd w:val="0"/>
        <w:snapToGrid w:val="0"/>
        <w:ind w:firstLine="560"/>
        <w:rPr>
          <w:rFonts w:eastAsia="仿宋_GB2312" w:cs="Times New Roman"/>
        </w:rPr>
      </w:pPr>
      <w:r>
        <w:rPr>
          <w:rFonts w:eastAsia="仿宋_GB2312" w:cs="Times New Roman"/>
        </w:rPr>
        <w:t>在深入贯彻落实国家发展新能源汽车产业举措的基础上，湖北省政府相继出台了一系列相关政策，为进一步支持和规范我省新能源汽车发展</w:t>
      </w:r>
      <w:r>
        <w:rPr>
          <w:rFonts w:hint="eastAsia" w:eastAsia="仿宋_GB2312" w:cs="Times New Roman"/>
        </w:rPr>
        <w:t>，</w:t>
      </w:r>
      <w:r>
        <w:rPr>
          <w:rFonts w:eastAsia="仿宋_GB2312" w:cs="Times New Roman"/>
        </w:rPr>
        <w:t>保障充电设施安全高效使用，促进新能源汽车推广应用提供了良好的政策环境。</w:t>
      </w:r>
    </w:p>
    <w:p>
      <w:pPr>
        <w:adjustRightInd w:val="0"/>
        <w:snapToGrid w:val="0"/>
        <w:ind w:firstLine="560"/>
        <w:rPr>
          <w:rFonts w:eastAsia="仿宋_GB2312" w:cs="Times New Roman"/>
        </w:rPr>
      </w:pPr>
      <w:r>
        <w:rPr>
          <w:rFonts w:eastAsia="仿宋_GB2312" w:cs="Times New Roman"/>
        </w:rPr>
        <w:t>2015年4月，省人民政府办公厅印发了《湖北省人民政府办公厅关于加快新能源汽车推广应用的实施意见》(鄂政办发[2015]24号)</w:t>
      </w:r>
      <w:r>
        <w:rPr>
          <w:rFonts w:hint="eastAsia" w:eastAsia="仿宋_GB2312" w:cs="Times New Roman"/>
        </w:rPr>
        <w:t>，</w:t>
      </w:r>
      <w:r>
        <w:rPr>
          <w:rFonts w:eastAsia="仿宋_GB2312" w:cs="Times New Roman"/>
        </w:rPr>
        <w:t>对武汉市、襄阳市消费者购买符合要求的纯电动汽车、插电式(含增程式)混合动力汽车、燃料电池汽车给予补贴，消费者按销售价格扣减补贴后支付，</w:t>
      </w:r>
      <w:r>
        <w:rPr>
          <w:rFonts w:eastAsia="仿宋_GB2312" w:cs="Times New Roman"/>
          <w:bCs/>
        </w:rPr>
        <w:t>武汉市、襄阳市以外的地区可自行制定新能源汽车补助范围及标准</w:t>
      </w:r>
      <w:r>
        <w:rPr>
          <w:rFonts w:eastAsia="仿宋_GB2312" w:cs="Times New Roman"/>
        </w:rPr>
        <w:t>。</w:t>
      </w:r>
    </w:p>
    <w:p>
      <w:pPr>
        <w:adjustRightInd w:val="0"/>
        <w:snapToGrid w:val="0"/>
        <w:ind w:firstLine="560"/>
        <w:rPr>
          <w:rFonts w:eastAsia="仿宋_GB2312" w:cs="Times New Roman"/>
        </w:rPr>
      </w:pPr>
      <w:r>
        <w:rPr>
          <w:rFonts w:eastAsia="仿宋_GB2312" w:cs="Times New Roman"/>
        </w:rPr>
        <w:t>2021年5月，省能源局印发《湖北省新能源汽车充电设施建设运营管理暂行办法》(鄂能源建设[2021]28号)，鼓励既有居民固定停车位按需改造安装充电设施、公共停车位按照一定比例改造安装充电设施；公共机构、在汉省属企业的内部停车场按照不低于停车位总数量10%的比例改造安装、建设配备充电设施或预留安装条件，鼓励其他社会企业参照以上标准开展内部停车场充电设施建设改造；公交、环卫、通勤、出租、物流、警务等专用停车站场按需建设配备充换电设施。</w:t>
      </w:r>
    </w:p>
    <w:p>
      <w:pPr>
        <w:adjustRightInd w:val="0"/>
        <w:snapToGrid w:val="0"/>
        <w:ind w:firstLine="560"/>
        <w:rPr>
          <w:rFonts w:eastAsia="仿宋_GB2312" w:cs="Times New Roman"/>
        </w:rPr>
      </w:pPr>
      <w:r>
        <w:rPr>
          <w:rFonts w:eastAsia="仿宋_GB2312" w:cs="Times New Roman"/>
        </w:rPr>
        <w:t>2021年8月，省人民政府办公厅印发《关于提振重点消费促进消费增长的若干措施》（鄂政办发[2021]39号），鼓励汽车消费升级。开展“焕新出发，一路向前”乘用车以旧换新活动，报废旧车购买新能源汽车的在使用环节补贴资金5000元/辆；转出旧车购买新能源汽车的在使用环节补贴资金3000元/辆；对消费者（含经营性单位）购买新能源汽车，执行国家现有推广补贴及免征车辆购置税政策。鼓励全省各级党政机关优先购买获得环境标志产品认证证书的新能源汽车作为公务用车。</w:t>
      </w:r>
    </w:p>
    <w:p>
      <w:pPr>
        <w:pStyle w:val="4"/>
        <w:spacing w:before="156"/>
        <w:rPr>
          <w:rFonts w:eastAsia="仿宋_GB2312"/>
        </w:rPr>
      </w:pPr>
      <w:bookmarkStart w:id="47" w:name="_Toc117243179"/>
      <w:r>
        <w:rPr>
          <w:rFonts w:eastAsia="仿宋_GB2312"/>
        </w:rPr>
        <w:t>咸宁政策</w:t>
      </w:r>
      <w:bookmarkEnd w:id="47"/>
    </w:p>
    <w:p>
      <w:pPr>
        <w:pStyle w:val="173"/>
        <w:ind w:firstLine="560"/>
        <w:rPr>
          <w:rFonts w:ascii="Times New Roman" w:hAnsi="Times New Roman" w:cs="Times New Roman"/>
        </w:rPr>
      </w:pPr>
      <w:bookmarkStart w:id="48" w:name="_Hlk99444745"/>
      <w:r>
        <w:rPr>
          <w:rFonts w:ascii="Times New Roman" w:hAnsi="Times New Roman" w:cs="Times New Roman"/>
        </w:rPr>
        <w:t>2021年10月，市人民政府印发《咸宁市推动多式联运高质量发展三年攻坚行动方案（2021—2023年）》，提出</w:t>
      </w:r>
      <w:r>
        <w:rPr>
          <w:rFonts w:ascii="Times New Roman" w:hAnsi="Times New Roman" w:cs="Times New Roman"/>
          <w:b/>
          <w:bCs/>
        </w:rPr>
        <w:t>强化新能源汽车推广应用政策措施</w:t>
      </w:r>
      <w:r>
        <w:rPr>
          <w:rFonts w:ascii="Times New Roman" w:hAnsi="Times New Roman" w:cs="Times New Roman"/>
        </w:rPr>
        <w:t>，完善加气、充换电等配套设施，推广使用新能源动力、混合动力、天然气动力车船和转运换装设备的需要，提升新能源汽车信息装备配套水平。</w:t>
      </w:r>
    </w:p>
    <w:p>
      <w:pPr>
        <w:adjustRightInd w:val="0"/>
        <w:snapToGrid w:val="0"/>
        <w:ind w:firstLine="560"/>
        <w:rPr>
          <w:rFonts w:eastAsia="仿宋_GB2312" w:cs="Times New Roman"/>
        </w:rPr>
      </w:pPr>
      <w:r>
        <w:rPr>
          <w:rFonts w:hint="eastAsia" w:eastAsia="仿宋_GB2312" w:cs="Times New Roman"/>
        </w:rPr>
        <w:t>2022年</w:t>
      </w:r>
      <w:r>
        <w:rPr>
          <w:rFonts w:eastAsia="仿宋_GB2312" w:cs="Times New Roman"/>
        </w:rPr>
        <w:t>《咸宁市综合交通运输“十四五”规划》提出</w:t>
      </w:r>
      <w:r>
        <w:rPr>
          <w:rFonts w:eastAsia="仿宋_GB2312" w:cs="Times New Roman"/>
          <w:b/>
          <w:bCs/>
        </w:rPr>
        <w:t>大力推进绿色公交建设</w:t>
      </w:r>
      <w:r>
        <w:rPr>
          <w:rFonts w:eastAsia="仿宋_GB2312" w:cs="Times New Roman"/>
        </w:rPr>
        <w:t>：加大新能源公交车更新力度，提高城市公共交通绿色出行比例。在各县（区、市）配套建设具有充电站、停车场、调度室、休息室等综合功能的公交首末站、枢纽站；</w:t>
      </w:r>
      <w:r>
        <w:rPr>
          <w:rFonts w:eastAsia="仿宋_GB2312" w:cs="Times New Roman"/>
          <w:b/>
          <w:bCs/>
        </w:rPr>
        <w:t>推广应用新能源和清洁能源车船，逐步优化用能结构</w:t>
      </w:r>
      <w:r>
        <w:rPr>
          <w:rFonts w:eastAsia="仿宋_GB2312" w:cs="Times New Roman"/>
        </w:rPr>
        <w:t>：积极在公共汽车、出租汽车、公务车等领域优先开展新能源和清洁能源车辆的试点应用，逐步提高城市客运纯电动车辆、LNG车辆、混合动力车辆的比重，大力推动加气站、充电桩等配套设施的规划与建设。</w:t>
      </w:r>
    </w:p>
    <w:p>
      <w:pPr>
        <w:adjustRightInd w:val="0"/>
        <w:snapToGrid w:val="0"/>
        <w:ind w:firstLine="560"/>
        <w:rPr>
          <w:rFonts w:eastAsia="仿宋_GB2312" w:cs="Times New Roman"/>
        </w:rPr>
      </w:pPr>
      <w:r>
        <w:rPr>
          <w:rFonts w:hint="eastAsia" w:eastAsia="仿宋_GB2312" w:cs="Times New Roman"/>
        </w:rPr>
        <w:t>2021年</w:t>
      </w:r>
      <w:r>
        <w:rPr>
          <w:rFonts w:eastAsia="仿宋_GB2312" w:cs="Times New Roman"/>
        </w:rPr>
        <w:t>《咸宁市国民经济和社会发展第十四个五年规划和2035年远景目标纲要》指出，要</w:t>
      </w:r>
      <w:r>
        <w:rPr>
          <w:rFonts w:eastAsia="仿宋_GB2312" w:cs="Times New Roman"/>
          <w:b/>
          <w:bCs/>
        </w:rPr>
        <w:t>落实能源安全战略，加强骨干电力基础设施建设</w:t>
      </w:r>
      <w:r>
        <w:rPr>
          <w:rFonts w:eastAsia="仿宋_GB2312" w:cs="Times New Roman"/>
        </w:rPr>
        <w:t>。鼓励新能源开发利用，加快新能源充/换电站建设，同步开展协调布局市区新能源充电桩网络。</w:t>
      </w:r>
    </w:p>
    <w:bookmarkEnd w:id="48"/>
    <w:p>
      <w:pPr>
        <w:pStyle w:val="3"/>
        <w:adjustRightInd w:val="0"/>
        <w:rPr>
          <w:rFonts w:eastAsia="仿宋_GB2312" w:cs="Times New Roman"/>
        </w:rPr>
      </w:pPr>
      <w:bookmarkStart w:id="49" w:name="_Toc61257692"/>
      <w:bookmarkStart w:id="50" w:name="_Toc117243180"/>
      <w:bookmarkStart w:id="51" w:name="_Toc24124930"/>
      <w:bookmarkStart w:id="52" w:name="_Toc24124931"/>
      <w:r>
        <w:rPr>
          <w:rFonts w:eastAsia="仿宋_GB2312" w:cs="Times New Roman"/>
        </w:rPr>
        <w:t>新能源汽车及充电设施现状</w:t>
      </w:r>
      <w:bookmarkEnd w:id="49"/>
      <w:bookmarkEnd w:id="50"/>
      <w:bookmarkEnd w:id="51"/>
    </w:p>
    <w:p>
      <w:pPr>
        <w:pStyle w:val="4"/>
        <w:spacing w:before="156" w:after="156"/>
        <w:rPr>
          <w:rFonts w:eastAsia="仿宋_GB2312"/>
        </w:rPr>
      </w:pPr>
      <w:bookmarkStart w:id="53" w:name="_Toc117243181"/>
      <w:r>
        <w:rPr>
          <w:rFonts w:eastAsia="仿宋_GB2312"/>
        </w:rPr>
        <w:t>国内发展现状</w:t>
      </w:r>
      <w:bookmarkEnd w:id="53"/>
    </w:p>
    <w:p>
      <w:pPr>
        <w:pStyle w:val="106"/>
        <w:numPr>
          <w:ilvl w:val="0"/>
          <w:numId w:val="12"/>
        </w:numPr>
        <w:adjustRightInd w:val="0"/>
        <w:snapToGrid w:val="0"/>
        <w:ind w:left="0" w:firstLine="560" w:firstLineChars="0"/>
        <w:rPr>
          <w:rFonts w:eastAsia="仿宋_GB2312" w:cs="Times New Roman"/>
          <w:b/>
          <w:bCs/>
        </w:rPr>
      </w:pPr>
      <w:r>
        <w:rPr>
          <w:rFonts w:eastAsia="仿宋_GB2312" w:cs="Times New Roman"/>
          <w:b/>
          <w:bCs/>
        </w:rPr>
        <w:t>新能源汽车产业发展</w:t>
      </w:r>
      <w:r>
        <w:rPr>
          <w:rFonts w:hint="eastAsia" w:eastAsia="仿宋_GB2312" w:cs="Times New Roman"/>
          <w:b/>
          <w:bCs/>
        </w:rPr>
        <w:t>现状</w:t>
      </w:r>
    </w:p>
    <w:p>
      <w:pPr>
        <w:adjustRightInd w:val="0"/>
        <w:snapToGrid w:val="0"/>
        <w:ind w:firstLine="560"/>
        <w:rPr>
          <w:rFonts w:eastAsia="仿宋_GB2312" w:cs="Times New Roman"/>
        </w:rPr>
      </w:pPr>
      <w:r>
        <w:rPr>
          <w:rFonts w:eastAsia="仿宋_GB2312" w:cs="Times New Roman"/>
        </w:rPr>
        <w:t>商务部2022年1月21日发布数据，2021年，我国新能源汽车销量达352.1万辆，</w:t>
      </w:r>
      <w:r>
        <w:rPr>
          <w:rFonts w:hint="eastAsia" w:eastAsia="仿宋_GB2312" w:cs="Times New Roman"/>
        </w:rPr>
        <w:t>与上一年对比，</w:t>
      </w:r>
      <w:r>
        <w:rPr>
          <w:rFonts w:eastAsia="仿宋_GB2312" w:cs="Times New Roman"/>
        </w:rPr>
        <w:t>同比增长1.6倍，占新车销售比例跃升至13.4%。全国新能源汽车保有量达784万辆，占汽车总量的2.60%，占全球新能源汽车保有量的一半左右，其中，纯电动汽车保有量640万辆，占</w:t>
      </w:r>
      <w:r>
        <w:rPr>
          <w:rFonts w:hint="eastAsia" w:eastAsia="仿宋_GB2312" w:cs="Times New Roman"/>
        </w:rPr>
        <w:t>全国</w:t>
      </w:r>
      <w:r>
        <w:rPr>
          <w:rFonts w:eastAsia="仿宋_GB2312" w:cs="Times New Roman"/>
        </w:rPr>
        <w:t>新能源</w:t>
      </w:r>
      <w:r>
        <w:rPr>
          <w:rStyle w:val="170"/>
          <w:rFonts w:ascii="Times New Roman" w:hAnsi="Times New Roman" w:eastAsia="仿宋_GB2312"/>
          <w:sz w:val="28"/>
          <w:szCs w:val="28"/>
        </w:rPr>
        <w:t>汽车总量的81.63%</w:t>
      </w:r>
      <w:r>
        <w:rPr>
          <w:rFonts w:eastAsia="仿宋_GB2312" w:cs="Times New Roman"/>
        </w:rPr>
        <w:t>。</w:t>
      </w:r>
    </w:p>
    <w:p>
      <w:pPr>
        <w:adjustRightInd w:val="0"/>
        <w:snapToGrid w:val="0"/>
        <w:ind w:firstLine="560"/>
        <w:rPr>
          <w:rFonts w:eastAsia="仿宋_GB2312" w:cs="Times New Roman"/>
          <w:bCs/>
        </w:rPr>
      </w:pPr>
      <w:r>
        <w:rPr>
          <w:rFonts w:eastAsia="仿宋_GB2312" w:cs="Times New Roman"/>
          <w:bCs/>
        </w:rPr>
        <w:t>根据公安交管局统计，我国2016到2021汽车保有量与新能源汽车保有量如</w:t>
      </w:r>
      <w:r>
        <w:rPr>
          <w:rFonts w:eastAsia="仿宋_GB2312" w:cs="Times New Roman"/>
          <w:bCs/>
        </w:rPr>
        <w:fldChar w:fldCharType="begin"/>
      </w:r>
      <w:r>
        <w:rPr>
          <w:rFonts w:eastAsia="仿宋_GB2312" w:cs="Times New Roman"/>
          <w:bCs/>
        </w:rPr>
        <w:instrText xml:space="preserve"> REF _Ref20384298 \h  \* MERGEFORMAT </w:instrText>
      </w:r>
      <w:r>
        <w:rPr>
          <w:rFonts w:eastAsia="仿宋_GB2312" w:cs="Times New Roman"/>
          <w:bCs/>
        </w:rPr>
        <w:fldChar w:fldCharType="separate"/>
      </w:r>
      <w:r>
        <w:rPr>
          <w:rFonts w:eastAsia="仿宋_GB2312" w:cs="Times New Roman"/>
          <w:bCs/>
        </w:rPr>
        <w:t>表</w:t>
      </w:r>
      <w:r>
        <w:rPr>
          <w:rFonts w:eastAsia="仿宋_GB2312" w:cs="Times New Roman"/>
        </w:rPr>
        <w:t xml:space="preserve"> 2</w:t>
      </w:r>
      <w:r>
        <w:rPr>
          <w:rFonts w:eastAsia="仿宋_GB2312" w:cs="Times New Roman"/>
        </w:rPr>
        <w:noBreakHyphen/>
      </w:r>
      <w:r>
        <w:rPr>
          <w:rFonts w:eastAsia="仿宋_GB2312" w:cs="Times New Roman"/>
        </w:rPr>
        <w:t>3</w:t>
      </w:r>
      <w:r>
        <w:rPr>
          <w:rFonts w:eastAsia="仿宋_GB2312" w:cs="Times New Roman"/>
          <w:bCs/>
        </w:rPr>
        <w:fldChar w:fldCharType="end"/>
      </w:r>
      <w:r>
        <w:rPr>
          <w:rFonts w:eastAsia="仿宋_GB2312" w:cs="Times New Roman"/>
          <w:bCs/>
        </w:rPr>
        <w:t>所示。</w:t>
      </w:r>
    </w:p>
    <w:p>
      <w:pPr>
        <w:pStyle w:val="19"/>
        <w:adjustRightInd w:val="0"/>
        <w:snapToGrid w:val="0"/>
        <w:rPr>
          <w:rFonts w:eastAsia="仿宋_GB2312" w:cs="Times New Roman"/>
        </w:rPr>
      </w:pPr>
      <w:bookmarkStart w:id="54" w:name="_Ref20384298"/>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w:t>
      </w:r>
      <w:r>
        <w:rPr>
          <w:rFonts w:eastAsia="仿宋_GB2312" w:cs="Times New Roman"/>
        </w:rPr>
        <w:fldChar w:fldCharType="end"/>
      </w:r>
      <w:bookmarkEnd w:id="54"/>
      <w:r>
        <w:rPr>
          <w:rFonts w:eastAsia="仿宋_GB2312" w:cs="Times New Roman"/>
        </w:rPr>
        <w:t xml:space="preserve"> 全国2016年-2021年汽车与新能源汽车保有量</w:t>
      </w:r>
    </w:p>
    <w:p>
      <w:pPr>
        <w:pStyle w:val="19"/>
        <w:adjustRightInd w:val="0"/>
        <w:snapToGrid w:val="0"/>
        <w:jc w:val="right"/>
        <w:rPr>
          <w:rFonts w:eastAsia="仿宋_GB2312" w:cs="Times New Roman"/>
        </w:rPr>
      </w:pPr>
      <w:r>
        <w:rPr>
          <w:rFonts w:eastAsia="仿宋_GB2312" w:cs="Times New Roman"/>
        </w:rPr>
        <w:t xml:space="preserve">                                                                                                                                              单位：辆</w:t>
      </w:r>
    </w:p>
    <w:tbl>
      <w:tblPr>
        <w:tblStyle w:val="76"/>
        <w:tblW w:w="5014" w:type="pct"/>
        <w:tblInd w:w="0" w:type="dxa"/>
        <w:tblLayout w:type="autofit"/>
        <w:tblCellMar>
          <w:top w:w="0" w:type="dxa"/>
          <w:left w:w="0" w:type="dxa"/>
          <w:bottom w:w="0" w:type="dxa"/>
          <w:right w:w="0" w:type="dxa"/>
        </w:tblCellMar>
      </w:tblPr>
      <w:tblGrid>
        <w:gridCol w:w="1698"/>
        <w:gridCol w:w="1107"/>
        <w:gridCol w:w="1107"/>
        <w:gridCol w:w="1107"/>
        <w:gridCol w:w="1107"/>
        <w:gridCol w:w="1108"/>
        <w:gridCol w:w="1105"/>
      </w:tblGrid>
      <w:tr>
        <w:tblPrEx>
          <w:tblCellMar>
            <w:top w:w="0" w:type="dxa"/>
            <w:left w:w="0" w:type="dxa"/>
            <w:bottom w:w="0" w:type="dxa"/>
            <w:right w:w="0" w:type="dxa"/>
          </w:tblCellMar>
        </w:tblPrEx>
        <w:trPr>
          <w:trHeight w:val="31" w:hRule="atLeast"/>
          <w:tblHeader/>
        </w:trPr>
        <w:tc>
          <w:tcPr>
            <w:tcW w:w="10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年份</w:t>
            </w:r>
          </w:p>
        </w:tc>
        <w:tc>
          <w:tcPr>
            <w:tcW w:w="664"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333333"/>
                <w:kern w:val="0"/>
                <w:sz w:val="21"/>
              </w:rPr>
            </w:pPr>
            <w:r>
              <w:rPr>
                <w:rFonts w:eastAsia="仿宋_GB2312" w:cs="Times New Roman"/>
                <w:b/>
                <w:bCs/>
                <w:color w:val="333333"/>
                <w:kern w:val="0"/>
                <w:sz w:val="21"/>
              </w:rPr>
              <w:t>2016</w:t>
            </w:r>
          </w:p>
        </w:tc>
        <w:tc>
          <w:tcPr>
            <w:tcW w:w="664"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2017</w:t>
            </w:r>
          </w:p>
        </w:tc>
        <w:tc>
          <w:tcPr>
            <w:tcW w:w="664"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2018</w:t>
            </w:r>
          </w:p>
        </w:tc>
        <w:tc>
          <w:tcPr>
            <w:tcW w:w="664"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 xml:space="preserve">2019 </w:t>
            </w:r>
          </w:p>
        </w:tc>
        <w:tc>
          <w:tcPr>
            <w:tcW w:w="664"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2020</w:t>
            </w:r>
          </w:p>
        </w:tc>
        <w:tc>
          <w:tcPr>
            <w:tcW w:w="662"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2021</w:t>
            </w:r>
          </w:p>
        </w:tc>
      </w:tr>
      <w:tr>
        <w:trPr>
          <w:trHeight w:val="31" w:hRule="atLeast"/>
        </w:trPr>
        <w:tc>
          <w:tcPr>
            <w:tcW w:w="1018"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汽车保有量</w:t>
            </w:r>
          </w:p>
        </w:tc>
        <w:tc>
          <w:tcPr>
            <w:tcW w:w="66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1.94亿</w:t>
            </w:r>
          </w:p>
        </w:tc>
        <w:tc>
          <w:tcPr>
            <w:tcW w:w="66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2.17亿</w:t>
            </w:r>
          </w:p>
        </w:tc>
        <w:tc>
          <w:tcPr>
            <w:tcW w:w="66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2.4亿</w:t>
            </w:r>
          </w:p>
        </w:tc>
        <w:tc>
          <w:tcPr>
            <w:tcW w:w="66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2.61亿</w:t>
            </w:r>
          </w:p>
        </w:tc>
        <w:tc>
          <w:tcPr>
            <w:tcW w:w="664" w:type="pct"/>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2.81亿</w:t>
            </w:r>
          </w:p>
        </w:tc>
        <w:tc>
          <w:tcPr>
            <w:tcW w:w="662" w:type="pct"/>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3.02亿</w:t>
            </w:r>
          </w:p>
        </w:tc>
      </w:tr>
      <w:tr>
        <w:tblPrEx>
          <w:tblCellMar>
            <w:top w:w="0" w:type="dxa"/>
            <w:left w:w="0" w:type="dxa"/>
            <w:bottom w:w="0" w:type="dxa"/>
            <w:right w:w="0" w:type="dxa"/>
          </w:tblCellMar>
        </w:tblPrEx>
        <w:trPr>
          <w:trHeight w:val="31" w:hRule="atLeast"/>
        </w:trPr>
        <w:tc>
          <w:tcPr>
            <w:tcW w:w="1018"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新能源汽车保有量</w:t>
            </w:r>
          </w:p>
        </w:tc>
        <w:tc>
          <w:tcPr>
            <w:tcW w:w="66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91万</w:t>
            </w:r>
          </w:p>
        </w:tc>
        <w:tc>
          <w:tcPr>
            <w:tcW w:w="66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153万</w:t>
            </w:r>
          </w:p>
        </w:tc>
        <w:tc>
          <w:tcPr>
            <w:tcW w:w="66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261万</w:t>
            </w:r>
          </w:p>
        </w:tc>
        <w:tc>
          <w:tcPr>
            <w:tcW w:w="66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381万</w:t>
            </w:r>
          </w:p>
        </w:tc>
        <w:tc>
          <w:tcPr>
            <w:tcW w:w="664" w:type="pct"/>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492万</w:t>
            </w:r>
          </w:p>
        </w:tc>
        <w:tc>
          <w:tcPr>
            <w:tcW w:w="662" w:type="pct"/>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784万</w:t>
            </w:r>
          </w:p>
        </w:tc>
      </w:tr>
      <w:tr>
        <w:trPr>
          <w:trHeight w:val="31" w:hRule="atLeast"/>
        </w:trPr>
        <w:tc>
          <w:tcPr>
            <w:tcW w:w="1018"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纯电动汽车保有量</w:t>
            </w:r>
          </w:p>
        </w:tc>
        <w:tc>
          <w:tcPr>
            <w:tcW w:w="66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73万</w:t>
            </w:r>
          </w:p>
        </w:tc>
        <w:tc>
          <w:tcPr>
            <w:tcW w:w="66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125万</w:t>
            </w:r>
          </w:p>
        </w:tc>
        <w:tc>
          <w:tcPr>
            <w:tcW w:w="66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211万</w:t>
            </w:r>
          </w:p>
        </w:tc>
        <w:tc>
          <w:tcPr>
            <w:tcW w:w="66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310万</w:t>
            </w:r>
          </w:p>
        </w:tc>
        <w:tc>
          <w:tcPr>
            <w:tcW w:w="664" w:type="pct"/>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400万</w:t>
            </w:r>
          </w:p>
        </w:tc>
        <w:tc>
          <w:tcPr>
            <w:tcW w:w="662" w:type="pct"/>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640万</w:t>
            </w:r>
          </w:p>
        </w:tc>
      </w:tr>
    </w:tbl>
    <w:p>
      <w:pPr>
        <w:pStyle w:val="106"/>
        <w:numPr>
          <w:ilvl w:val="0"/>
          <w:numId w:val="12"/>
        </w:numPr>
        <w:adjustRightInd w:val="0"/>
        <w:snapToGrid w:val="0"/>
        <w:spacing w:before="156" w:beforeLines="50"/>
        <w:ind w:left="0" w:firstLine="567" w:firstLineChars="0"/>
        <w:rPr>
          <w:rFonts w:eastAsia="仿宋_GB2312" w:cs="Times New Roman"/>
          <w:b/>
          <w:bCs/>
        </w:rPr>
      </w:pPr>
      <w:r>
        <w:rPr>
          <w:rFonts w:eastAsia="仿宋_GB2312" w:cs="Times New Roman"/>
          <w:b/>
          <w:bCs/>
        </w:rPr>
        <w:t>充电基础设施发展现状</w:t>
      </w:r>
    </w:p>
    <w:p>
      <w:pPr>
        <w:adjustRightInd w:val="0"/>
        <w:snapToGrid w:val="0"/>
        <w:ind w:firstLine="560"/>
        <w:rPr>
          <w:rFonts w:eastAsia="仿宋_GB2312" w:cs="Times New Roman"/>
          <w:bCs/>
        </w:rPr>
      </w:pPr>
      <w:r>
        <w:rPr>
          <w:rFonts w:eastAsia="仿宋_GB2312" w:cs="Times New Roman"/>
          <w:bCs/>
        </w:rPr>
        <w:t>截至2021年底，</w:t>
      </w:r>
      <w:r>
        <w:rPr>
          <w:rFonts w:hint="eastAsia" w:eastAsia="仿宋_GB2312" w:cs="Times New Roman"/>
          <w:bCs/>
        </w:rPr>
        <w:t>我国</w:t>
      </w:r>
      <w:r>
        <w:rPr>
          <w:rFonts w:eastAsia="仿宋_GB2312" w:cs="Times New Roman"/>
          <w:bCs/>
        </w:rPr>
        <w:t>建成各类充电桩261.7万个，其中公共桩114.7万个、私人桩147万个，数量居全球第一。</w:t>
      </w:r>
    </w:p>
    <w:p>
      <w:pPr>
        <w:adjustRightInd w:val="0"/>
        <w:snapToGrid w:val="0"/>
        <w:ind w:firstLine="560"/>
        <w:rPr>
          <w:rFonts w:eastAsia="仿宋_GB2312" w:cs="Times New Roman"/>
          <w:bCs/>
        </w:rPr>
      </w:pPr>
      <w:bookmarkStart w:id="55" w:name="OLE_LINK5"/>
      <w:r>
        <w:rPr>
          <w:rFonts w:eastAsia="仿宋_GB2312" w:cs="Times New Roman"/>
          <w:bCs/>
        </w:rPr>
        <w:t>2015年至2021年，我国充电设施发展尤为迅猛，充电桩保有量从6.6万个大幅跃升到261.7万个，增长约40倍。其中，公共充电桩保有量从约5.8万</w:t>
      </w:r>
      <w:r>
        <w:rPr>
          <w:rFonts w:hint="eastAsia" w:eastAsia="仿宋_GB2312" w:cs="Times New Roman"/>
          <w:bCs/>
        </w:rPr>
        <w:t>个</w:t>
      </w:r>
      <w:r>
        <w:rPr>
          <w:rFonts w:eastAsia="仿宋_GB2312" w:cs="Times New Roman"/>
          <w:bCs/>
        </w:rPr>
        <w:t>增至114.7万个，增长了近19倍</w:t>
      </w:r>
      <w:bookmarkEnd w:id="55"/>
      <w:r>
        <w:rPr>
          <w:rFonts w:eastAsia="仿宋_GB2312" w:cs="Times New Roman"/>
          <w:bCs/>
        </w:rPr>
        <w:t>。2015-2021年全国充电设施建设规模图如</w:t>
      </w:r>
      <w:r>
        <w:rPr>
          <w:rFonts w:eastAsia="仿宋_GB2312" w:cs="Times New Roman"/>
          <w:bCs/>
        </w:rPr>
        <w:fldChar w:fldCharType="begin"/>
      </w:r>
      <w:r>
        <w:rPr>
          <w:rFonts w:eastAsia="仿宋_GB2312" w:cs="Times New Roman"/>
          <w:bCs/>
        </w:rPr>
        <w:instrText xml:space="preserve"> REF _Ref54256844 \h  \* MERGEFORMAT </w:instrText>
      </w:r>
      <w:r>
        <w:rPr>
          <w:rFonts w:eastAsia="仿宋_GB2312" w:cs="Times New Roman"/>
          <w:bCs/>
        </w:rPr>
        <w:fldChar w:fldCharType="separate"/>
      </w:r>
      <w:r>
        <w:rPr>
          <w:rFonts w:eastAsia="仿宋_GB2312" w:cs="Times New Roman"/>
        </w:rPr>
        <w:t>图 2</w:t>
      </w:r>
      <w:r>
        <w:rPr>
          <w:rFonts w:eastAsia="仿宋_GB2312" w:cs="Times New Roman"/>
        </w:rPr>
        <w:noBreakHyphen/>
      </w:r>
      <w:r>
        <w:rPr>
          <w:rFonts w:eastAsia="仿宋_GB2312" w:cs="Times New Roman"/>
        </w:rPr>
        <w:t>2</w:t>
      </w:r>
      <w:r>
        <w:rPr>
          <w:rFonts w:eastAsia="仿宋_GB2312" w:cs="Times New Roman"/>
          <w:bCs/>
        </w:rPr>
        <w:fldChar w:fldCharType="end"/>
      </w:r>
      <w:r>
        <w:rPr>
          <w:rFonts w:eastAsia="仿宋_GB2312" w:cs="Times New Roman"/>
          <w:bCs/>
        </w:rPr>
        <w:t>所示。</w:t>
      </w:r>
    </w:p>
    <w:p>
      <w:pPr>
        <w:adjustRightInd w:val="0"/>
        <w:snapToGrid w:val="0"/>
        <w:ind w:firstLine="0" w:firstLineChars="0"/>
        <w:jc w:val="center"/>
        <w:rPr>
          <w:rFonts w:eastAsia="仿宋_GB2312" w:cs="Times New Roman"/>
          <w:bCs/>
        </w:rPr>
      </w:pPr>
      <w:r>
        <w:rPr>
          <w:rFonts w:eastAsia="仿宋_GB2312" w:cs="Times New Roman"/>
          <w:bCs/>
          <w:sz w:val="24"/>
          <w:szCs w:val="24"/>
        </w:rPr>
        <w:drawing>
          <wp:inline distT="0" distB="0" distL="0" distR="0">
            <wp:extent cx="5143500" cy="2468880"/>
            <wp:effectExtent l="0" t="0" r="0" b="7620"/>
            <wp:docPr id="11" name="图表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pPr>
        <w:pStyle w:val="19"/>
        <w:adjustRightInd w:val="0"/>
        <w:snapToGrid w:val="0"/>
        <w:rPr>
          <w:rFonts w:eastAsia="仿宋_GB2312" w:cs="Times New Roman"/>
        </w:rPr>
      </w:pPr>
      <w:bookmarkStart w:id="56" w:name="_Ref54256844"/>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2</w:t>
      </w:r>
      <w:r>
        <w:rPr>
          <w:rFonts w:eastAsia="仿宋_GB2312" w:cs="Times New Roman"/>
        </w:rPr>
        <w:fldChar w:fldCharType="end"/>
      </w:r>
      <w:bookmarkEnd w:id="56"/>
      <w:r>
        <w:rPr>
          <w:rFonts w:eastAsia="仿宋_GB2312" w:cs="Times New Roman"/>
        </w:rPr>
        <w:t xml:space="preserve">  2015 -2021年全国充电设施建设规模</w:t>
      </w:r>
    </w:p>
    <w:p>
      <w:pPr>
        <w:pStyle w:val="4"/>
        <w:spacing w:before="156" w:after="156"/>
        <w:rPr>
          <w:rFonts w:eastAsia="仿宋_GB2312"/>
        </w:rPr>
      </w:pPr>
      <w:bookmarkStart w:id="57" w:name="_Toc61257693"/>
      <w:bookmarkStart w:id="58" w:name="_Toc117243182"/>
      <w:r>
        <w:rPr>
          <w:rFonts w:eastAsia="仿宋_GB2312"/>
        </w:rPr>
        <w:t>咸宁市</w:t>
      </w:r>
      <w:bookmarkEnd w:id="52"/>
      <w:bookmarkEnd w:id="57"/>
      <w:bookmarkStart w:id="59" w:name="_Hlk48219600"/>
      <w:bookmarkStart w:id="60" w:name="_Hlk48219470"/>
      <w:r>
        <w:rPr>
          <w:rFonts w:hint="eastAsia" w:eastAsia="仿宋_GB2312"/>
        </w:rPr>
        <w:t>发展现状</w:t>
      </w:r>
      <w:bookmarkEnd w:id="58"/>
    </w:p>
    <w:p>
      <w:pPr>
        <w:pStyle w:val="106"/>
        <w:numPr>
          <w:ilvl w:val="0"/>
          <w:numId w:val="13"/>
        </w:numPr>
        <w:adjustRightInd w:val="0"/>
        <w:snapToGrid w:val="0"/>
        <w:ind w:firstLineChars="0"/>
        <w:rPr>
          <w:rFonts w:eastAsia="仿宋_GB2312" w:cs="Times New Roman"/>
          <w:b/>
          <w:bCs/>
        </w:rPr>
      </w:pPr>
      <w:r>
        <w:rPr>
          <w:rFonts w:eastAsia="仿宋_GB2312" w:cs="Times New Roman"/>
          <w:b/>
          <w:bCs/>
        </w:rPr>
        <w:t>新能源汽车现状</w:t>
      </w:r>
    </w:p>
    <w:p>
      <w:pPr>
        <w:adjustRightInd w:val="0"/>
        <w:snapToGrid w:val="0"/>
        <w:ind w:firstLine="560"/>
        <w:rPr>
          <w:rFonts w:eastAsia="仿宋_GB2312" w:cs="Times New Roman"/>
        </w:rPr>
      </w:pPr>
      <w:r>
        <w:rPr>
          <w:rFonts w:eastAsia="仿宋_GB2312" w:cs="Times New Roman"/>
        </w:rPr>
        <w:t>截至2021年底，咸宁市新能源汽车的保有量为5969辆（考虑</w:t>
      </w:r>
      <w:r>
        <w:rPr>
          <w:rFonts w:hint="eastAsia" w:eastAsia="仿宋_GB2312" w:cs="Times New Roman"/>
        </w:rPr>
        <w:t>了</w:t>
      </w:r>
      <w:r>
        <w:rPr>
          <w:rFonts w:eastAsia="仿宋_GB2312" w:cs="Times New Roman"/>
        </w:rPr>
        <w:t>部分新能源车上武汉或周边地市牌照</w:t>
      </w:r>
      <w:r>
        <w:rPr>
          <w:rFonts w:hint="eastAsia" w:eastAsia="仿宋_GB2312" w:cs="Times New Roman"/>
        </w:rPr>
        <w:t>）</w:t>
      </w:r>
      <w:r>
        <w:rPr>
          <w:rFonts w:eastAsia="仿宋_GB2312" w:cs="Times New Roman"/>
        </w:rPr>
        <w:t>，</w:t>
      </w:r>
      <w:r>
        <w:rPr>
          <w:rFonts w:hint="eastAsia" w:eastAsia="仿宋_GB2312" w:cs="Times New Roman"/>
        </w:rPr>
        <w:t>占汽车保有量</w:t>
      </w:r>
      <w:r>
        <w:rPr>
          <w:rFonts w:eastAsia="仿宋_GB2312" w:cs="Times New Roman"/>
        </w:rPr>
        <w:t>的1.87%。</w:t>
      </w:r>
    </w:p>
    <w:p>
      <w:pPr>
        <w:pStyle w:val="19"/>
        <w:keepNext/>
        <w:adjustRightInd w:val="0"/>
        <w:snapToGrid w:val="0"/>
        <w:ind w:firstLine="560"/>
        <w:rPr>
          <w:rFonts w:eastAsia="仿宋_GB2312" w:cs="Times New Roman"/>
        </w:rPr>
      </w:pPr>
      <w:bookmarkStart w:id="61" w:name="OLE_LINK15"/>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4</w:t>
      </w:r>
      <w:r>
        <w:rPr>
          <w:rFonts w:eastAsia="仿宋_GB2312" w:cs="Times New Roman"/>
        </w:rPr>
        <w:fldChar w:fldCharType="end"/>
      </w:r>
      <w:bookmarkEnd w:id="61"/>
      <w:r>
        <w:rPr>
          <w:rFonts w:eastAsia="仿宋_GB2312" w:cs="Times New Roman"/>
        </w:rPr>
        <w:t xml:space="preserve"> 咸宁市2016年-2021年汽车与新能源汽车保有量</w:t>
      </w:r>
    </w:p>
    <w:tbl>
      <w:tblPr>
        <w:tblStyle w:val="76"/>
        <w:tblW w:w="5000" w:type="pct"/>
        <w:tblInd w:w="0" w:type="dxa"/>
        <w:tblLayout w:type="autofit"/>
        <w:tblCellMar>
          <w:top w:w="0" w:type="dxa"/>
          <w:left w:w="108" w:type="dxa"/>
          <w:bottom w:w="0" w:type="dxa"/>
          <w:right w:w="108" w:type="dxa"/>
        </w:tblCellMar>
      </w:tblPr>
      <w:tblGrid>
        <w:gridCol w:w="2390"/>
        <w:gridCol w:w="1070"/>
        <w:gridCol w:w="1074"/>
        <w:gridCol w:w="1074"/>
        <w:gridCol w:w="1074"/>
        <w:gridCol w:w="920"/>
        <w:gridCol w:w="920"/>
      </w:tblGrid>
      <w:tr>
        <w:tblPrEx>
          <w:tblCellMar>
            <w:top w:w="0" w:type="dxa"/>
            <w:left w:w="108" w:type="dxa"/>
            <w:bottom w:w="0" w:type="dxa"/>
            <w:right w:w="108" w:type="dxa"/>
          </w:tblCellMar>
        </w:tblPrEx>
        <w:trPr>
          <w:trHeight w:val="277" w:hRule="atLeast"/>
          <w:tblHeader/>
        </w:trPr>
        <w:tc>
          <w:tcPr>
            <w:tcW w:w="140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62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2016年</w:t>
            </w:r>
          </w:p>
        </w:tc>
        <w:tc>
          <w:tcPr>
            <w:tcW w:w="63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2017年</w:t>
            </w:r>
          </w:p>
        </w:tc>
        <w:tc>
          <w:tcPr>
            <w:tcW w:w="63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2018年</w:t>
            </w:r>
          </w:p>
        </w:tc>
        <w:tc>
          <w:tcPr>
            <w:tcW w:w="63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2019年</w:t>
            </w:r>
          </w:p>
        </w:tc>
        <w:tc>
          <w:tcPr>
            <w:tcW w:w="54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2020年</w:t>
            </w:r>
          </w:p>
        </w:tc>
        <w:tc>
          <w:tcPr>
            <w:tcW w:w="54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r>
      <w:tr>
        <w:tblPrEx>
          <w:tblCellMar>
            <w:top w:w="0" w:type="dxa"/>
            <w:left w:w="108" w:type="dxa"/>
            <w:bottom w:w="0" w:type="dxa"/>
            <w:right w:w="108" w:type="dxa"/>
          </w:tblCellMar>
        </w:tblPrEx>
        <w:trPr>
          <w:trHeight w:val="91" w:hRule="atLeast"/>
        </w:trPr>
        <w:tc>
          <w:tcPr>
            <w:tcW w:w="140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汽车保有量(辆)</w:t>
            </w:r>
          </w:p>
        </w:tc>
        <w:tc>
          <w:tcPr>
            <w:tcW w:w="62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186854</w:t>
            </w:r>
          </w:p>
        </w:tc>
        <w:tc>
          <w:tcPr>
            <w:tcW w:w="6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215772</w:t>
            </w:r>
          </w:p>
        </w:tc>
        <w:tc>
          <w:tcPr>
            <w:tcW w:w="6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245381</w:t>
            </w:r>
          </w:p>
        </w:tc>
        <w:tc>
          <w:tcPr>
            <w:tcW w:w="6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273819</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296829</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318963</w:t>
            </w:r>
          </w:p>
        </w:tc>
      </w:tr>
      <w:tr>
        <w:tblPrEx>
          <w:tblCellMar>
            <w:top w:w="0" w:type="dxa"/>
            <w:left w:w="108" w:type="dxa"/>
            <w:bottom w:w="0" w:type="dxa"/>
            <w:right w:w="108" w:type="dxa"/>
          </w:tblCellMar>
        </w:tblPrEx>
        <w:trPr>
          <w:trHeight w:val="91" w:hRule="atLeast"/>
        </w:trPr>
        <w:tc>
          <w:tcPr>
            <w:tcW w:w="140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新能源汽车保有量(辆)</w:t>
            </w:r>
          </w:p>
        </w:tc>
        <w:tc>
          <w:tcPr>
            <w:tcW w:w="62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568</w:t>
            </w:r>
          </w:p>
        </w:tc>
        <w:tc>
          <w:tcPr>
            <w:tcW w:w="6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1048</w:t>
            </w:r>
          </w:p>
        </w:tc>
        <w:tc>
          <w:tcPr>
            <w:tcW w:w="6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1983</w:t>
            </w:r>
          </w:p>
        </w:tc>
        <w:tc>
          <w:tcPr>
            <w:tcW w:w="6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2720</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3352</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5969</w:t>
            </w:r>
          </w:p>
        </w:tc>
      </w:tr>
      <w:tr>
        <w:trPr>
          <w:trHeight w:val="88" w:hRule="atLeast"/>
        </w:trPr>
        <w:tc>
          <w:tcPr>
            <w:tcW w:w="140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新能源车占比(%)</w:t>
            </w:r>
          </w:p>
        </w:tc>
        <w:tc>
          <w:tcPr>
            <w:tcW w:w="62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0.30</w:t>
            </w:r>
          </w:p>
        </w:tc>
        <w:tc>
          <w:tcPr>
            <w:tcW w:w="6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0.49</w:t>
            </w:r>
          </w:p>
        </w:tc>
        <w:tc>
          <w:tcPr>
            <w:tcW w:w="6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0.81</w:t>
            </w:r>
          </w:p>
        </w:tc>
        <w:tc>
          <w:tcPr>
            <w:tcW w:w="6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0.99</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1.13</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1.87</w:t>
            </w:r>
          </w:p>
        </w:tc>
      </w:tr>
    </w:tbl>
    <w:p>
      <w:pPr>
        <w:pStyle w:val="106"/>
        <w:numPr>
          <w:ilvl w:val="0"/>
          <w:numId w:val="13"/>
        </w:numPr>
        <w:adjustRightInd w:val="0"/>
        <w:snapToGrid w:val="0"/>
        <w:ind w:firstLineChars="0"/>
        <w:rPr>
          <w:rFonts w:eastAsia="仿宋_GB2312" w:cs="Times New Roman"/>
          <w:b/>
          <w:bCs/>
        </w:rPr>
      </w:pPr>
      <w:r>
        <w:rPr>
          <w:rFonts w:eastAsia="仿宋_GB2312" w:cs="Times New Roman"/>
          <w:b/>
          <w:bCs/>
        </w:rPr>
        <w:t>充电设施现状</w:t>
      </w:r>
    </w:p>
    <w:p>
      <w:pPr>
        <w:pStyle w:val="19"/>
        <w:adjustRightInd w:val="0"/>
        <w:snapToGrid w:val="0"/>
        <w:spacing w:line="360" w:lineRule="auto"/>
        <w:ind w:firstLine="560" w:firstLineChars="200"/>
        <w:jc w:val="both"/>
        <w:rPr>
          <w:rFonts w:eastAsia="仿宋_GB2312" w:cs="Times New Roman"/>
          <w:b w:val="0"/>
          <w:bCs/>
          <w:sz w:val="28"/>
          <w:szCs w:val="28"/>
        </w:rPr>
      </w:pPr>
      <w:bookmarkStart w:id="62" w:name="_Hlk99440700"/>
      <w:r>
        <w:rPr>
          <w:rFonts w:eastAsia="仿宋_GB2312" w:cs="Times New Roman"/>
          <w:b w:val="0"/>
          <w:bCs/>
          <w:sz w:val="28"/>
          <w:szCs w:val="28"/>
        </w:rPr>
        <w:t>咸宁市有充电站</w:t>
      </w:r>
      <w:bookmarkEnd w:id="62"/>
      <w:r>
        <w:rPr>
          <w:rFonts w:eastAsia="仿宋_GB2312" w:cs="Times New Roman"/>
          <w:b w:val="0"/>
          <w:bCs/>
          <w:sz w:val="28"/>
          <w:szCs w:val="28"/>
        </w:rPr>
        <w:t>97座，充电桩1070台（备注：报告中直流充电桩一机一枪</w:t>
      </w:r>
      <w:r>
        <w:rPr>
          <w:rFonts w:hint="eastAsia" w:eastAsia="仿宋_GB2312" w:cs="Times New Roman"/>
          <w:b w:val="0"/>
          <w:bCs/>
          <w:sz w:val="28"/>
          <w:szCs w:val="28"/>
        </w:rPr>
        <w:t>、</w:t>
      </w:r>
      <w:r>
        <w:rPr>
          <w:rFonts w:eastAsia="仿宋_GB2312" w:cs="Times New Roman"/>
          <w:b w:val="0"/>
          <w:bCs/>
          <w:sz w:val="28"/>
          <w:szCs w:val="28"/>
        </w:rPr>
        <w:t>一机两枪</w:t>
      </w:r>
      <w:r>
        <w:rPr>
          <w:rFonts w:hint="eastAsia" w:eastAsia="仿宋_GB2312" w:cs="Times New Roman"/>
          <w:b w:val="0"/>
          <w:bCs/>
          <w:sz w:val="28"/>
          <w:szCs w:val="28"/>
        </w:rPr>
        <w:t>分别</w:t>
      </w:r>
      <w:r>
        <w:rPr>
          <w:rFonts w:eastAsia="仿宋_GB2312" w:cs="Times New Roman"/>
          <w:b w:val="0"/>
          <w:bCs/>
          <w:sz w:val="28"/>
          <w:szCs w:val="28"/>
        </w:rPr>
        <w:t>按</w:t>
      </w:r>
      <w:r>
        <w:rPr>
          <w:rFonts w:hint="eastAsia" w:eastAsia="仿宋_GB2312" w:cs="Times New Roman"/>
          <w:b w:val="0"/>
          <w:bCs/>
          <w:sz w:val="28"/>
          <w:szCs w:val="28"/>
        </w:rPr>
        <w:t>1台、</w:t>
      </w:r>
      <w:r>
        <w:rPr>
          <w:rFonts w:eastAsia="仿宋_GB2312" w:cs="Times New Roman"/>
          <w:b w:val="0"/>
          <w:bCs/>
          <w:sz w:val="28"/>
          <w:szCs w:val="28"/>
        </w:rPr>
        <w:t>2台充电桩统计）</w:t>
      </w:r>
      <w:r>
        <w:rPr>
          <w:rFonts w:hint="eastAsia" w:eastAsia="仿宋_GB2312" w:cs="Times New Roman"/>
          <w:b w:val="0"/>
          <w:bCs/>
          <w:sz w:val="28"/>
          <w:szCs w:val="28"/>
        </w:rPr>
        <w:t>，</w:t>
      </w:r>
      <w:r>
        <w:rPr>
          <w:rFonts w:eastAsia="仿宋_GB2312" w:cs="Times New Roman"/>
          <w:b w:val="0"/>
          <w:bCs/>
          <w:sz w:val="28"/>
          <w:szCs w:val="28"/>
        </w:rPr>
        <w:t>直流快充桩1009台，交流慢充桩61台，充电总功率68017kW。不包含供电公司与中石油中石化已签订意向合同的14个充电站</w:t>
      </w:r>
      <w:r>
        <w:rPr>
          <w:rFonts w:hint="eastAsia" w:eastAsia="仿宋_GB2312" w:cs="Times New Roman"/>
          <w:b w:val="0"/>
          <w:bCs/>
          <w:sz w:val="28"/>
          <w:szCs w:val="28"/>
        </w:rPr>
        <w:t>：</w:t>
      </w:r>
      <w:r>
        <w:rPr>
          <w:rFonts w:eastAsia="仿宋_GB2312" w:cs="Times New Roman"/>
          <w:b w:val="0"/>
          <w:bCs/>
          <w:sz w:val="28"/>
          <w:szCs w:val="28"/>
        </w:rPr>
        <w:t>分别为咸宁贺泉加油站</w:t>
      </w:r>
      <w:r>
        <w:rPr>
          <w:rFonts w:hint="eastAsia" w:eastAsia="仿宋_GB2312" w:cs="Times New Roman"/>
          <w:b w:val="0"/>
          <w:bCs/>
          <w:sz w:val="28"/>
          <w:szCs w:val="28"/>
        </w:rPr>
        <w:t>，</w:t>
      </w:r>
      <w:r>
        <w:rPr>
          <w:rFonts w:eastAsia="仿宋_GB2312" w:cs="Times New Roman"/>
          <w:b w:val="0"/>
          <w:bCs/>
          <w:sz w:val="28"/>
          <w:szCs w:val="28"/>
        </w:rPr>
        <w:t>通山县城关中石化加油站、下朗中石化加油站、犀港中石化加油站、唐家城中石油加油站、柏树中石油加油站、迎宾中石油加油站，通城县城北中石化加油站、城西中石化加油站、城东中石化加油站、城北中石油加油站、城西中石油加油站、城东中石油加油站，嘉鱼县嘉兴加油站。</w:t>
      </w:r>
    </w:p>
    <w:p>
      <w:pPr>
        <w:pStyle w:val="19"/>
        <w:keepNext/>
        <w:adjustRightInd w:val="0"/>
        <w:snapToGrid w:val="0"/>
        <w:ind w:firstLine="360"/>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5</w:t>
      </w:r>
      <w:r>
        <w:rPr>
          <w:rFonts w:eastAsia="仿宋_GB2312" w:cs="Times New Roman"/>
        </w:rPr>
        <w:fldChar w:fldCharType="end"/>
      </w:r>
      <w:r>
        <w:rPr>
          <w:rFonts w:eastAsia="仿宋_GB2312" w:cs="Times New Roman"/>
        </w:rPr>
        <w:t xml:space="preserve"> 咸宁市已建充电设施规模表</w:t>
      </w:r>
    </w:p>
    <w:tbl>
      <w:tblPr>
        <w:tblStyle w:val="76"/>
        <w:tblW w:w="5031" w:type="pct"/>
        <w:tblInd w:w="0" w:type="dxa"/>
        <w:tblLayout w:type="autofit"/>
        <w:tblCellMar>
          <w:top w:w="0" w:type="dxa"/>
          <w:left w:w="108" w:type="dxa"/>
          <w:bottom w:w="0" w:type="dxa"/>
          <w:right w:w="108" w:type="dxa"/>
        </w:tblCellMar>
      </w:tblPr>
      <w:tblGrid>
        <w:gridCol w:w="782"/>
        <w:gridCol w:w="1122"/>
        <w:gridCol w:w="1130"/>
        <w:gridCol w:w="995"/>
        <w:gridCol w:w="1040"/>
        <w:gridCol w:w="1201"/>
        <w:gridCol w:w="1022"/>
        <w:gridCol w:w="1283"/>
      </w:tblGrid>
      <w:tr>
        <w:tblPrEx>
          <w:tblCellMar>
            <w:top w:w="0" w:type="dxa"/>
            <w:left w:w="108" w:type="dxa"/>
            <w:bottom w:w="0" w:type="dxa"/>
            <w:right w:w="108" w:type="dxa"/>
          </w:tblCellMar>
        </w:tblPrEx>
        <w:trPr>
          <w:trHeight w:val="363" w:hRule="atLeast"/>
          <w:tblHeader/>
        </w:trPr>
        <w:tc>
          <w:tcPr>
            <w:tcW w:w="45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序号</w:t>
            </w:r>
          </w:p>
        </w:tc>
        <w:tc>
          <w:tcPr>
            <w:tcW w:w="65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区域</w:t>
            </w:r>
          </w:p>
        </w:tc>
        <w:tc>
          <w:tcPr>
            <w:tcW w:w="65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公交充电站（座）</w:t>
            </w:r>
          </w:p>
        </w:tc>
        <w:tc>
          <w:tcPr>
            <w:tcW w:w="58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公共充电站（座）</w:t>
            </w:r>
          </w:p>
        </w:tc>
        <w:tc>
          <w:tcPr>
            <w:tcW w:w="60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物流充电站（座）</w:t>
            </w:r>
          </w:p>
        </w:tc>
        <w:tc>
          <w:tcPr>
            <w:tcW w:w="70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高速服务区充电站（座）</w:t>
            </w:r>
          </w:p>
        </w:tc>
        <w:tc>
          <w:tcPr>
            <w:tcW w:w="59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充电桩数（个）</w:t>
            </w:r>
          </w:p>
        </w:tc>
        <w:tc>
          <w:tcPr>
            <w:tcW w:w="74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充电桩总功率（kW）</w:t>
            </w:r>
          </w:p>
        </w:tc>
      </w:tr>
      <w:tr>
        <w:tblPrEx>
          <w:tblCellMar>
            <w:top w:w="0" w:type="dxa"/>
            <w:left w:w="108" w:type="dxa"/>
            <w:bottom w:w="0" w:type="dxa"/>
            <w:right w:w="108" w:type="dxa"/>
          </w:tblCellMar>
        </w:tblPrEx>
        <w:trPr>
          <w:trHeight w:val="363" w:hRule="atLeast"/>
          <w:tblHeader/>
        </w:trPr>
        <w:tc>
          <w:tcPr>
            <w:tcW w:w="456"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21"/>
                <w:szCs w:val="21"/>
              </w:rPr>
            </w:pPr>
          </w:p>
        </w:tc>
        <w:tc>
          <w:tcPr>
            <w:tcW w:w="654"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21"/>
                <w:szCs w:val="21"/>
              </w:rPr>
            </w:pPr>
          </w:p>
        </w:tc>
        <w:tc>
          <w:tcPr>
            <w:tcW w:w="65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21"/>
                <w:szCs w:val="21"/>
              </w:rPr>
            </w:pPr>
          </w:p>
        </w:tc>
        <w:tc>
          <w:tcPr>
            <w:tcW w:w="580"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21"/>
                <w:szCs w:val="21"/>
              </w:rPr>
            </w:pPr>
          </w:p>
        </w:tc>
        <w:tc>
          <w:tcPr>
            <w:tcW w:w="606"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21"/>
                <w:szCs w:val="21"/>
              </w:rPr>
            </w:pPr>
          </w:p>
        </w:tc>
        <w:tc>
          <w:tcPr>
            <w:tcW w:w="700"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21"/>
                <w:szCs w:val="21"/>
              </w:rPr>
            </w:pPr>
          </w:p>
        </w:tc>
        <w:tc>
          <w:tcPr>
            <w:tcW w:w="596"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21"/>
                <w:szCs w:val="21"/>
              </w:rPr>
            </w:pPr>
          </w:p>
        </w:tc>
        <w:tc>
          <w:tcPr>
            <w:tcW w:w="748"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21"/>
                <w:szCs w:val="21"/>
              </w:rPr>
            </w:pPr>
          </w:p>
        </w:tc>
      </w:tr>
      <w:tr>
        <w:tblPrEx>
          <w:tblCellMar>
            <w:top w:w="0" w:type="dxa"/>
            <w:left w:w="108" w:type="dxa"/>
            <w:bottom w:w="0" w:type="dxa"/>
            <w:right w:w="108" w:type="dxa"/>
          </w:tblCellMar>
        </w:tblPrEx>
        <w:trPr>
          <w:trHeight w:val="184" w:hRule="atLeast"/>
        </w:trPr>
        <w:tc>
          <w:tcPr>
            <w:tcW w:w="456"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w:t>
            </w:r>
          </w:p>
        </w:tc>
        <w:tc>
          <w:tcPr>
            <w:tcW w:w="65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5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6</w:t>
            </w:r>
          </w:p>
        </w:tc>
        <w:tc>
          <w:tcPr>
            <w:tcW w:w="58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28</w:t>
            </w:r>
          </w:p>
        </w:tc>
        <w:tc>
          <w:tcPr>
            <w:tcW w:w="6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4</w:t>
            </w:r>
          </w:p>
        </w:tc>
        <w:tc>
          <w:tcPr>
            <w:tcW w:w="70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w:t>
            </w:r>
          </w:p>
        </w:tc>
        <w:tc>
          <w:tcPr>
            <w:tcW w:w="5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294</w:t>
            </w:r>
          </w:p>
        </w:tc>
        <w:tc>
          <w:tcPr>
            <w:tcW w:w="7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22413</w:t>
            </w:r>
          </w:p>
        </w:tc>
      </w:tr>
      <w:tr>
        <w:tblPrEx>
          <w:tblCellMar>
            <w:top w:w="0" w:type="dxa"/>
            <w:left w:w="108" w:type="dxa"/>
            <w:bottom w:w="0" w:type="dxa"/>
            <w:right w:w="108" w:type="dxa"/>
          </w:tblCellMar>
        </w:tblPrEx>
        <w:trPr>
          <w:trHeight w:val="184" w:hRule="atLeast"/>
        </w:trPr>
        <w:tc>
          <w:tcPr>
            <w:tcW w:w="456"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65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5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11</w:t>
            </w:r>
          </w:p>
        </w:tc>
        <w:tc>
          <w:tcPr>
            <w:tcW w:w="58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18</w:t>
            </w:r>
          </w:p>
        </w:tc>
        <w:tc>
          <w:tcPr>
            <w:tcW w:w="6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0</w:t>
            </w:r>
          </w:p>
        </w:tc>
        <w:tc>
          <w:tcPr>
            <w:tcW w:w="70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3</w:t>
            </w:r>
          </w:p>
        </w:tc>
        <w:tc>
          <w:tcPr>
            <w:tcW w:w="5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436</w:t>
            </w:r>
          </w:p>
        </w:tc>
        <w:tc>
          <w:tcPr>
            <w:tcW w:w="7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25524</w:t>
            </w:r>
          </w:p>
        </w:tc>
      </w:tr>
      <w:tr>
        <w:tblPrEx>
          <w:tblCellMar>
            <w:top w:w="0" w:type="dxa"/>
            <w:left w:w="108" w:type="dxa"/>
            <w:bottom w:w="0" w:type="dxa"/>
            <w:right w:w="108" w:type="dxa"/>
          </w:tblCellMar>
        </w:tblPrEx>
        <w:trPr>
          <w:trHeight w:val="184" w:hRule="atLeast"/>
        </w:trPr>
        <w:tc>
          <w:tcPr>
            <w:tcW w:w="456"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w:t>
            </w:r>
          </w:p>
        </w:tc>
        <w:tc>
          <w:tcPr>
            <w:tcW w:w="65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5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w:t>
            </w:r>
          </w:p>
        </w:tc>
        <w:tc>
          <w:tcPr>
            <w:tcW w:w="58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w:t>
            </w:r>
          </w:p>
        </w:tc>
        <w:tc>
          <w:tcPr>
            <w:tcW w:w="6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0</w:t>
            </w:r>
          </w:p>
        </w:tc>
        <w:tc>
          <w:tcPr>
            <w:tcW w:w="70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4</w:t>
            </w:r>
          </w:p>
        </w:tc>
        <w:tc>
          <w:tcPr>
            <w:tcW w:w="5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136</w:t>
            </w:r>
          </w:p>
        </w:tc>
        <w:tc>
          <w:tcPr>
            <w:tcW w:w="7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8160</w:t>
            </w:r>
          </w:p>
        </w:tc>
      </w:tr>
      <w:tr>
        <w:tblPrEx>
          <w:tblCellMar>
            <w:top w:w="0" w:type="dxa"/>
            <w:left w:w="108" w:type="dxa"/>
            <w:bottom w:w="0" w:type="dxa"/>
            <w:right w:w="108" w:type="dxa"/>
          </w:tblCellMar>
        </w:tblPrEx>
        <w:trPr>
          <w:trHeight w:val="184" w:hRule="atLeast"/>
        </w:trPr>
        <w:tc>
          <w:tcPr>
            <w:tcW w:w="456"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65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5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w:t>
            </w:r>
          </w:p>
        </w:tc>
        <w:tc>
          <w:tcPr>
            <w:tcW w:w="58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w:t>
            </w:r>
          </w:p>
        </w:tc>
        <w:tc>
          <w:tcPr>
            <w:tcW w:w="6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0</w:t>
            </w:r>
          </w:p>
        </w:tc>
        <w:tc>
          <w:tcPr>
            <w:tcW w:w="70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0</w:t>
            </w:r>
          </w:p>
        </w:tc>
        <w:tc>
          <w:tcPr>
            <w:tcW w:w="5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68</w:t>
            </w:r>
          </w:p>
        </w:tc>
        <w:tc>
          <w:tcPr>
            <w:tcW w:w="7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3780</w:t>
            </w:r>
          </w:p>
        </w:tc>
      </w:tr>
      <w:tr>
        <w:tblPrEx>
          <w:tblCellMar>
            <w:top w:w="0" w:type="dxa"/>
            <w:left w:w="108" w:type="dxa"/>
            <w:bottom w:w="0" w:type="dxa"/>
            <w:right w:w="108" w:type="dxa"/>
          </w:tblCellMar>
        </w:tblPrEx>
        <w:trPr>
          <w:trHeight w:val="184" w:hRule="atLeast"/>
        </w:trPr>
        <w:tc>
          <w:tcPr>
            <w:tcW w:w="456"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w:t>
            </w:r>
          </w:p>
        </w:tc>
        <w:tc>
          <w:tcPr>
            <w:tcW w:w="65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5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w:t>
            </w:r>
          </w:p>
        </w:tc>
        <w:tc>
          <w:tcPr>
            <w:tcW w:w="58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3</w:t>
            </w:r>
          </w:p>
        </w:tc>
        <w:tc>
          <w:tcPr>
            <w:tcW w:w="6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0</w:t>
            </w:r>
          </w:p>
        </w:tc>
        <w:tc>
          <w:tcPr>
            <w:tcW w:w="70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w:t>
            </w:r>
          </w:p>
        </w:tc>
        <w:tc>
          <w:tcPr>
            <w:tcW w:w="5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68</w:t>
            </w:r>
          </w:p>
        </w:tc>
        <w:tc>
          <w:tcPr>
            <w:tcW w:w="7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4510</w:t>
            </w:r>
          </w:p>
        </w:tc>
      </w:tr>
      <w:tr>
        <w:tblPrEx>
          <w:tblCellMar>
            <w:top w:w="0" w:type="dxa"/>
            <w:left w:w="108" w:type="dxa"/>
            <w:bottom w:w="0" w:type="dxa"/>
            <w:right w:w="108" w:type="dxa"/>
          </w:tblCellMar>
        </w:tblPrEx>
        <w:trPr>
          <w:trHeight w:val="184" w:hRule="atLeast"/>
        </w:trPr>
        <w:tc>
          <w:tcPr>
            <w:tcW w:w="456"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65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5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3</w:t>
            </w:r>
          </w:p>
        </w:tc>
        <w:tc>
          <w:tcPr>
            <w:tcW w:w="58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4</w:t>
            </w:r>
          </w:p>
        </w:tc>
        <w:tc>
          <w:tcPr>
            <w:tcW w:w="6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0</w:t>
            </w:r>
          </w:p>
        </w:tc>
        <w:tc>
          <w:tcPr>
            <w:tcW w:w="70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w:t>
            </w:r>
          </w:p>
        </w:tc>
        <w:tc>
          <w:tcPr>
            <w:tcW w:w="5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68</w:t>
            </w:r>
          </w:p>
        </w:tc>
        <w:tc>
          <w:tcPr>
            <w:tcW w:w="7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3630</w:t>
            </w:r>
          </w:p>
        </w:tc>
      </w:tr>
      <w:tr>
        <w:tblPrEx>
          <w:tblCellMar>
            <w:top w:w="0" w:type="dxa"/>
            <w:left w:w="108" w:type="dxa"/>
            <w:bottom w:w="0" w:type="dxa"/>
            <w:right w:w="108" w:type="dxa"/>
          </w:tblCellMar>
        </w:tblPrEx>
        <w:trPr>
          <w:trHeight w:val="184" w:hRule="atLeast"/>
        </w:trPr>
        <w:tc>
          <w:tcPr>
            <w:tcW w:w="456"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w:t>
            </w:r>
          </w:p>
        </w:tc>
        <w:tc>
          <w:tcPr>
            <w:tcW w:w="65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合计</w:t>
            </w:r>
          </w:p>
        </w:tc>
        <w:tc>
          <w:tcPr>
            <w:tcW w:w="65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23</w:t>
            </w:r>
          </w:p>
        </w:tc>
        <w:tc>
          <w:tcPr>
            <w:tcW w:w="58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57</w:t>
            </w:r>
          </w:p>
        </w:tc>
        <w:tc>
          <w:tcPr>
            <w:tcW w:w="6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4</w:t>
            </w:r>
          </w:p>
        </w:tc>
        <w:tc>
          <w:tcPr>
            <w:tcW w:w="70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13</w:t>
            </w:r>
          </w:p>
        </w:tc>
        <w:tc>
          <w:tcPr>
            <w:tcW w:w="59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1070</w:t>
            </w:r>
          </w:p>
        </w:tc>
        <w:tc>
          <w:tcPr>
            <w:tcW w:w="7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68017</w:t>
            </w:r>
          </w:p>
        </w:tc>
      </w:tr>
      <w:bookmarkEnd w:id="59"/>
    </w:tbl>
    <w:p>
      <w:pPr>
        <w:pStyle w:val="5"/>
        <w:adjustRightInd w:val="0"/>
        <w:snapToGrid w:val="0"/>
        <w:spacing w:before="156" w:beforeLines="50" w:after="156" w:afterLines="50"/>
        <w:rPr>
          <w:rFonts w:eastAsia="仿宋_GB2312" w:cs="Times New Roman"/>
        </w:rPr>
      </w:pPr>
      <w:r>
        <w:rPr>
          <w:rFonts w:eastAsia="仿宋_GB2312" w:cs="Times New Roman"/>
        </w:rPr>
        <w:t>高速充电设施现状</w:t>
      </w:r>
    </w:p>
    <w:p>
      <w:pPr>
        <w:pStyle w:val="19"/>
        <w:adjustRightInd w:val="0"/>
        <w:snapToGrid w:val="0"/>
        <w:spacing w:line="360" w:lineRule="auto"/>
        <w:ind w:firstLine="560" w:firstLineChars="200"/>
        <w:jc w:val="both"/>
        <w:rPr>
          <w:rFonts w:eastAsia="仿宋_GB2312" w:cs="Times New Roman"/>
        </w:rPr>
      </w:pPr>
      <w:r>
        <w:rPr>
          <w:rFonts w:eastAsia="仿宋_GB2312" w:cs="Times New Roman"/>
          <w:b w:val="0"/>
          <w:bCs/>
          <w:sz w:val="28"/>
          <w:szCs w:val="28"/>
        </w:rPr>
        <w:t>截至2021年底，咸宁市高速充电站有13个，充电桩76个，全部为直流快充桩，其中60kW一机一枪直流充电桩10</w:t>
      </w:r>
      <w:r>
        <w:rPr>
          <w:rFonts w:hint="eastAsia" w:eastAsia="仿宋_GB2312" w:cs="Times New Roman"/>
          <w:b w:val="0"/>
          <w:bCs/>
          <w:sz w:val="28"/>
          <w:szCs w:val="28"/>
        </w:rPr>
        <w:t>个</w:t>
      </w:r>
      <w:r>
        <w:rPr>
          <w:rFonts w:eastAsia="仿宋_GB2312" w:cs="Times New Roman"/>
          <w:b w:val="0"/>
          <w:bCs/>
          <w:sz w:val="28"/>
          <w:szCs w:val="28"/>
        </w:rPr>
        <w:t>，120kW一机一枪直流充电桩16</w:t>
      </w:r>
      <w:r>
        <w:rPr>
          <w:rFonts w:hint="eastAsia" w:eastAsia="仿宋_GB2312" w:cs="Times New Roman"/>
          <w:b w:val="0"/>
          <w:bCs/>
          <w:sz w:val="28"/>
          <w:szCs w:val="28"/>
        </w:rPr>
        <w:t>个</w:t>
      </w:r>
      <w:r>
        <w:rPr>
          <w:rFonts w:eastAsia="仿宋_GB2312" w:cs="Times New Roman"/>
          <w:b w:val="0"/>
          <w:bCs/>
          <w:sz w:val="28"/>
          <w:szCs w:val="28"/>
        </w:rPr>
        <w:t>，120kW一机两枪直流充电桩25</w:t>
      </w:r>
      <w:r>
        <w:rPr>
          <w:rFonts w:hint="eastAsia" w:eastAsia="仿宋_GB2312" w:cs="Times New Roman"/>
          <w:b w:val="0"/>
          <w:bCs/>
          <w:sz w:val="28"/>
          <w:szCs w:val="28"/>
        </w:rPr>
        <w:t>个</w:t>
      </w:r>
      <w:r>
        <w:rPr>
          <w:rFonts w:eastAsia="仿宋_GB2312" w:cs="Times New Roman"/>
          <w:b w:val="0"/>
          <w:bCs/>
          <w:sz w:val="28"/>
          <w:szCs w:val="28"/>
        </w:rPr>
        <w:t>，充电总功率5520kW。</w:t>
      </w:r>
    </w:p>
    <w:p>
      <w:pPr>
        <w:adjustRightInd w:val="0"/>
        <w:snapToGrid w:val="0"/>
        <w:ind w:firstLine="560"/>
        <w:rPr>
          <w:rFonts w:eastAsia="仿宋_GB2312" w:cs="Times New Roman"/>
          <w:bCs/>
        </w:rPr>
      </w:pPr>
      <w:r>
        <w:rPr>
          <w:rFonts w:eastAsia="仿宋_GB2312" w:cs="Times New Roman"/>
          <w:bCs/>
        </w:rPr>
        <w:t>1）京港澳高速咸宁服务区（北京方向）充电站，位于京港澳高速咸宁服务区（北京方向），现有4台120kW一机一枪直流充电桩。</w:t>
      </w:r>
    </w:p>
    <w:p>
      <w:pPr>
        <w:adjustRightInd w:val="0"/>
        <w:snapToGrid w:val="0"/>
        <w:ind w:firstLine="560"/>
        <w:rPr>
          <w:rFonts w:eastAsia="仿宋_GB2312" w:cs="Times New Roman"/>
          <w:bCs/>
        </w:rPr>
      </w:pPr>
      <w:r>
        <w:rPr>
          <w:rFonts w:eastAsia="仿宋_GB2312" w:cs="Times New Roman"/>
          <w:bCs/>
        </w:rPr>
        <w:t xml:space="preserve"> 2）京港澳高速咸宁服务区（港澳方向）充电站，位于赤壁市京港澳高速赤壁服务区，现有4台120kW一机一枪直流充电桩。</w:t>
      </w:r>
    </w:p>
    <w:p>
      <w:pPr>
        <w:adjustRightInd w:val="0"/>
        <w:snapToGrid w:val="0"/>
        <w:ind w:firstLine="560"/>
        <w:rPr>
          <w:rFonts w:eastAsia="仿宋_GB2312" w:cs="Times New Roman"/>
          <w:bCs/>
        </w:rPr>
      </w:pPr>
      <w:r>
        <w:rPr>
          <w:rFonts w:eastAsia="仿宋_GB2312" w:cs="Times New Roman"/>
          <w:bCs/>
        </w:rPr>
        <w:t>3）国家电网充电站（京港澳高速赤壁服务区北京方向），位于赤壁市高铁站广场停车场，现有4台120kW一机两枪直流充电桩。</w:t>
      </w:r>
    </w:p>
    <w:p>
      <w:pPr>
        <w:adjustRightInd w:val="0"/>
        <w:snapToGrid w:val="0"/>
        <w:ind w:firstLine="560"/>
        <w:rPr>
          <w:rFonts w:eastAsia="仿宋_GB2312" w:cs="Times New Roman"/>
          <w:bCs/>
        </w:rPr>
      </w:pPr>
      <w:r>
        <w:rPr>
          <w:rFonts w:eastAsia="仿宋_GB2312" w:cs="Times New Roman"/>
          <w:bCs/>
        </w:rPr>
        <w:t>4）国家电网充电站（京港澳高速赤壁服务区港澳方向），位于赤壁市京港澳高速赤壁服务区，现有4台120kW一机两枪直流充电桩。</w:t>
      </w:r>
    </w:p>
    <w:p>
      <w:pPr>
        <w:adjustRightInd w:val="0"/>
        <w:snapToGrid w:val="0"/>
        <w:ind w:firstLine="560"/>
        <w:rPr>
          <w:rFonts w:eastAsia="仿宋_GB2312" w:cs="Times New Roman"/>
          <w:bCs/>
        </w:rPr>
      </w:pPr>
      <w:r>
        <w:rPr>
          <w:rFonts w:eastAsia="仿宋_GB2312" w:cs="Times New Roman"/>
          <w:bCs/>
        </w:rPr>
        <w:t>5）国家电网充电站（大广高速燕厦服务区广州方向），位于通山县大广高速燕厦服务区，现有2台120kW一机两枪直流充电桩。</w:t>
      </w:r>
    </w:p>
    <w:p>
      <w:pPr>
        <w:adjustRightInd w:val="0"/>
        <w:snapToGrid w:val="0"/>
        <w:ind w:firstLine="560"/>
        <w:rPr>
          <w:rFonts w:eastAsia="仿宋_GB2312" w:cs="Times New Roman"/>
          <w:bCs/>
        </w:rPr>
      </w:pPr>
      <w:r>
        <w:rPr>
          <w:rFonts w:eastAsia="仿宋_GB2312" w:cs="Times New Roman"/>
          <w:bCs/>
        </w:rPr>
        <w:t>6）国家电网充电站（大广高速燕厦服务区北京方向），位于通山县大广高速燕厦服务区，现有2台120kW一机两枪直流充电桩。</w:t>
      </w:r>
    </w:p>
    <w:p>
      <w:pPr>
        <w:adjustRightInd w:val="0"/>
        <w:snapToGrid w:val="0"/>
        <w:ind w:firstLine="560"/>
        <w:rPr>
          <w:rFonts w:eastAsia="仿宋_GB2312" w:cs="Times New Roman"/>
          <w:bCs/>
        </w:rPr>
      </w:pPr>
      <w:r>
        <w:rPr>
          <w:rFonts w:eastAsia="仿宋_GB2312" w:cs="Times New Roman"/>
          <w:bCs/>
        </w:rPr>
        <w:t>7）蕲嘉高速嘉鱼服务区（嘉鱼方向）充电站，位于蕲嘉高速嘉鱼服务区（嘉鱼方向），现有2台120kW一机两枪直流充电桩。</w:t>
      </w:r>
    </w:p>
    <w:p>
      <w:pPr>
        <w:adjustRightInd w:val="0"/>
        <w:snapToGrid w:val="0"/>
        <w:ind w:firstLine="560"/>
        <w:rPr>
          <w:rFonts w:eastAsia="仿宋_GB2312" w:cs="Times New Roman"/>
          <w:bCs/>
        </w:rPr>
      </w:pPr>
      <w:r>
        <w:rPr>
          <w:rFonts w:eastAsia="仿宋_GB2312" w:cs="Times New Roman"/>
          <w:bCs/>
        </w:rPr>
        <w:t>8）蕲嘉高速嘉鱼服务区（蕲春方向）充电站，位于蕲嘉高速嘉鱼服务区（蕲春方向），现有2台120kW一机两枪直流充电桩。</w:t>
      </w:r>
    </w:p>
    <w:p>
      <w:pPr>
        <w:adjustRightInd w:val="0"/>
        <w:snapToGrid w:val="0"/>
        <w:ind w:firstLine="560"/>
        <w:rPr>
          <w:rFonts w:eastAsia="仿宋_GB2312" w:cs="Times New Roman"/>
          <w:bCs/>
        </w:rPr>
      </w:pPr>
      <w:r>
        <w:rPr>
          <w:rFonts w:eastAsia="仿宋_GB2312" w:cs="Times New Roman"/>
          <w:bCs/>
        </w:rPr>
        <w:t>9）杭瑞高速崇阳服务站(瑞丽方向）充电站，位于杭瑞高速崇阳服务站(瑞丽方向），现有4台120kW一机一枪直流充电桩。</w:t>
      </w:r>
    </w:p>
    <w:p>
      <w:pPr>
        <w:adjustRightInd w:val="0"/>
        <w:snapToGrid w:val="0"/>
        <w:ind w:firstLine="560"/>
        <w:rPr>
          <w:rFonts w:eastAsia="仿宋_GB2312" w:cs="Times New Roman"/>
          <w:bCs/>
        </w:rPr>
      </w:pPr>
      <w:r>
        <w:rPr>
          <w:rFonts w:eastAsia="仿宋_GB2312" w:cs="Times New Roman"/>
          <w:bCs/>
        </w:rPr>
        <w:t>10）杭瑞高速崇阳服务站(杭州方向）充电站，位于杭瑞高速崇阳服务站(杭州方向），现有4台120kW一机一枪直流充电桩。</w:t>
      </w:r>
    </w:p>
    <w:p>
      <w:pPr>
        <w:adjustRightInd w:val="0"/>
        <w:snapToGrid w:val="0"/>
        <w:ind w:firstLine="560"/>
        <w:rPr>
          <w:rFonts w:eastAsia="仿宋_GB2312" w:cs="Times New Roman"/>
          <w:bCs/>
        </w:rPr>
      </w:pPr>
      <w:r>
        <w:rPr>
          <w:rFonts w:eastAsia="仿宋_GB2312" w:cs="Times New Roman"/>
          <w:bCs/>
        </w:rPr>
        <w:t>11）武汉小充科技有限公司（茶庵岭服务区）充电站，位于武深高速茶庵岭服务区西区，现有10台60kW一机一枪直流充电桩。</w:t>
      </w:r>
    </w:p>
    <w:p>
      <w:pPr>
        <w:adjustRightInd w:val="0"/>
        <w:snapToGrid w:val="0"/>
        <w:ind w:firstLine="560"/>
        <w:rPr>
          <w:rFonts w:eastAsia="仿宋_GB2312" w:cs="Times New Roman"/>
          <w:bCs/>
        </w:rPr>
      </w:pPr>
      <w:r>
        <w:rPr>
          <w:rFonts w:eastAsia="仿宋_GB2312" w:cs="Times New Roman"/>
          <w:bCs/>
        </w:rPr>
        <w:t>12）武深高速嘉鱼南服务区（深圳方向）充电站，位于武深高速嘉鱼南服务区（深圳方向），现有4台120kW一机两枪直流充电桩。</w:t>
      </w:r>
    </w:p>
    <w:p>
      <w:pPr>
        <w:adjustRightInd w:val="0"/>
        <w:snapToGrid w:val="0"/>
        <w:ind w:firstLine="560"/>
        <w:rPr>
          <w:rFonts w:eastAsia="仿宋_GB2312" w:cs="Times New Roman"/>
          <w:bCs/>
        </w:rPr>
      </w:pPr>
      <w:r>
        <w:rPr>
          <w:rFonts w:eastAsia="仿宋_GB2312" w:cs="Times New Roman"/>
          <w:bCs/>
        </w:rPr>
        <w:t>13）武深高速嘉鱼东服务区（深圳方向）充电站，位于武深高速嘉鱼东服务区（深圳方向），现有5台120kW一机两枪直流充电桩。</w:t>
      </w:r>
    </w:p>
    <w:p>
      <w:pPr>
        <w:adjustRightInd w:val="0"/>
        <w:snapToGrid w:val="0"/>
        <w:ind w:firstLine="0" w:firstLineChars="0"/>
        <w:jc w:val="center"/>
        <w:rPr>
          <w:rFonts w:eastAsia="仿宋_GB2312" w:cs="Times New Roman"/>
          <w:bCs/>
        </w:rPr>
      </w:pPr>
      <w:r>
        <w:rPr>
          <w:rFonts w:eastAsia="仿宋_GB2312" w:cs="Times New Roman"/>
          <w:bCs/>
        </w:rPr>
        <w:drawing>
          <wp:inline distT="0" distB="0" distL="114300" distR="114300">
            <wp:extent cx="3839845" cy="2879725"/>
            <wp:effectExtent l="0" t="0" r="635" b="635"/>
            <wp:docPr id="5" name="图片 5" descr="IMG_20220627_1106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IMG_20220627_110603"/>
                    <pic:cNvPicPr>
                      <a:picLocks noChangeAspect="true"/>
                    </pic:cNvPicPr>
                  </pic:nvPicPr>
                  <pic:blipFill>
                    <a:blip r:embed="rId21"/>
                    <a:stretch>
                      <a:fillRect/>
                    </a:stretch>
                  </pic:blipFill>
                  <pic:spPr>
                    <a:xfrm>
                      <a:off x="0" y="0"/>
                      <a:ext cx="3839845" cy="2879725"/>
                    </a:xfrm>
                    <a:prstGeom prst="rect">
                      <a:avLst/>
                    </a:prstGeom>
                  </pic:spPr>
                </pic:pic>
              </a:graphicData>
            </a:graphic>
          </wp:inline>
        </w:drawing>
      </w:r>
    </w:p>
    <w:p>
      <w:pPr>
        <w:pStyle w:val="19"/>
        <w:adjustRightInd w:val="0"/>
        <w:snapToGrid w:val="0"/>
        <w:rPr>
          <w:rFonts w:eastAsia="仿宋_GB2312" w:cs="Times New Roman"/>
          <w:bCs/>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bCs/>
        </w:rPr>
        <w:t>武深高速嘉鱼东服务区（深圳方向）充电站</w:t>
      </w:r>
    </w:p>
    <w:p>
      <w:pPr>
        <w:pStyle w:val="19"/>
        <w:adjustRightInd w:val="0"/>
        <w:snapToGrid w:val="0"/>
        <w:ind w:firstLine="560"/>
        <w:rPr>
          <w:rFonts w:eastAsia="仿宋_GB2312" w:cs="Times New Roman"/>
        </w:rPr>
      </w:pPr>
    </w:p>
    <w:p>
      <w:pPr>
        <w:pStyle w:val="19"/>
        <w:adjustRightInd w:val="0"/>
        <w:snapToGrid w:val="0"/>
        <w:ind w:firstLine="560"/>
        <w:rPr>
          <w:rFonts w:eastAsia="仿宋_GB2312" w:cs="Times New Roman"/>
        </w:rPr>
      </w:pPr>
    </w:p>
    <w:p>
      <w:pPr>
        <w:pStyle w:val="19"/>
        <w:adjustRightInd w:val="0"/>
        <w:snapToGrid w:val="0"/>
        <w:ind w:firstLine="560"/>
        <w:rPr>
          <w:rFonts w:eastAsia="仿宋_GB2312" w:cs="Times New Roman"/>
        </w:rPr>
      </w:pPr>
    </w:p>
    <w:p>
      <w:pPr>
        <w:pStyle w:val="19"/>
        <w:adjustRightInd w:val="0"/>
        <w:snapToGrid w:val="0"/>
        <w:ind w:firstLine="560"/>
        <w:rPr>
          <w:rFonts w:eastAsia="仿宋_GB2312" w:cs="Times New Roman"/>
          <w:bCs/>
          <w:szCs w:val="24"/>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t xml:space="preserve"> 咸宁市</w:t>
      </w:r>
      <w:r>
        <w:rPr>
          <w:rFonts w:eastAsia="仿宋_GB2312" w:cs="Times New Roman"/>
          <w:bCs/>
          <w:szCs w:val="24"/>
        </w:rPr>
        <w:t>现有高速充电站规模明细表</w:t>
      </w:r>
    </w:p>
    <w:tbl>
      <w:tblPr>
        <w:tblStyle w:val="76"/>
        <w:tblW w:w="5007" w:type="pct"/>
        <w:tblInd w:w="0" w:type="dxa"/>
        <w:tblLayout w:type="autofit"/>
        <w:tblCellMar>
          <w:top w:w="0" w:type="dxa"/>
          <w:left w:w="0" w:type="dxa"/>
          <w:bottom w:w="0" w:type="dxa"/>
          <w:right w:w="0" w:type="dxa"/>
        </w:tblCellMar>
      </w:tblPr>
      <w:tblGrid>
        <w:gridCol w:w="755"/>
        <w:gridCol w:w="2780"/>
        <w:gridCol w:w="3025"/>
        <w:gridCol w:w="839"/>
        <w:gridCol w:w="929"/>
      </w:tblGrid>
      <w:tr>
        <w:tblPrEx>
          <w:tblCellMar>
            <w:top w:w="0" w:type="dxa"/>
            <w:left w:w="0" w:type="dxa"/>
            <w:bottom w:w="0" w:type="dxa"/>
            <w:right w:w="0" w:type="dxa"/>
          </w:tblCellMar>
        </w:tblPrEx>
        <w:trPr>
          <w:trHeight w:val="90" w:hRule="atLeast"/>
          <w:tblHeader/>
        </w:trPr>
        <w:tc>
          <w:tcPr>
            <w:tcW w:w="45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状桩数</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充电功率</w:t>
            </w:r>
          </w:p>
        </w:tc>
      </w:tr>
      <w:tr>
        <w:tblPrEx>
          <w:tblCellMar>
            <w:top w:w="0" w:type="dxa"/>
            <w:left w:w="0" w:type="dxa"/>
            <w:bottom w:w="0" w:type="dxa"/>
            <w:right w:w="0" w:type="dxa"/>
          </w:tblCellMar>
        </w:tblPrEx>
        <w:trPr>
          <w:trHeight w:val="148"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京港澳高速咸宁服务区（北京方向）充电站</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148"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京港澳高速咸宁服务区（港澳方向）充电站</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148"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国家电网充电站（京港澳高速赤壁服务区北京方向）</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现有4台120kW一机两枪直流充电桩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148"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国家电网充电站（京港澳高速赤壁服务区港澳方向）</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现有4台120kW一机两枪直流充电桩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148"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国家电网充电站（大广高速燕</w:t>
            </w:r>
            <w:r>
              <w:rPr>
                <w:rFonts w:eastAsia="仿宋_GB2312" w:cs="Times New Roman"/>
                <w:bCs/>
                <w:sz w:val="21"/>
                <w:szCs w:val="21"/>
              </w:rPr>
              <w:t>厦</w:t>
            </w:r>
            <w:r>
              <w:rPr>
                <w:rFonts w:eastAsia="仿宋_GB2312" w:cs="Times New Roman"/>
                <w:color w:val="000000"/>
                <w:kern w:val="0"/>
                <w:sz w:val="21"/>
              </w:rPr>
              <w:t>服务区广州方向）</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现有2台120kW一机两枪直流充电桩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w:t>
            </w:r>
          </w:p>
        </w:tc>
      </w:tr>
      <w:tr>
        <w:tblPrEx>
          <w:tblCellMar>
            <w:top w:w="0" w:type="dxa"/>
            <w:left w:w="0" w:type="dxa"/>
            <w:bottom w:w="0" w:type="dxa"/>
            <w:right w:w="0" w:type="dxa"/>
          </w:tblCellMar>
        </w:tblPrEx>
        <w:trPr>
          <w:trHeight w:val="148"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国家电网充电站（大广高速燕</w:t>
            </w:r>
            <w:r>
              <w:rPr>
                <w:rFonts w:eastAsia="仿宋_GB2312" w:cs="Times New Roman"/>
                <w:bCs/>
                <w:sz w:val="21"/>
                <w:szCs w:val="21"/>
              </w:rPr>
              <w:t>厦</w:t>
            </w:r>
            <w:r>
              <w:rPr>
                <w:rFonts w:eastAsia="仿宋_GB2312" w:cs="Times New Roman"/>
                <w:color w:val="000000"/>
                <w:kern w:val="0"/>
                <w:sz w:val="21"/>
              </w:rPr>
              <w:t>服务区北京方向）</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现有2台120kW一机两枪直流充电桩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w:t>
            </w:r>
          </w:p>
        </w:tc>
      </w:tr>
      <w:tr>
        <w:tblPrEx>
          <w:tblCellMar>
            <w:top w:w="0" w:type="dxa"/>
            <w:left w:w="0" w:type="dxa"/>
            <w:bottom w:w="0" w:type="dxa"/>
            <w:right w:w="0" w:type="dxa"/>
          </w:tblCellMar>
        </w:tblPrEx>
        <w:trPr>
          <w:trHeight w:val="148"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蕲嘉高速嘉鱼服务区（嘉鱼方向）充电站</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现有2台120kW一机两枪直流充电桩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w:t>
            </w:r>
          </w:p>
        </w:tc>
      </w:tr>
      <w:tr>
        <w:tblPrEx>
          <w:tblCellMar>
            <w:top w:w="0" w:type="dxa"/>
            <w:left w:w="0" w:type="dxa"/>
            <w:bottom w:w="0" w:type="dxa"/>
            <w:right w:w="0" w:type="dxa"/>
          </w:tblCellMar>
        </w:tblPrEx>
        <w:trPr>
          <w:trHeight w:val="148"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蕲嘉高速嘉鱼服务区（蕲春方向）充电站</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现有2台120kW一机两枪直流充电桩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w:t>
            </w:r>
          </w:p>
        </w:tc>
      </w:tr>
      <w:tr>
        <w:tblPrEx>
          <w:tblCellMar>
            <w:top w:w="0" w:type="dxa"/>
            <w:left w:w="0" w:type="dxa"/>
            <w:bottom w:w="0" w:type="dxa"/>
            <w:right w:w="0" w:type="dxa"/>
          </w:tblCellMar>
        </w:tblPrEx>
        <w:trPr>
          <w:trHeight w:val="148"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杭瑞高速崇阳服务站(瑞丽方向）充电站</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148"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杭瑞高速崇阳服务站(杭州方向）充电站</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444"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11</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武汉小充科技有限公司（茶庵岭服务区）充电站</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现有10台60kW一机一枪直流充电桩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600</w:t>
            </w:r>
          </w:p>
        </w:tc>
      </w:tr>
      <w:tr>
        <w:tblPrEx>
          <w:tblCellMar>
            <w:top w:w="0" w:type="dxa"/>
            <w:left w:w="0" w:type="dxa"/>
            <w:bottom w:w="0" w:type="dxa"/>
            <w:right w:w="0" w:type="dxa"/>
          </w:tblCellMar>
        </w:tblPrEx>
        <w:trPr>
          <w:trHeight w:val="444"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武深高速嘉鱼南服务区（深圳方向）充电站</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现有4台120kW一机两枪直流充电桩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444"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13</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武深高速嘉鱼东服务区（深圳方向）充电站</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现有5台120kW一机两枪直流充电桩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600</w:t>
            </w:r>
          </w:p>
        </w:tc>
      </w:tr>
      <w:tr>
        <w:tblPrEx>
          <w:tblCellMar>
            <w:top w:w="0" w:type="dxa"/>
            <w:left w:w="0" w:type="dxa"/>
            <w:bottom w:w="0" w:type="dxa"/>
            <w:right w:w="0" w:type="dxa"/>
          </w:tblCellMar>
        </w:tblPrEx>
        <w:trPr>
          <w:trHeight w:val="90" w:hRule="atLeast"/>
        </w:trPr>
        <w:tc>
          <w:tcPr>
            <w:tcW w:w="45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50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76</w:t>
            </w:r>
          </w:p>
        </w:tc>
        <w:tc>
          <w:tcPr>
            <w:tcW w:w="55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5520</w:t>
            </w:r>
          </w:p>
        </w:tc>
      </w:tr>
    </w:tbl>
    <w:p>
      <w:pPr>
        <w:pStyle w:val="5"/>
        <w:adjustRightInd w:val="0"/>
        <w:snapToGrid w:val="0"/>
        <w:spacing w:before="156" w:beforeLines="50" w:after="156" w:afterLines="50"/>
        <w:rPr>
          <w:rFonts w:eastAsia="仿宋_GB2312" w:cs="Times New Roman"/>
        </w:rPr>
      </w:pPr>
      <w:r>
        <w:rPr>
          <w:rFonts w:eastAsia="仿宋_GB2312" w:cs="Times New Roman"/>
        </w:rPr>
        <w:t>咸安区充电设施现状</w:t>
      </w:r>
    </w:p>
    <w:p>
      <w:pPr>
        <w:pStyle w:val="19"/>
        <w:adjustRightInd w:val="0"/>
        <w:snapToGrid w:val="0"/>
        <w:spacing w:line="360" w:lineRule="auto"/>
        <w:ind w:firstLine="560" w:firstLineChars="200"/>
        <w:jc w:val="both"/>
        <w:rPr>
          <w:rFonts w:eastAsia="仿宋_GB2312" w:cs="Times New Roman"/>
        </w:rPr>
      </w:pPr>
      <w:r>
        <w:rPr>
          <w:rFonts w:eastAsia="仿宋_GB2312" w:cs="Times New Roman"/>
          <w:b w:val="0"/>
          <w:bCs/>
          <w:sz w:val="28"/>
          <w:szCs w:val="28"/>
        </w:rPr>
        <w:t>截至2021年底咸安区有充电站40个，充电桩294个，直流快充桩255个，交流慢充桩39个，充电总功率22413kW。其中高速服务区充电站2个，充电桩8个；公交充电站6座，充电桩80个；公共充电站28座，充电桩182个；物流专用充电站4座，充电桩24个。</w:t>
      </w:r>
    </w:p>
    <w:p>
      <w:pPr>
        <w:adjustRightInd w:val="0"/>
        <w:snapToGrid w:val="0"/>
        <w:ind w:left="560" w:firstLine="0" w:firstLineChars="0"/>
        <w:rPr>
          <w:rFonts w:eastAsia="仿宋_GB2312" w:cs="Times New Roman"/>
          <w:b/>
        </w:rPr>
      </w:pPr>
      <w:r>
        <w:rPr>
          <w:rFonts w:eastAsia="仿宋_GB2312" w:cs="Times New Roman"/>
          <w:b/>
        </w:rPr>
        <w:t>1.公交充电站</w:t>
      </w:r>
    </w:p>
    <w:p>
      <w:pPr>
        <w:adjustRightInd w:val="0"/>
        <w:snapToGrid w:val="0"/>
        <w:ind w:firstLine="560"/>
        <w:rPr>
          <w:rFonts w:eastAsia="仿宋_GB2312" w:cs="Times New Roman"/>
          <w:bCs/>
        </w:rPr>
      </w:pPr>
      <w:r>
        <w:rPr>
          <w:rFonts w:eastAsia="仿宋_GB2312" w:cs="Times New Roman"/>
          <w:bCs/>
        </w:rPr>
        <w:t>1）咸宁市横沟东站兴泰充电站，位于咸安区横沟桥镇发展路横沟东站对面，现有6台120kW一机一枪直流充电桩。</w:t>
      </w:r>
    </w:p>
    <w:p>
      <w:pPr>
        <w:adjustRightInd w:val="0"/>
        <w:snapToGrid w:val="0"/>
        <w:ind w:firstLine="560"/>
        <w:rPr>
          <w:rFonts w:eastAsia="仿宋_GB2312" w:cs="Times New Roman"/>
          <w:bCs/>
        </w:rPr>
      </w:pPr>
      <w:r>
        <w:rPr>
          <w:rFonts w:eastAsia="仿宋_GB2312" w:cs="Times New Roman"/>
          <w:bCs/>
        </w:rPr>
        <w:t xml:space="preserve"> 2）横沟桥镇东站充电站，位于横沟桥东站，现有1台120kW一机一枪直流充电桩。</w:t>
      </w:r>
    </w:p>
    <w:p>
      <w:pPr>
        <w:adjustRightInd w:val="0"/>
        <w:snapToGrid w:val="0"/>
        <w:ind w:firstLine="560"/>
        <w:rPr>
          <w:rFonts w:eastAsia="仿宋_GB2312" w:cs="Times New Roman"/>
          <w:bCs/>
        </w:rPr>
      </w:pPr>
      <w:r>
        <w:rPr>
          <w:rFonts w:eastAsia="仿宋_GB2312" w:cs="Times New Roman"/>
          <w:bCs/>
        </w:rPr>
        <w:t>3）咸宁市枫丹公交（广东畈村）充电站，位于向阳湖镇广东畈村北枫桥，现有25台60kW一机一枪和7台120kW一机一枪直流充电桩。</w:t>
      </w:r>
    </w:p>
    <w:p>
      <w:pPr>
        <w:adjustRightInd w:val="0"/>
        <w:snapToGrid w:val="0"/>
        <w:ind w:firstLine="560"/>
        <w:rPr>
          <w:rFonts w:eastAsia="仿宋_GB2312" w:cs="Times New Roman"/>
          <w:bCs/>
        </w:rPr>
      </w:pPr>
      <w:r>
        <w:rPr>
          <w:rFonts w:eastAsia="仿宋_GB2312" w:cs="Times New Roman"/>
          <w:bCs/>
        </w:rPr>
        <w:t>4）咸宁市枫丹公交（渡船村）充电站，位于官埠桥镇渡船村渡船村九组义乌小商品旁边，现有2台60kW一机一枪和12台120kW一机一枪直流充电桩。</w:t>
      </w:r>
    </w:p>
    <w:p>
      <w:pPr>
        <w:adjustRightInd w:val="0"/>
        <w:snapToGrid w:val="0"/>
        <w:ind w:firstLine="560"/>
        <w:rPr>
          <w:rFonts w:eastAsia="仿宋_GB2312" w:cs="Times New Roman"/>
          <w:bCs/>
        </w:rPr>
      </w:pPr>
      <w:r>
        <w:rPr>
          <w:rFonts w:eastAsia="仿宋_GB2312" w:cs="Times New Roman"/>
          <w:bCs/>
        </w:rPr>
        <w:t>5）咸宁市枫丹公交（严洲村）充电站，位于马桥镇严洲村马桥街道，现有19台60kW一机一枪和4台120kW一机一枪直流充电桩。</w:t>
      </w:r>
    </w:p>
    <w:p>
      <w:pPr>
        <w:adjustRightInd w:val="0"/>
        <w:snapToGrid w:val="0"/>
        <w:ind w:firstLine="560"/>
        <w:rPr>
          <w:rFonts w:eastAsia="仿宋_GB2312" w:cs="Times New Roman"/>
          <w:bCs/>
        </w:rPr>
      </w:pPr>
      <w:r>
        <w:rPr>
          <w:rFonts w:eastAsia="仿宋_GB2312" w:cs="Times New Roman"/>
          <w:bCs/>
        </w:rPr>
        <w:t>6）联投置业(咸宁)有限公司充电站，位于贺胜镇梓山湖新城，现有2台120kW一机两枪直流充电桩。</w:t>
      </w:r>
    </w:p>
    <w:p>
      <w:pPr>
        <w:pStyle w:val="19"/>
        <w:adjustRightInd w:val="0"/>
        <w:snapToGrid w:val="0"/>
        <w:ind w:firstLine="560"/>
        <w:rPr>
          <w:rFonts w:eastAsia="仿宋_GB2312" w:cs="Times New Roman"/>
          <w:bCs/>
          <w:szCs w:val="24"/>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7</w:t>
      </w:r>
      <w:r>
        <w:rPr>
          <w:rFonts w:eastAsia="仿宋_GB2312" w:cs="Times New Roman"/>
        </w:rPr>
        <w:fldChar w:fldCharType="end"/>
      </w:r>
      <w:r>
        <w:rPr>
          <w:rFonts w:eastAsia="仿宋_GB2312" w:cs="Times New Roman"/>
        </w:rPr>
        <w:t xml:space="preserve"> </w:t>
      </w:r>
      <w:r>
        <w:rPr>
          <w:rFonts w:eastAsia="仿宋_GB2312" w:cs="Times New Roman"/>
          <w:bCs/>
          <w:szCs w:val="24"/>
        </w:rPr>
        <w:t>咸安区现有公交充电站规模明细表</w:t>
      </w:r>
    </w:p>
    <w:tbl>
      <w:tblPr>
        <w:tblStyle w:val="76"/>
        <w:tblW w:w="4998" w:type="pct"/>
        <w:tblInd w:w="0" w:type="dxa"/>
        <w:tblLayout w:type="autofit"/>
        <w:tblCellMar>
          <w:top w:w="0" w:type="dxa"/>
          <w:left w:w="0" w:type="dxa"/>
          <w:bottom w:w="0" w:type="dxa"/>
          <w:right w:w="0" w:type="dxa"/>
        </w:tblCellMar>
      </w:tblPr>
      <w:tblGrid>
        <w:gridCol w:w="752"/>
        <w:gridCol w:w="2774"/>
        <w:gridCol w:w="3019"/>
        <w:gridCol w:w="838"/>
        <w:gridCol w:w="930"/>
      </w:tblGrid>
      <w:tr>
        <w:tblPrEx>
          <w:tblCellMar>
            <w:top w:w="0" w:type="dxa"/>
            <w:left w:w="0" w:type="dxa"/>
            <w:bottom w:w="0" w:type="dxa"/>
            <w:right w:w="0" w:type="dxa"/>
          </w:tblCellMar>
        </w:tblPrEx>
        <w:trPr>
          <w:trHeight w:val="142" w:hRule="atLeast"/>
          <w:tblHeader/>
        </w:trPr>
        <w:tc>
          <w:tcPr>
            <w:tcW w:w="45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现状桩数</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充电功率</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咸宁市横沟东站兴泰充电站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现有6台60kW一机一枪直流充电桩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360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横沟桥镇东站充电站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1台120kW一机一枪直流充电桩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咸宁市枫丹公交（广东畈村）充电站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现有25台60kW一机一枪和7台120kW一机一枪直流充电桩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32</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2340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咸宁市枫丹公交（渡船村）充电站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现有2台60kW一机一枪和12台120kW一机一枪直流充电桩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14</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1560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咸宁市枫丹公交（严洲村）充电站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现有19台60kW一机一枪和4台120kW一机一枪直流充电桩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23</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1620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联投置业(咸宁)有限公司充电站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现有2台120kW一机两枪直流充电桩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w:t>
            </w:r>
          </w:p>
        </w:tc>
      </w:tr>
      <w:tr>
        <w:tblPrEx>
          <w:tblCellMar>
            <w:top w:w="0" w:type="dxa"/>
            <w:left w:w="0" w:type="dxa"/>
            <w:bottom w:w="0" w:type="dxa"/>
            <w:right w:w="0" w:type="dxa"/>
          </w:tblCellMar>
        </w:tblPrEx>
        <w:trPr>
          <w:trHeight w:val="142"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50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80</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6240</w:t>
            </w:r>
          </w:p>
        </w:tc>
      </w:tr>
    </w:tbl>
    <w:p>
      <w:pPr>
        <w:adjustRightInd w:val="0"/>
        <w:snapToGrid w:val="0"/>
        <w:spacing w:before="156" w:beforeLines="50"/>
        <w:ind w:left="560" w:firstLine="0" w:firstLineChars="0"/>
        <w:rPr>
          <w:rFonts w:eastAsia="仿宋_GB2312" w:cs="Times New Roman"/>
          <w:b/>
        </w:rPr>
      </w:pPr>
      <w:r>
        <w:rPr>
          <w:rFonts w:eastAsia="仿宋_GB2312" w:cs="Times New Roman"/>
          <w:b/>
        </w:rPr>
        <w:t>2.物流园充电站</w:t>
      </w:r>
    </w:p>
    <w:p>
      <w:pPr>
        <w:adjustRightInd w:val="0"/>
        <w:snapToGrid w:val="0"/>
        <w:ind w:firstLine="560"/>
        <w:rPr>
          <w:rFonts w:eastAsia="仿宋_GB2312" w:cs="Times New Roman"/>
          <w:bCs/>
        </w:rPr>
      </w:pPr>
      <w:r>
        <w:rPr>
          <w:rFonts w:eastAsia="仿宋_GB2312" w:cs="Times New Roman"/>
          <w:bCs/>
        </w:rPr>
        <w:t>1）甘棠京港物流充电站，位于甘棠京港物流园区，现有2台60kW一机一枪直流充电桩。</w:t>
      </w:r>
    </w:p>
    <w:p>
      <w:pPr>
        <w:adjustRightInd w:val="0"/>
        <w:snapToGrid w:val="0"/>
        <w:ind w:firstLine="560"/>
        <w:rPr>
          <w:rFonts w:eastAsia="仿宋_GB2312" w:cs="Times New Roman"/>
          <w:bCs/>
        </w:rPr>
      </w:pPr>
      <w:r>
        <w:rPr>
          <w:rFonts w:eastAsia="仿宋_GB2312" w:cs="Times New Roman"/>
          <w:bCs/>
        </w:rPr>
        <w:t xml:space="preserve"> 2）咸宁市好吃佬物流充电站，位于咸宁市好吃佬物流园区，现有5台120kW一机两枪直流充电桩。</w:t>
      </w:r>
    </w:p>
    <w:p>
      <w:pPr>
        <w:adjustRightInd w:val="0"/>
        <w:snapToGrid w:val="0"/>
        <w:ind w:firstLine="560"/>
        <w:rPr>
          <w:rFonts w:eastAsia="仿宋_GB2312" w:cs="Times New Roman"/>
          <w:bCs/>
        </w:rPr>
      </w:pPr>
      <w:r>
        <w:rPr>
          <w:rFonts w:eastAsia="仿宋_GB2312" w:cs="Times New Roman"/>
          <w:bCs/>
        </w:rPr>
        <w:t>3）咸宁捷利泉都现代物流产业园充电站，位于咸安区咸宁高新区武咸快速通道旁，现有5台120kW一机两枪直流充电桩。</w:t>
      </w:r>
    </w:p>
    <w:p>
      <w:pPr>
        <w:adjustRightInd w:val="0"/>
        <w:snapToGrid w:val="0"/>
        <w:ind w:firstLine="0" w:firstLineChars="0"/>
        <w:jc w:val="center"/>
        <w:rPr>
          <w:rFonts w:eastAsia="仿宋_GB2312" w:cs="Times New Roman"/>
          <w:bCs/>
        </w:rPr>
      </w:pPr>
      <w:r>
        <w:rPr>
          <w:rFonts w:eastAsia="仿宋_GB2312" w:cs="Times New Roman"/>
          <w:bCs/>
        </w:rPr>
        <w:drawing>
          <wp:inline distT="0" distB="0" distL="114300" distR="114300">
            <wp:extent cx="2591435" cy="1943735"/>
            <wp:effectExtent l="0" t="0" r="14605" b="6985"/>
            <wp:docPr id="14" name="图片 14" descr="IMG_20220623_1154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14" descr="IMG_20220623_115404"/>
                    <pic:cNvPicPr>
                      <a:picLocks noChangeAspect="true"/>
                    </pic:cNvPicPr>
                  </pic:nvPicPr>
                  <pic:blipFill>
                    <a:blip r:embed="rId22"/>
                    <a:stretch>
                      <a:fillRect/>
                    </a:stretch>
                  </pic:blipFill>
                  <pic:spPr>
                    <a:xfrm>
                      <a:off x="0" y="0"/>
                      <a:ext cx="2591435" cy="1943735"/>
                    </a:xfrm>
                    <a:prstGeom prst="rect">
                      <a:avLst/>
                    </a:prstGeom>
                  </pic:spPr>
                </pic:pic>
              </a:graphicData>
            </a:graphic>
          </wp:inline>
        </w:drawing>
      </w:r>
      <w:r>
        <w:rPr>
          <w:rFonts w:eastAsia="仿宋_GB2312" w:cs="Times New Roman"/>
          <w:bCs/>
        </w:rPr>
        <w:drawing>
          <wp:inline distT="0" distB="0" distL="114300" distR="114300">
            <wp:extent cx="2591435" cy="1943735"/>
            <wp:effectExtent l="0" t="0" r="14605" b="6985"/>
            <wp:docPr id="15" name="图片 15" descr="IMG_20220623_1154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5" descr="IMG_20220623_115410"/>
                    <pic:cNvPicPr>
                      <a:picLocks noChangeAspect="true"/>
                    </pic:cNvPicPr>
                  </pic:nvPicPr>
                  <pic:blipFill>
                    <a:blip r:embed="rId23"/>
                    <a:stretch>
                      <a:fillRect/>
                    </a:stretch>
                  </pic:blipFill>
                  <pic:spPr>
                    <a:xfrm>
                      <a:off x="0" y="0"/>
                      <a:ext cx="2591435" cy="1943735"/>
                    </a:xfrm>
                    <a:prstGeom prst="rect">
                      <a:avLst/>
                    </a:prstGeom>
                  </pic:spPr>
                </pic:pic>
              </a:graphicData>
            </a:graphic>
          </wp:inline>
        </w:drawing>
      </w:r>
    </w:p>
    <w:p>
      <w:pPr>
        <w:pStyle w:val="19"/>
        <w:adjustRightInd w:val="0"/>
        <w:snapToGrid w:val="0"/>
        <w:rPr>
          <w:rFonts w:eastAsia="仿宋_GB2312" w:cs="Times New Roman"/>
          <w:bCs/>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bCs/>
        </w:rPr>
        <w:t>咸宁捷利泉都现代物流产业园充电站</w:t>
      </w:r>
    </w:p>
    <w:p>
      <w:pPr>
        <w:adjustRightInd w:val="0"/>
        <w:snapToGrid w:val="0"/>
        <w:ind w:firstLine="560"/>
        <w:rPr>
          <w:rFonts w:eastAsia="仿宋_GB2312" w:cs="Times New Roman"/>
          <w:bCs/>
        </w:rPr>
      </w:pPr>
      <w:r>
        <w:rPr>
          <w:rFonts w:eastAsia="仿宋_GB2312" w:cs="Times New Roman"/>
          <w:bCs/>
        </w:rPr>
        <w:t>4）咸宁市华信物流充电站，位于咸宁市华信物流园，现有2台120kW一机一枪直流充电桩。</w:t>
      </w:r>
    </w:p>
    <w:p>
      <w:pPr>
        <w:pStyle w:val="19"/>
        <w:adjustRightInd w:val="0"/>
        <w:snapToGrid w:val="0"/>
        <w:ind w:firstLine="560"/>
        <w:rPr>
          <w:rFonts w:eastAsia="仿宋_GB2312" w:cs="Times New Roman"/>
          <w:bCs/>
          <w:szCs w:val="24"/>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8</w:t>
      </w:r>
      <w:r>
        <w:rPr>
          <w:rFonts w:eastAsia="仿宋_GB2312" w:cs="Times New Roman"/>
        </w:rPr>
        <w:fldChar w:fldCharType="end"/>
      </w:r>
      <w:r>
        <w:rPr>
          <w:rFonts w:eastAsia="仿宋_GB2312" w:cs="Times New Roman"/>
        </w:rPr>
        <w:t xml:space="preserve"> </w:t>
      </w:r>
      <w:r>
        <w:rPr>
          <w:rFonts w:eastAsia="仿宋_GB2312" w:cs="Times New Roman"/>
          <w:bCs/>
          <w:szCs w:val="24"/>
        </w:rPr>
        <w:t>咸安区现有物流充电站规模明细表</w:t>
      </w:r>
    </w:p>
    <w:tbl>
      <w:tblPr>
        <w:tblStyle w:val="76"/>
        <w:tblW w:w="8394" w:type="dxa"/>
        <w:tblInd w:w="0" w:type="dxa"/>
        <w:tblLayout w:type="autofit"/>
        <w:tblCellMar>
          <w:top w:w="0" w:type="dxa"/>
          <w:left w:w="0" w:type="dxa"/>
          <w:bottom w:w="0" w:type="dxa"/>
          <w:right w:w="0" w:type="dxa"/>
        </w:tblCellMar>
      </w:tblPr>
      <w:tblGrid>
        <w:gridCol w:w="431"/>
        <w:gridCol w:w="3111"/>
        <w:gridCol w:w="3231"/>
        <w:gridCol w:w="802"/>
        <w:gridCol w:w="819"/>
      </w:tblGrid>
      <w:tr>
        <w:tblPrEx>
          <w:tblCellMar>
            <w:top w:w="0" w:type="dxa"/>
            <w:left w:w="0" w:type="dxa"/>
            <w:bottom w:w="0" w:type="dxa"/>
            <w:right w:w="0" w:type="dxa"/>
          </w:tblCellMar>
        </w:tblPrEx>
        <w:trPr>
          <w:trHeight w:val="71" w:hRule="atLeast"/>
          <w:tblHead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现状桩数</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充电功率</w:t>
            </w:r>
          </w:p>
        </w:tc>
      </w:tr>
      <w:tr>
        <w:tblPrEx>
          <w:tblCellMar>
            <w:top w:w="0" w:type="dxa"/>
            <w:left w:w="0" w:type="dxa"/>
            <w:bottom w:w="0" w:type="dxa"/>
            <w:right w:w="0" w:type="dxa"/>
          </w:tblCellMar>
        </w:tblPrEx>
        <w:trPr>
          <w:trHeight w:val="117"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甘棠京港物流充电站</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现有2台60kW一机一枪直流充电桩</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120</w:t>
            </w:r>
          </w:p>
        </w:tc>
      </w:tr>
      <w:tr>
        <w:tblPrEx>
          <w:tblCellMar>
            <w:top w:w="0" w:type="dxa"/>
            <w:left w:w="0" w:type="dxa"/>
            <w:bottom w:w="0" w:type="dxa"/>
            <w:right w:w="0" w:type="dxa"/>
          </w:tblCellMar>
        </w:tblPrEx>
        <w:trPr>
          <w:trHeight w:val="117"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咸宁市好吃佬物流充电站</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现有5台120kW一机两枪直流充电桩</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600</w:t>
            </w:r>
          </w:p>
        </w:tc>
      </w:tr>
      <w:tr>
        <w:tblPrEx>
          <w:tblCellMar>
            <w:top w:w="0" w:type="dxa"/>
            <w:left w:w="0" w:type="dxa"/>
            <w:bottom w:w="0" w:type="dxa"/>
            <w:right w:w="0" w:type="dxa"/>
          </w:tblCellMar>
        </w:tblPrEx>
        <w:trPr>
          <w:trHeight w:val="117"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咸宁捷利泉都现代物流产业园充电站</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现有5台120kW一机两枪直流充电桩</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600</w:t>
            </w:r>
          </w:p>
        </w:tc>
      </w:tr>
      <w:tr>
        <w:tblPrEx>
          <w:tblCellMar>
            <w:top w:w="0" w:type="dxa"/>
            <w:left w:w="0" w:type="dxa"/>
            <w:bottom w:w="0" w:type="dxa"/>
            <w:right w:w="0" w:type="dxa"/>
          </w:tblCellMar>
        </w:tblPrEx>
        <w:trPr>
          <w:trHeight w:val="117"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bookmarkStart w:id="63" w:name="_Hlk109222714"/>
            <w:r>
              <w:rPr>
                <w:rFonts w:eastAsia="仿宋_GB2312" w:cs="Times New Roman"/>
                <w:color w:val="000000"/>
                <w:kern w:val="0"/>
                <w:sz w:val="21"/>
              </w:rPr>
              <w:t>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咸宁市华信物流充电站</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bookmarkStart w:id="64" w:name="OLE_LINK10"/>
            <w:r>
              <w:rPr>
                <w:rFonts w:eastAsia="仿宋_GB2312" w:cs="Times New Roman"/>
                <w:color w:val="000000"/>
                <w:kern w:val="0"/>
                <w:sz w:val="21"/>
              </w:rPr>
              <w:t>现有2台120kW一机一枪直流充电桩</w:t>
            </w:r>
            <w:bookmarkEnd w:id="64"/>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w:t>
            </w:r>
          </w:p>
        </w:tc>
      </w:tr>
      <w:bookmarkEnd w:id="63"/>
      <w:tr>
        <w:tblPrEx>
          <w:tblCellMar>
            <w:top w:w="0" w:type="dxa"/>
            <w:left w:w="0" w:type="dxa"/>
            <w:bottom w:w="0" w:type="dxa"/>
            <w:right w:w="0" w:type="dxa"/>
          </w:tblCellMar>
        </w:tblPrEx>
        <w:trPr>
          <w:trHeight w:val="71"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1560</w:t>
            </w:r>
          </w:p>
        </w:tc>
      </w:tr>
    </w:tbl>
    <w:p>
      <w:pPr>
        <w:numPr>
          <w:ilvl w:val="0"/>
          <w:numId w:val="13"/>
        </w:numPr>
        <w:adjustRightInd w:val="0"/>
        <w:snapToGrid w:val="0"/>
        <w:spacing w:before="156" w:beforeLines="50"/>
        <w:ind w:left="981" w:firstLineChars="0"/>
        <w:rPr>
          <w:rFonts w:eastAsia="仿宋_GB2312" w:cs="Times New Roman"/>
          <w:b/>
        </w:rPr>
      </w:pPr>
      <w:r>
        <w:rPr>
          <w:rFonts w:eastAsia="仿宋_GB2312" w:cs="Times New Roman"/>
          <w:b/>
        </w:rPr>
        <w:t>公共充电站</w:t>
      </w:r>
    </w:p>
    <w:p>
      <w:pPr>
        <w:adjustRightInd w:val="0"/>
        <w:snapToGrid w:val="0"/>
        <w:ind w:firstLine="560"/>
        <w:rPr>
          <w:rFonts w:eastAsia="仿宋_GB2312" w:cs="Times New Roman"/>
          <w:bCs/>
        </w:rPr>
      </w:pPr>
      <w:r>
        <w:rPr>
          <w:rFonts w:eastAsia="仿宋_GB2312" w:cs="Times New Roman"/>
          <w:bCs/>
        </w:rPr>
        <w:t>1）咸安区双泉国家电网充电站，位于甘棠京港物流园区，现有3台60kW一机一枪直流充电桩和11台120kW一机一枪直流充电桩。</w:t>
      </w:r>
    </w:p>
    <w:p>
      <w:pPr>
        <w:adjustRightInd w:val="0"/>
        <w:snapToGrid w:val="0"/>
        <w:ind w:firstLine="560"/>
        <w:rPr>
          <w:rFonts w:eastAsia="仿宋_GB2312" w:cs="Times New Roman"/>
          <w:bCs/>
        </w:rPr>
      </w:pPr>
      <w:r>
        <w:rPr>
          <w:rFonts w:eastAsia="仿宋_GB2312" w:cs="Times New Roman"/>
          <w:bCs/>
        </w:rPr>
        <w:t xml:space="preserve"> 2）咸安区肖桥公租房国家电网充电站，位于咸安区太乙大道肖桥公租房东侧马路斜对面，现有4台120kW一机一枪直流充电桩。</w:t>
      </w:r>
    </w:p>
    <w:p>
      <w:pPr>
        <w:adjustRightInd w:val="0"/>
        <w:snapToGrid w:val="0"/>
        <w:ind w:firstLine="560"/>
        <w:rPr>
          <w:rFonts w:eastAsia="仿宋_GB2312" w:cs="Times New Roman"/>
          <w:bCs/>
        </w:rPr>
      </w:pPr>
      <w:r>
        <w:rPr>
          <w:rFonts w:eastAsia="仿宋_GB2312" w:cs="Times New Roman"/>
          <w:bCs/>
        </w:rPr>
        <w:t>3）国家电网充电站（清华城），位于咸宁市书台街清华城，现有10台7kW一机一枪交流充电桩。</w:t>
      </w:r>
    </w:p>
    <w:p>
      <w:pPr>
        <w:adjustRightInd w:val="0"/>
        <w:snapToGrid w:val="0"/>
        <w:ind w:firstLine="560"/>
        <w:rPr>
          <w:rFonts w:eastAsia="仿宋_GB2312" w:cs="Times New Roman"/>
          <w:bCs/>
        </w:rPr>
      </w:pPr>
      <w:r>
        <w:rPr>
          <w:rFonts w:eastAsia="仿宋_GB2312" w:cs="Times New Roman"/>
          <w:bCs/>
        </w:rPr>
        <w:t>4）咸宁市罗马城小区充电站，位于罗马城小区，现有2台7kW一机一枪交流充电桩。</w:t>
      </w:r>
    </w:p>
    <w:p>
      <w:pPr>
        <w:adjustRightInd w:val="0"/>
        <w:snapToGrid w:val="0"/>
        <w:ind w:firstLine="560"/>
        <w:rPr>
          <w:rFonts w:eastAsia="仿宋_GB2312" w:cs="Times New Roman"/>
          <w:bCs/>
        </w:rPr>
      </w:pPr>
      <w:r>
        <w:rPr>
          <w:rFonts w:eastAsia="仿宋_GB2312" w:cs="Times New Roman"/>
          <w:bCs/>
        </w:rPr>
        <w:t>5）咸宁市九重锦小区充电站，位于咸宁市书台街九重锦小区，现有9台7kW一机一枪交流充电桩。</w:t>
      </w:r>
    </w:p>
    <w:p>
      <w:pPr>
        <w:adjustRightInd w:val="0"/>
        <w:snapToGrid w:val="0"/>
        <w:ind w:firstLine="560"/>
        <w:rPr>
          <w:rFonts w:eastAsia="仿宋_GB2312" w:cs="Times New Roman"/>
          <w:bCs/>
        </w:rPr>
      </w:pPr>
      <w:r>
        <w:rPr>
          <w:rFonts w:eastAsia="仿宋_GB2312" w:cs="Times New Roman"/>
          <w:bCs/>
        </w:rPr>
        <w:t>6）房产金龙小区充电站，位于咸宁市房产金龙小区，现有2台7kW一机一枪交流充电桩。</w:t>
      </w:r>
    </w:p>
    <w:p>
      <w:pPr>
        <w:adjustRightInd w:val="0"/>
        <w:snapToGrid w:val="0"/>
        <w:ind w:firstLine="560"/>
        <w:rPr>
          <w:rFonts w:eastAsia="仿宋_GB2312" w:cs="Times New Roman"/>
          <w:bCs/>
        </w:rPr>
      </w:pPr>
      <w:r>
        <w:rPr>
          <w:rFonts w:eastAsia="仿宋_GB2312" w:cs="Times New Roman"/>
          <w:bCs/>
        </w:rPr>
        <w:t>7）星悦公馆小区充电站，位于咸宁市星悦公馆小区，现有2台7kW一机一枪交流充电桩。</w:t>
      </w:r>
    </w:p>
    <w:p>
      <w:pPr>
        <w:adjustRightInd w:val="0"/>
        <w:snapToGrid w:val="0"/>
        <w:ind w:firstLine="560"/>
        <w:rPr>
          <w:rFonts w:eastAsia="仿宋_GB2312" w:cs="Times New Roman"/>
          <w:bCs/>
        </w:rPr>
      </w:pPr>
      <w:r>
        <w:rPr>
          <w:rFonts w:eastAsia="仿宋_GB2312" w:cs="Times New Roman"/>
          <w:bCs/>
        </w:rPr>
        <w:t>8）咸宁市温泉供电所充电站，位于咸宁市淦河大道温泉供电所，现有2台7kW一机一枪交流充电桩。</w:t>
      </w:r>
    </w:p>
    <w:p>
      <w:pPr>
        <w:adjustRightInd w:val="0"/>
        <w:snapToGrid w:val="0"/>
        <w:ind w:firstLine="560"/>
        <w:rPr>
          <w:rFonts w:eastAsia="仿宋_GB2312" w:cs="Times New Roman"/>
          <w:bCs/>
        </w:rPr>
      </w:pPr>
      <w:r>
        <w:rPr>
          <w:rFonts w:eastAsia="仿宋_GB2312" w:cs="Times New Roman"/>
          <w:bCs/>
        </w:rPr>
        <w:t>9）龙泉佳苑小区充电站，位于咸宁市龙泉佳苑小区，现有12台7kW一机一枪交流充电桩。</w:t>
      </w:r>
    </w:p>
    <w:p>
      <w:pPr>
        <w:adjustRightInd w:val="0"/>
        <w:snapToGrid w:val="0"/>
        <w:ind w:firstLine="560"/>
        <w:rPr>
          <w:rFonts w:eastAsia="仿宋_GB2312" w:cs="Times New Roman"/>
          <w:bCs/>
        </w:rPr>
      </w:pPr>
      <w:r>
        <w:rPr>
          <w:rFonts w:eastAsia="仿宋_GB2312" w:cs="Times New Roman"/>
          <w:bCs/>
        </w:rPr>
        <w:t>10）咸安区博物馆国家电网充电站，位于咸安区金桂路博物馆广场，现有4台120kW一机一枪直流充电桩。</w:t>
      </w:r>
    </w:p>
    <w:p>
      <w:pPr>
        <w:adjustRightInd w:val="0"/>
        <w:snapToGrid w:val="0"/>
        <w:ind w:firstLine="560"/>
        <w:rPr>
          <w:rFonts w:eastAsia="仿宋_GB2312" w:cs="Times New Roman"/>
          <w:bCs/>
        </w:rPr>
      </w:pPr>
      <w:r>
        <w:rPr>
          <w:rFonts w:eastAsia="仿宋_GB2312" w:cs="Times New Roman"/>
          <w:bCs/>
        </w:rPr>
        <w:t>11）咸安区旅游集散中心国家电网充电站，位于咸宁市旅游集散中心附近，现有4台120kW一机一枪直流充电桩。</w:t>
      </w:r>
    </w:p>
    <w:p>
      <w:pPr>
        <w:adjustRightInd w:val="0"/>
        <w:snapToGrid w:val="0"/>
        <w:ind w:firstLine="560"/>
        <w:rPr>
          <w:rFonts w:eastAsia="仿宋_GB2312" w:cs="Times New Roman"/>
          <w:bCs/>
        </w:rPr>
      </w:pPr>
      <w:r>
        <w:rPr>
          <w:rFonts w:eastAsia="仿宋_GB2312" w:cs="Times New Roman"/>
          <w:bCs/>
        </w:rPr>
        <w:t>12）咸安区城铁东站国家电网充电站，位于咸安区旗鼓大道城铁东站广场内，现有4台120kW一机一枪直流充电桩。</w:t>
      </w:r>
    </w:p>
    <w:p>
      <w:pPr>
        <w:adjustRightInd w:val="0"/>
        <w:snapToGrid w:val="0"/>
        <w:ind w:firstLine="560"/>
        <w:rPr>
          <w:rFonts w:eastAsia="仿宋_GB2312" w:cs="Times New Roman"/>
          <w:bCs/>
        </w:rPr>
      </w:pPr>
      <w:r>
        <w:rPr>
          <w:rFonts w:eastAsia="仿宋_GB2312" w:cs="Times New Roman"/>
          <w:bCs/>
        </w:rPr>
        <w:t>13）咸宁供电公司运维检修部停车场国家电网充电站，位于咸安区旗鼓大道280号充电站，现有2台120kW一机一枪直流充电桩。</w:t>
      </w:r>
    </w:p>
    <w:p>
      <w:pPr>
        <w:adjustRightInd w:val="0"/>
        <w:snapToGrid w:val="0"/>
        <w:ind w:firstLine="560"/>
        <w:rPr>
          <w:rFonts w:eastAsia="仿宋_GB2312" w:cs="Times New Roman"/>
          <w:bCs/>
        </w:rPr>
      </w:pPr>
      <w:r>
        <w:rPr>
          <w:rFonts w:eastAsia="仿宋_GB2312" w:cs="Times New Roman"/>
          <w:bCs/>
        </w:rPr>
        <w:t>14）咸宁南站国家电网充电站，位于咸安区城铁南站广场，现有6台120kW一机一枪直流充电桩。</w:t>
      </w:r>
    </w:p>
    <w:p>
      <w:pPr>
        <w:adjustRightInd w:val="0"/>
        <w:snapToGrid w:val="0"/>
        <w:ind w:firstLine="560"/>
        <w:rPr>
          <w:rFonts w:eastAsia="仿宋_GB2312" w:cs="Times New Roman"/>
          <w:bCs/>
        </w:rPr>
      </w:pPr>
      <w:r>
        <w:rPr>
          <w:rFonts w:eastAsia="仿宋_GB2312" w:cs="Times New Roman"/>
          <w:bCs/>
        </w:rPr>
        <w:t>15）咸宁市龙泉佳苑国家电网充电站，位于咸安区龙潭路龙泉佳苑小区内，现有4台120kW一机一枪直流充电桩。</w:t>
      </w:r>
    </w:p>
    <w:p>
      <w:pPr>
        <w:adjustRightInd w:val="0"/>
        <w:snapToGrid w:val="0"/>
        <w:ind w:firstLine="560"/>
        <w:rPr>
          <w:rFonts w:eastAsia="仿宋_GB2312" w:cs="Times New Roman"/>
          <w:bCs/>
        </w:rPr>
      </w:pPr>
      <w:r>
        <w:rPr>
          <w:rFonts w:eastAsia="仿宋_GB2312" w:cs="Times New Roman"/>
          <w:bCs/>
        </w:rPr>
        <w:t>16）咸安宝塔供电营业厅国家电网充电站，位于宁市咸安区咸安大道与凤凰东路交叉路口往南约50米，现有4台120kW一机一枪直流充电桩。</w:t>
      </w:r>
    </w:p>
    <w:p>
      <w:pPr>
        <w:adjustRightInd w:val="0"/>
        <w:snapToGrid w:val="0"/>
        <w:ind w:firstLine="560"/>
        <w:rPr>
          <w:rFonts w:eastAsia="仿宋_GB2312" w:cs="Times New Roman"/>
          <w:bCs/>
        </w:rPr>
      </w:pPr>
      <w:r>
        <w:rPr>
          <w:rFonts w:eastAsia="仿宋_GB2312" w:cs="Times New Roman"/>
          <w:bCs/>
        </w:rPr>
        <w:t>17）咸安区十六谭公园国家电网充电站，位于咸安区十六谭公园停车场，现有4台60kW一机一枪直流充电桩和4台120kW一机一枪直流充电桩。</w:t>
      </w:r>
    </w:p>
    <w:p>
      <w:pPr>
        <w:adjustRightInd w:val="0"/>
        <w:snapToGrid w:val="0"/>
        <w:ind w:firstLine="560"/>
        <w:rPr>
          <w:rFonts w:eastAsia="仿宋_GB2312" w:cs="Times New Roman"/>
          <w:bCs/>
        </w:rPr>
      </w:pPr>
      <w:r>
        <w:rPr>
          <w:rFonts w:eastAsia="仿宋_GB2312" w:cs="Times New Roman"/>
          <w:bCs/>
        </w:rPr>
        <w:t>18）咸安区双鹤路充电站，位于咸安区双鹤路14号附近，现有4台120kW一机一枪直流充电桩。</w:t>
      </w:r>
    </w:p>
    <w:p>
      <w:pPr>
        <w:adjustRightInd w:val="0"/>
        <w:snapToGrid w:val="0"/>
        <w:ind w:firstLine="560"/>
        <w:rPr>
          <w:rFonts w:eastAsia="仿宋_GB2312" w:cs="Times New Roman"/>
          <w:bCs/>
        </w:rPr>
      </w:pPr>
      <w:r>
        <w:rPr>
          <w:rFonts w:eastAsia="仿宋_GB2312" w:cs="Times New Roman"/>
          <w:bCs/>
        </w:rPr>
        <w:t>19）咸安区阳光俱乐部国家电网充电站，位于咸安区淦河大道阳光威娜小区附近，现有4台120kW一机一枪直流充电桩。</w:t>
      </w:r>
    </w:p>
    <w:p>
      <w:pPr>
        <w:adjustRightInd w:val="0"/>
        <w:snapToGrid w:val="0"/>
        <w:ind w:firstLine="560"/>
        <w:rPr>
          <w:rFonts w:eastAsia="仿宋_GB2312" w:cs="Times New Roman"/>
          <w:bCs/>
        </w:rPr>
      </w:pPr>
      <w:r>
        <w:rPr>
          <w:rFonts w:eastAsia="仿宋_GB2312" w:cs="Times New Roman"/>
          <w:bCs/>
        </w:rPr>
        <w:t>20）咸安区人民政府国家电网充电站，位于咸安区政府门口，现有4台120kW一机一枪直流充电桩。</w:t>
      </w:r>
    </w:p>
    <w:p>
      <w:pPr>
        <w:adjustRightInd w:val="0"/>
        <w:snapToGrid w:val="0"/>
        <w:ind w:firstLine="0" w:firstLineChars="0"/>
        <w:jc w:val="center"/>
        <w:rPr>
          <w:rFonts w:eastAsia="仿宋_GB2312" w:cs="Times New Roman"/>
          <w:bCs/>
        </w:rPr>
      </w:pPr>
      <w:r>
        <w:rPr>
          <w:rFonts w:eastAsia="仿宋_GB2312" w:cs="Times New Roman"/>
          <w:bCs/>
        </w:rPr>
        <w:drawing>
          <wp:inline distT="0" distB="0" distL="114300" distR="114300">
            <wp:extent cx="2591435" cy="1943735"/>
            <wp:effectExtent l="0" t="0" r="14605" b="6985"/>
            <wp:docPr id="41" name="图片 41" descr="IMG_20220623_0936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41" descr="IMG_20220623_093635"/>
                    <pic:cNvPicPr>
                      <a:picLocks noChangeAspect="true"/>
                    </pic:cNvPicPr>
                  </pic:nvPicPr>
                  <pic:blipFill>
                    <a:blip r:embed="rId24"/>
                    <a:stretch>
                      <a:fillRect/>
                    </a:stretch>
                  </pic:blipFill>
                  <pic:spPr>
                    <a:xfrm>
                      <a:off x="0" y="0"/>
                      <a:ext cx="2591435" cy="1943735"/>
                    </a:xfrm>
                    <a:prstGeom prst="rect">
                      <a:avLst/>
                    </a:prstGeom>
                  </pic:spPr>
                </pic:pic>
              </a:graphicData>
            </a:graphic>
          </wp:inline>
        </w:drawing>
      </w:r>
      <w:r>
        <w:rPr>
          <w:rFonts w:eastAsia="仿宋_GB2312" w:cs="Times New Roman"/>
          <w:bCs/>
        </w:rPr>
        <w:drawing>
          <wp:inline distT="0" distB="0" distL="114300" distR="114300">
            <wp:extent cx="2591435" cy="1943735"/>
            <wp:effectExtent l="0" t="0" r="14605" b="6985"/>
            <wp:docPr id="42" name="图片 42" descr="IMG_20220623_0936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42" descr="IMG_20220623_093643"/>
                    <pic:cNvPicPr>
                      <a:picLocks noChangeAspect="true"/>
                    </pic:cNvPicPr>
                  </pic:nvPicPr>
                  <pic:blipFill>
                    <a:blip r:embed="rId25"/>
                    <a:stretch>
                      <a:fillRect/>
                    </a:stretch>
                  </pic:blipFill>
                  <pic:spPr>
                    <a:xfrm>
                      <a:off x="0" y="0"/>
                      <a:ext cx="2591435" cy="1943735"/>
                    </a:xfrm>
                    <a:prstGeom prst="rect">
                      <a:avLst/>
                    </a:prstGeom>
                  </pic:spPr>
                </pic:pic>
              </a:graphicData>
            </a:graphic>
          </wp:inline>
        </w:drawing>
      </w:r>
    </w:p>
    <w:p>
      <w:pPr>
        <w:pStyle w:val="19"/>
        <w:adjustRightInd w:val="0"/>
        <w:snapToGrid w:val="0"/>
        <w:rPr>
          <w:rFonts w:eastAsia="仿宋_GB2312" w:cs="Times New Roman"/>
          <w:bCs/>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5</w:t>
      </w:r>
      <w:r>
        <w:rPr>
          <w:rFonts w:eastAsia="仿宋_GB2312" w:cs="Times New Roman"/>
        </w:rPr>
        <w:fldChar w:fldCharType="end"/>
      </w:r>
      <w:r>
        <w:rPr>
          <w:rFonts w:eastAsia="仿宋_GB2312" w:cs="Times New Roman"/>
          <w:bCs/>
        </w:rPr>
        <w:t>咸安区人民政府国家电网充电站</w:t>
      </w:r>
    </w:p>
    <w:p>
      <w:pPr>
        <w:adjustRightInd w:val="0"/>
        <w:snapToGrid w:val="0"/>
        <w:ind w:firstLine="560"/>
        <w:rPr>
          <w:rFonts w:eastAsia="仿宋_GB2312" w:cs="Times New Roman"/>
          <w:bCs/>
        </w:rPr>
      </w:pPr>
      <w:r>
        <w:rPr>
          <w:rFonts w:eastAsia="仿宋_GB2312" w:cs="Times New Roman"/>
          <w:bCs/>
        </w:rPr>
        <w:t>21）咸安区桂花城国家电网充电站，位于咸安区永安大道鄂棉小区，现有4台60kW一机一枪直流充电桩和4台120kW一机一枪直流充电桩。</w:t>
      </w:r>
    </w:p>
    <w:p>
      <w:pPr>
        <w:adjustRightInd w:val="0"/>
        <w:snapToGrid w:val="0"/>
        <w:ind w:firstLine="560"/>
        <w:rPr>
          <w:rFonts w:eastAsia="仿宋_GB2312" w:cs="Times New Roman"/>
          <w:bCs/>
        </w:rPr>
      </w:pPr>
      <w:r>
        <w:rPr>
          <w:rFonts w:eastAsia="仿宋_GB2312" w:cs="Times New Roman"/>
          <w:bCs/>
        </w:rPr>
        <w:t>22）咸宁市温泉客运站充电站，位于咸安区浮山办事处贺胜路，现有4台120kW一机一枪直流充电桩。</w:t>
      </w:r>
    </w:p>
    <w:p>
      <w:pPr>
        <w:adjustRightInd w:val="0"/>
        <w:snapToGrid w:val="0"/>
        <w:ind w:firstLine="560"/>
        <w:rPr>
          <w:rFonts w:eastAsia="仿宋_GB2312" w:cs="Times New Roman"/>
          <w:bCs/>
        </w:rPr>
      </w:pPr>
      <w:r>
        <w:rPr>
          <w:rFonts w:eastAsia="仿宋_GB2312" w:cs="Times New Roman"/>
          <w:bCs/>
        </w:rPr>
        <w:t>23）咸宁咸安居然之家充电站，位于咸安区S208(贺胜路)，现有4台120kW一机一枪直流充电桩。</w:t>
      </w:r>
    </w:p>
    <w:p>
      <w:pPr>
        <w:adjustRightInd w:val="0"/>
        <w:snapToGrid w:val="0"/>
        <w:ind w:firstLine="560"/>
        <w:rPr>
          <w:rFonts w:eastAsia="仿宋_GB2312" w:cs="Times New Roman"/>
          <w:bCs/>
        </w:rPr>
      </w:pPr>
      <w:r>
        <w:rPr>
          <w:rFonts w:eastAsia="仿宋_GB2312" w:cs="Times New Roman"/>
          <w:bCs/>
        </w:rPr>
        <w:t>24）特斯拉超级充电站，位于咸安区居然之家，现有9台120kW一机一枪直流充电桩。</w:t>
      </w:r>
    </w:p>
    <w:p>
      <w:pPr>
        <w:adjustRightInd w:val="0"/>
        <w:snapToGrid w:val="0"/>
        <w:ind w:firstLine="560"/>
        <w:rPr>
          <w:rFonts w:eastAsia="仿宋_GB2312" w:cs="Times New Roman"/>
          <w:bCs/>
        </w:rPr>
      </w:pPr>
      <w:r>
        <w:rPr>
          <w:rFonts w:eastAsia="仿宋_GB2312" w:cs="Times New Roman"/>
          <w:bCs/>
        </w:rPr>
        <w:t>25）永动聚能银泉大道汽车充电场站，位于咸安区银泉大道实在石锅鱼南侧，现有10台120kW一机两枪直流充电桩。</w:t>
      </w:r>
    </w:p>
    <w:p>
      <w:pPr>
        <w:adjustRightInd w:val="0"/>
        <w:snapToGrid w:val="0"/>
        <w:ind w:firstLine="0" w:firstLineChars="0"/>
        <w:jc w:val="center"/>
        <w:rPr>
          <w:rFonts w:eastAsia="仿宋_GB2312" w:cs="Times New Roman"/>
          <w:bCs/>
        </w:rPr>
      </w:pPr>
      <w:r>
        <w:rPr>
          <w:rFonts w:eastAsia="仿宋_GB2312" w:cs="Times New Roman"/>
          <w:bCs/>
        </w:rPr>
        <w:drawing>
          <wp:inline distT="0" distB="0" distL="114300" distR="114300">
            <wp:extent cx="2591435" cy="1943735"/>
            <wp:effectExtent l="0" t="0" r="14605" b="6985"/>
            <wp:docPr id="33" name="图片 33" descr="IMG_20220624_0903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33" descr="IMG_20220624_090341"/>
                    <pic:cNvPicPr>
                      <a:picLocks noChangeAspect="true"/>
                    </pic:cNvPicPr>
                  </pic:nvPicPr>
                  <pic:blipFill>
                    <a:blip r:embed="rId26"/>
                    <a:stretch>
                      <a:fillRect/>
                    </a:stretch>
                  </pic:blipFill>
                  <pic:spPr>
                    <a:xfrm>
                      <a:off x="0" y="0"/>
                      <a:ext cx="2591435" cy="1943735"/>
                    </a:xfrm>
                    <a:prstGeom prst="rect">
                      <a:avLst/>
                    </a:prstGeom>
                  </pic:spPr>
                </pic:pic>
              </a:graphicData>
            </a:graphic>
          </wp:inline>
        </w:drawing>
      </w:r>
      <w:r>
        <w:rPr>
          <w:rFonts w:eastAsia="仿宋_GB2312" w:cs="Times New Roman"/>
          <w:bCs/>
        </w:rPr>
        <w:drawing>
          <wp:inline distT="0" distB="0" distL="114300" distR="114300">
            <wp:extent cx="2591435" cy="1943735"/>
            <wp:effectExtent l="0" t="0" r="14605" b="6985"/>
            <wp:docPr id="37" name="图片 37" descr="IMG_20220624_0903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37" descr="IMG_20220624_090355"/>
                    <pic:cNvPicPr>
                      <a:picLocks noChangeAspect="true"/>
                    </pic:cNvPicPr>
                  </pic:nvPicPr>
                  <pic:blipFill>
                    <a:blip r:embed="rId27"/>
                    <a:stretch>
                      <a:fillRect/>
                    </a:stretch>
                  </pic:blipFill>
                  <pic:spPr>
                    <a:xfrm>
                      <a:off x="0" y="0"/>
                      <a:ext cx="2591435" cy="1943735"/>
                    </a:xfrm>
                    <a:prstGeom prst="rect">
                      <a:avLst/>
                    </a:prstGeom>
                  </pic:spPr>
                </pic:pic>
              </a:graphicData>
            </a:graphic>
          </wp:inline>
        </w:drawing>
      </w:r>
    </w:p>
    <w:p>
      <w:pPr>
        <w:pStyle w:val="19"/>
        <w:adjustRightInd w:val="0"/>
        <w:snapToGrid w:val="0"/>
        <w:rPr>
          <w:rFonts w:eastAsia="仿宋_GB2312" w:cs="Times New Roman"/>
          <w:bCs/>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bCs/>
        </w:rPr>
        <w:t>永动聚能银泉大道汽车充电场站</w:t>
      </w:r>
    </w:p>
    <w:p>
      <w:pPr>
        <w:adjustRightInd w:val="0"/>
        <w:snapToGrid w:val="0"/>
        <w:ind w:firstLine="560"/>
        <w:rPr>
          <w:rFonts w:eastAsia="仿宋_GB2312" w:cs="Times New Roman"/>
          <w:bCs/>
        </w:rPr>
      </w:pPr>
      <w:r>
        <w:rPr>
          <w:rFonts w:eastAsia="仿宋_GB2312" w:cs="Times New Roman"/>
          <w:bCs/>
        </w:rPr>
        <w:t>26）咸安区文体中心充电站，位于咸安区青龙路194附近，现有8台120kW一机两枪直流充电桩。</w:t>
      </w:r>
    </w:p>
    <w:p>
      <w:pPr>
        <w:adjustRightInd w:val="0"/>
        <w:snapToGrid w:val="0"/>
        <w:ind w:firstLine="0" w:firstLineChars="0"/>
        <w:jc w:val="center"/>
        <w:rPr>
          <w:rFonts w:eastAsia="仿宋_GB2312" w:cs="Times New Roman"/>
          <w:bCs/>
        </w:rPr>
      </w:pPr>
      <w:r>
        <w:rPr>
          <w:rFonts w:eastAsia="仿宋_GB2312" w:cs="Times New Roman"/>
          <w:bCs/>
        </w:rPr>
        <w:drawing>
          <wp:inline distT="0" distB="0" distL="114300" distR="114300">
            <wp:extent cx="2591435" cy="1943735"/>
            <wp:effectExtent l="0" t="0" r="14605" b="6985"/>
            <wp:docPr id="19" name="图片 19" descr="IMG_20220623_1000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9" descr="IMG_20220623_100056"/>
                    <pic:cNvPicPr>
                      <a:picLocks noChangeAspect="true"/>
                    </pic:cNvPicPr>
                  </pic:nvPicPr>
                  <pic:blipFill>
                    <a:blip r:embed="rId28"/>
                    <a:stretch>
                      <a:fillRect/>
                    </a:stretch>
                  </pic:blipFill>
                  <pic:spPr>
                    <a:xfrm>
                      <a:off x="0" y="0"/>
                      <a:ext cx="2591435" cy="1943735"/>
                    </a:xfrm>
                    <a:prstGeom prst="rect">
                      <a:avLst/>
                    </a:prstGeom>
                  </pic:spPr>
                </pic:pic>
              </a:graphicData>
            </a:graphic>
          </wp:inline>
        </w:drawing>
      </w:r>
      <w:r>
        <w:rPr>
          <w:rFonts w:eastAsia="仿宋_GB2312" w:cs="Times New Roman"/>
          <w:bCs/>
        </w:rPr>
        <w:drawing>
          <wp:inline distT="0" distB="0" distL="114300" distR="114300">
            <wp:extent cx="2591435" cy="1943735"/>
            <wp:effectExtent l="0" t="0" r="14605" b="6985"/>
            <wp:docPr id="43" name="图片 43" descr="IMG_20220623_1001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43" descr="IMG_20220623_100112"/>
                    <pic:cNvPicPr>
                      <a:picLocks noChangeAspect="true"/>
                    </pic:cNvPicPr>
                  </pic:nvPicPr>
                  <pic:blipFill>
                    <a:blip r:embed="rId29"/>
                    <a:stretch>
                      <a:fillRect/>
                    </a:stretch>
                  </pic:blipFill>
                  <pic:spPr>
                    <a:xfrm>
                      <a:off x="0" y="0"/>
                      <a:ext cx="2591435" cy="1943735"/>
                    </a:xfrm>
                    <a:prstGeom prst="rect">
                      <a:avLst/>
                    </a:prstGeom>
                  </pic:spPr>
                </pic:pic>
              </a:graphicData>
            </a:graphic>
          </wp:inline>
        </w:drawing>
      </w:r>
    </w:p>
    <w:p>
      <w:pPr>
        <w:pStyle w:val="19"/>
        <w:adjustRightInd w:val="0"/>
        <w:snapToGrid w:val="0"/>
        <w:rPr>
          <w:rFonts w:eastAsia="仿宋_GB2312" w:cs="Times New Roman"/>
          <w:bCs/>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7</w:t>
      </w:r>
      <w:r>
        <w:rPr>
          <w:rFonts w:eastAsia="仿宋_GB2312" w:cs="Times New Roman"/>
        </w:rPr>
        <w:fldChar w:fldCharType="end"/>
      </w:r>
      <w:r>
        <w:rPr>
          <w:rFonts w:eastAsia="仿宋_GB2312" w:cs="Times New Roman"/>
          <w:bCs/>
        </w:rPr>
        <w:t>咸安区文体中心充电站</w:t>
      </w:r>
    </w:p>
    <w:p>
      <w:pPr>
        <w:adjustRightInd w:val="0"/>
        <w:snapToGrid w:val="0"/>
        <w:ind w:firstLine="560"/>
        <w:rPr>
          <w:rFonts w:eastAsia="仿宋_GB2312" w:cs="Times New Roman"/>
          <w:bCs/>
        </w:rPr>
      </w:pPr>
      <w:r>
        <w:rPr>
          <w:rFonts w:eastAsia="仿宋_GB2312" w:cs="Times New Roman"/>
          <w:bCs/>
        </w:rPr>
        <w:t>27）咸宁北站停车场充电站，位于咸宁北站停车场充电站，现有6台120kW一机两枪直流充电桩。</w:t>
      </w:r>
    </w:p>
    <w:p>
      <w:pPr>
        <w:adjustRightInd w:val="0"/>
        <w:snapToGrid w:val="0"/>
        <w:ind w:firstLine="560"/>
        <w:rPr>
          <w:rFonts w:eastAsia="仿宋_GB2312" w:cs="Times New Roman"/>
          <w:bCs/>
        </w:rPr>
      </w:pPr>
      <w:r>
        <w:rPr>
          <w:rFonts w:eastAsia="仿宋_GB2312" w:cs="Times New Roman"/>
          <w:bCs/>
        </w:rPr>
        <w:t>28）湖北安欣物流外部公共充电站，位于湖北安欣物流外部公共充电站，现有2台120kW一机两枪直流充电桩。</w:t>
      </w:r>
    </w:p>
    <w:p>
      <w:pPr>
        <w:adjustRightInd w:val="0"/>
        <w:snapToGrid w:val="0"/>
        <w:ind w:firstLine="0" w:firstLineChars="0"/>
        <w:jc w:val="center"/>
        <w:rPr>
          <w:rFonts w:eastAsia="仿宋_GB2312" w:cs="Times New Roman"/>
          <w:bCs/>
        </w:rPr>
      </w:pPr>
      <w:r>
        <w:rPr>
          <w:rFonts w:eastAsia="仿宋_GB2312" w:cs="Times New Roman"/>
          <w:bCs/>
        </w:rPr>
        <w:drawing>
          <wp:inline distT="0" distB="0" distL="114300" distR="114300">
            <wp:extent cx="3839845" cy="2879725"/>
            <wp:effectExtent l="0" t="0" r="635" b="635"/>
            <wp:docPr id="23" name="图片 23" descr="IMG_20220622_1024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23" descr="IMG_20220622_102449"/>
                    <pic:cNvPicPr>
                      <a:picLocks noChangeAspect="true"/>
                    </pic:cNvPicPr>
                  </pic:nvPicPr>
                  <pic:blipFill>
                    <a:blip r:embed="rId30"/>
                    <a:stretch>
                      <a:fillRect/>
                    </a:stretch>
                  </pic:blipFill>
                  <pic:spPr>
                    <a:xfrm>
                      <a:off x="0" y="0"/>
                      <a:ext cx="3839845" cy="2879725"/>
                    </a:xfrm>
                    <a:prstGeom prst="rect">
                      <a:avLst/>
                    </a:prstGeom>
                  </pic:spPr>
                </pic:pic>
              </a:graphicData>
            </a:graphic>
          </wp:inline>
        </w:drawing>
      </w:r>
    </w:p>
    <w:p>
      <w:pPr>
        <w:pStyle w:val="19"/>
        <w:adjustRightInd w:val="0"/>
        <w:snapToGrid w:val="0"/>
        <w:rPr>
          <w:rFonts w:eastAsia="仿宋_GB2312" w:cs="Times New Roman"/>
          <w:bCs/>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8</w:t>
      </w:r>
      <w:r>
        <w:rPr>
          <w:rFonts w:eastAsia="仿宋_GB2312" w:cs="Times New Roman"/>
        </w:rPr>
        <w:fldChar w:fldCharType="end"/>
      </w:r>
      <w:r>
        <w:rPr>
          <w:rFonts w:eastAsia="仿宋_GB2312" w:cs="Times New Roman"/>
          <w:bCs/>
        </w:rPr>
        <w:t>湖北安欣物流外部公共充电站</w:t>
      </w:r>
    </w:p>
    <w:p>
      <w:pPr>
        <w:pStyle w:val="19"/>
        <w:adjustRightInd w:val="0"/>
        <w:snapToGrid w:val="0"/>
        <w:ind w:firstLine="560"/>
        <w:rPr>
          <w:rFonts w:eastAsia="仿宋_GB2312" w:cs="Times New Roman"/>
          <w:bCs/>
          <w:szCs w:val="24"/>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9</w:t>
      </w:r>
      <w:r>
        <w:rPr>
          <w:rFonts w:eastAsia="仿宋_GB2312" w:cs="Times New Roman"/>
        </w:rPr>
        <w:fldChar w:fldCharType="end"/>
      </w:r>
      <w:r>
        <w:rPr>
          <w:rFonts w:eastAsia="仿宋_GB2312" w:cs="Times New Roman"/>
        </w:rPr>
        <w:t xml:space="preserve"> </w:t>
      </w:r>
      <w:r>
        <w:rPr>
          <w:rFonts w:eastAsia="仿宋_GB2312" w:cs="Times New Roman"/>
          <w:bCs/>
          <w:szCs w:val="24"/>
        </w:rPr>
        <w:t>咸安区现有城市公共充电站规模明细表</w:t>
      </w:r>
    </w:p>
    <w:tbl>
      <w:tblPr>
        <w:tblStyle w:val="76"/>
        <w:tblW w:w="5004" w:type="pct"/>
        <w:tblInd w:w="0" w:type="dxa"/>
        <w:tblLayout w:type="autofit"/>
        <w:tblCellMar>
          <w:top w:w="0" w:type="dxa"/>
          <w:left w:w="0" w:type="dxa"/>
          <w:bottom w:w="0" w:type="dxa"/>
          <w:right w:w="0" w:type="dxa"/>
        </w:tblCellMar>
      </w:tblPr>
      <w:tblGrid>
        <w:gridCol w:w="753"/>
        <w:gridCol w:w="2778"/>
        <w:gridCol w:w="3022"/>
        <w:gridCol w:w="839"/>
        <w:gridCol w:w="931"/>
      </w:tblGrid>
      <w:tr>
        <w:tblPrEx>
          <w:tblCellMar>
            <w:top w:w="0" w:type="dxa"/>
            <w:left w:w="0" w:type="dxa"/>
            <w:bottom w:w="0" w:type="dxa"/>
            <w:right w:w="0" w:type="dxa"/>
          </w:tblCellMar>
        </w:tblPrEx>
        <w:trPr>
          <w:trHeight w:val="142" w:hRule="atLeast"/>
          <w:tblHeader/>
        </w:trPr>
        <w:tc>
          <w:tcPr>
            <w:tcW w:w="45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现状桩数</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充电功率</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咸安区双泉国家电网充电站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现有3台60kW一机一枪和11台120kW一机一枪直流充电桩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1500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咸安区肖桥公租房国家电网充电站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国家电网充电站（清华城）</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现有10台7kW一机一枪交流充电桩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咸宁市罗马城小区充电站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现有2台7kW一机一枪交流充电桩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14</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九重锦小区充电站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现有9台7kW一机一枪交流充电桩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63</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房产金龙小区充电站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现有2台7kW一机一枪交流充电桩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14</w:t>
            </w:r>
          </w:p>
        </w:tc>
      </w:tr>
      <w:tr>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星悦公馆小区充电站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现有2台7kW一机一枪交流充电桩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14</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咸宁市温泉供电所充电站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现有2台7kW一机一枪交流充电桩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14</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龙泉佳苑小区充电站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现有12台7kW一机一枪交流充电桩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84</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咸安区博物馆国家电网充电站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11</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咸安区旅游集散中心国家电网充电站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咸安区城铁东站国家电网充电站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13</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咸宁供电公司运维检修部停车场国家电网充电站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14</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咸宁南站国家电网充电站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现有6台120kW一机一枪直流充电桩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720</w:t>
            </w:r>
          </w:p>
        </w:tc>
      </w:tr>
      <w:tr>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15</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咸宁市龙泉佳苑国家电网充电站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咸安宝塔供电营业厅国家电网充电站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17</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咸安区十六谭公园国家电网充电站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现有4台60kW一机一枪直流充电桩和4台120kW一机一枪直流充电桩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720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18</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咸安区双鹤路充电站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19</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咸安区阳光俱乐部国家电网充电站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咸安区人民政府国家电网充电站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21</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咸安区桂花城国家电网充电站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现有4台60kW一机一枪直流充电桩和4台120kW一机一枪直流充电桩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720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22</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咸宁市温泉客运站充电站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23</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咸宁咸安居然之家充电站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特斯拉超级充电站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现有9台120kW一机一枪直流充电桩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1080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25</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永动聚能银泉大道汽车充电场站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现有10台120kW一机两枪直流充电桩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1200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26</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咸安区文体中心</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现有8台120kW一机两枪直流充电桩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960</w:t>
            </w:r>
          </w:p>
        </w:tc>
      </w:tr>
      <w:tr>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27</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咸宁北站停车场充电站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现有6台120kW一机两枪直流充电桩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720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28</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湖北安欣物流外部公共充电站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现有2台120kW一机两枪直流充电桩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w:t>
            </w:r>
          </w:p>
        </w:tc>
      </w:tr>
      <w:tr>
        <w:tblPrEx>
          <w:tblCellMar>
            <w:top w:w="0" w:type="dxa"/>
            <w:left w:w="0" w:type="dxa"/>
            <w:bottom w:w="0" w:type="dxa"/>
            <w:right w:w="0" w:type="dxa"/>
          </w:tblCellMar>
        </w:tblPrEx>
        <w:trPr>
          <w:trHeight w:val="142"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50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182</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13653</w:t>
            </w:r>
          </w:p>
        </w:tc>
      </w:tr>
    </w:tbl>
    <w:p>
      <w:pPr>
        <w:pStyle w:val="5"/>
        <w:adjustRightInd w:val="0"/>
        <w:snapToGrid w:val="0"/>
        <w:spacing w:before="156" w:beforeLines="50" w:after="156" w:afterLines="50"/>
        <w:rPr>
          <w:rFonts w:eastAsia="仿宋_GB2312" w:cs="Times New Roman"/>
        </w:rPr>
      </w:pPr>
      <w:r>
        <w:rPr>
          <w:rFonts w:eastAsia="仿宋_GB2312" w:cs="Times New Roman"/>
        </w:rPr>
        <w:t>赤壁市充电设施现状</w:t>
      </w:r>
    </w:p>
    <w:p>
      <w:pPr>
        <w:pStyle w:val="19"/>
        <w:adjustRightInd w:val="0"/>
        <w:snapToGrid w:val="0"/>
        <w:spacing w:line="360" w:lineRule="auto"/>
        <w:ind w:firstLine="560" w:firstLineChars="200"/>
        <w:jc w:val="both"/>
        <w:rPr>
          <w:rFonts w:eastAsia="仿宋_GB2312" w:cs="Times New Roman"/>
        </w:rPr>
      </w:pPr>
      <w:r>
        <w:rPr>
          <w:rFonts w:eastAsia="仿宋_GB2312" w:cs="Times New Roman"/>
          <w:b w:val="0"/>
          <w:bCs/>
          <w:sz w:val="28"/>
          <w:szCs w:val="28"/>
        </w:rPr>
        <w:t>截至2021年底赤壁市有充电站32个，充电桩436个</w:t>
      </w:r>
      <w:r>
        <w:rPr>
          <w:rFonts w:hint="eastAsia" w:eastAsia="仿宋_GB2312" w:cs="Times New Roman"/>
          <w:b w:val="0"/>
          <w:bCs/>
          <w:sz w:val="28"/>
          <w:szCs w:val="28"/>
        </w:rPr>
        <w:t>，其中</w:t>
      </w:r>
      <w:r>
        <w:rPr>
          <w:rFonts w:eastAsia="仿宋_GB2312" w:cs="Times New Roman"/>
          <w:b w:val="0"/>
          <w:bCs/>
          <w:sz w:val="28"/>
          <w:szCs w:val="28"/>
        </w:rPr>
        <w:t>直流快充桩424个，交流慢充桩12个，充电总功率25524kW</w:t>
      </w:r>
      <w:r>
        <w:rPr>
          <w:rFonts w:hint="eastAsia" w:eastAsia="仿宋_GB2312" w:cs="Times New Roman"/>
          <w:b w:val="0"/>
          <w:bCs/>
          <w:sz w:val="28"/>
          <w:szCs w:val="28"/>
        </w:rPr>
        <w:t>。</w:t>
      </w:r>
      <w:r>
        <w:rPr>
          <w:rFonts w:eastAsia="仿宋_GB2312" w:cs="Times New Roman"/>
          <w:b w:val="0"/>
          <w:bCs/>
          <w:sz w:val="28"/>
          <w:szCs w:val="28"/>
        </w:rPr>
        <w:t>高速服务区充电站3座，充电桩26个；公交充电站11座，充电桩338个；公共充电站18座，充电桩72个。</w:t>
      </w:r>
    </w:p>
    <w:p>
      <w:pPr>
        <w:adjustRightInd w:val="0"/>
        <w:snapToGrid w:val="0"/>
        <w:ind w:left="560" w:firstLine="0" w:firstLineChars="0"/>
        <w:rPr>
          <w:rFonts w:eastAsia="仿宋_GB2312" w:cs="Times New Roman"/>
          <w:b/>
        </w:rPr>
      </w:pPr>
      <w:r>
        <w:rPr>
          <w:rFonts w:eastAsia="仿宋_GB2312" w:cs="Times New Roman"/>
          <w:b/>
        </w:rPr>
        <w:t>1.公交充电站</w:t>
      </w:r>
    </w:p>
    <w:p>
      <w:pPr>
        <w:adjustRightInd w:val="0"/>
        <w:snapToGrid w:val="0"/>
        <w:ind w:firstLine="560"/>
        <w:rPr>
          <w:rFonts w:eastAsia="仿宋_GB2312" w:cs="Times New Roman"/>
          <w:bCs/>
        </w:rPr>
      </w:pPr>
      <w:r>
        <w:rPr>
          <w:rFonts w:eastAsia="仿宋_GB2312" w:cs="Times New Roman"/>
          <w:bCs/>
        </w:rPr>
        <w:t>1）赤壁市公交集团（赤壁市政府）充电站，位于赤壁市政府后院停车场，现有8台60kW一机一枪直流充电桩。</w:t>
      </w:r>
    </w:p>
    <w:p>
      <w:pPr>
        <w:adjustRightInd w:val="0"/>
        <w:snapToGrid w:val="0"/>
        <w:ind w:firstLine="560"/>
        <w:rPr>
          <w:rFonts w:eastAsia="仿宋_GB2312" w:cs="Times New Roman"/>
          <w:bCs/>
        </w:rPr>
      </w:pPr>
      <w:r>
        <w:rPr>
          <w:rFonts w:eastAsia="仿宋_GB2312" w:cs="Times New Roman"/>
          <w:bCs/>
        </w:rPr>
        <w:t xml:space="preserve"> 2）赤壁市公交集团（火车客运站）充电站，位于赤壁市火车客运站停车场，现有30台60kW一机一枪直流充电桩。</w:t>
      </w:r>
    </w:p>
    <w:p>
      <w:pPr>
        <w:adjustRightInd w:val="0"/>
        <w:snapToGrid w:val="0"/>
        <w:ind w:firstLine="0" w:firstLineChars="0"/>
        <w:jc w:val="center"/>
        <w:rPr>
          <w:rFonts w:eastAsia="仿宋_GB2312" w:cs="Times New Roman"/>
          <w:bCs/>
        </w:rPr>
      </w:pPr>
      <w:r>
        <w:rPr>
          <w:rFonts w:eastAsia="仿宋_GB2312" w:cs="Times New Roman"/>
          <w:bCs/>
        </w:rPr>
        <w:drawing>
          <wp:inline distT="0" distB="0" distL="114300" distR="114300">
            <wp:extent cx="2591435" cy="1943735"/>
            <wp:effectExtent l="0" t="0" r="14605" b="6985"/>
            <wp:docPr id="50" name="图片 50" descr="IMG_20220628_0948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descr="IMG_20220628_094831"/>
                    <pic:cNvPicPr>
                      <a:picLocks noChangeAspect="true"/>
                    </pic:cNvPicPr>
                  </pic:nvPicPr>
                  <pic:blipFill>
                    <a:blip r:embed="rId31"/>
                    <a:stretch>
                      <a:fillRect/>
                    </a:stretch>
                  </pic:blipFill>
                  <pic:spPr>
                    <a:xfrm>
                      <a:off x="0" y="0"/>
                      <a:ext cx="2591435" cy="1943735"/>
                    </a:xfrm>
                    <a:prstGeom prst="rect">
                      <a:avLst/>
                    </a:prstGeom>
                  </pic:spPr>
                </pic:pic>
              </a:graphicData>
            </a:graphic>
          </wp:inline>
        </w:drawing>
      </w:r>
      <w:r>
        <w:rPr>
          <w:rFonts w:eastAsia="仿宋_GB2312" w:cs="Times New Roman"/>
          <w:bCs/>
        </w:rPr>
        <w:drawing>
          <wp:inline distT="0" distB="0" distL="114300" distR="114300">
            <wp:extent cx="2591435" cy="1943735"/>
            <wp:effectExtent l="0" t="0" r="14605" b="6985"/>
            <wp:docPr id="49" name="图片 49" descr="IMG_20220628_0948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49" descr="IMG_20220628_094813"/>
                    <pic:cNvPicPr>
                      <a:picLocks noChangeAspect="true"/>
                    </pic:cNvPicPr>
                  </pic:nvPicPr>
                  <pic:blipFill>
                    <a:blip r:embed="rId32"/>
                    <a:stretch>
                      <a:fillRect/>
                    </a:stretch>
                  </pic:blipFill>
                  <pic:spPr>
                    <a:xfrm>
                      <a:off x="0" y="0"/>
                      <a:ext cx="2591435" cy="1943735"/>
                    </a:xfrm>
                    <a:prstGeom prst="rect">
                      <a:avLst/>
                    </a:prstGeom>
                  </pic:spPr>
                </pic:pic>
              </a:graphicData>
            </a:graphic>
          </wp:inline>
        </w:drawing>
      </w:r>
    </w:p>
    <w:p>
      <w:pPr>
        <w:pStyle w:val="19"/>
        <w:adjustRightInd w:val="0"/>
        <w:snapToGrid w:val="0"/>
        <w:rPr>
          <w:rFonts w:eastAsia="仿宋_GB2312" w:cs="Times New Roman"/>
          <w:bCs/>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9</w:t>
      </w:r>
      <w:r>
        <w:rPr>
          <w:rFonts w:eastAsia="仿宋_GB2312" w:cs="Times New Roman"/>
        </w:rPr>
        <w:fldChar w:fldCharType="end"/>
      </w:r>
      <w:r>
        <w:rPr>
          <w:rFonts w:eastAsia="仿宋_GB2312" w:cs="Times New Roman"/>
          <w:bCs/>
        </w:rPr>
        <w:t>赤壁市公交集团（火车客运站）充电站</w:t>
      </w:r>
    </w:p>
    <w:p>
      <w:pPr>
        <w:adjustRightInd w:val="0"/>
        <w:snapToGrid w:val="0"/>
        <w:ind w:firstLine="560"/>
        <w:rPr>
          <w:rFonts w:eastAsia="仿宋_GB2312" w:cs="Times New Roman"/>
          <w:bCs/>
        </w:rPr>
      </w:pPr>
      <w:r>
        <w:rPr>
          <w:rFonts w:eastAsia="仿宋_GB2312" w:cs="Times New Roman"/>
          <w:bCs/>
        </w:rPr>
        <w:t>3）赤壁市公交集团（高铁站）充电站，位于赤壁市高铁站广场停车场，现有28台60kW一机一枪直流充电桩。</w:t>
      </w:r>
    </w:p>
    <w:p>
      <w:pPr>
        <w:adjustRightInd w:val="0"/>
        <w:snapToGrid w:val="0"/>
        <w:ind w:firstLine="0" w:firstLineChars="0"/>
        <w:jc w:val="center"/>
        <w:rPr>
          <w:rFonts w:eastAsia="仿宋_GB2312" w:cs="Times New Roman"/>
          <w:bCs/>
        </w:rPr>
      </w:pPr>
      <w:r>
        <w:rPr>
          <w:rFonts w:eastAsia="仿宋_GB2312" w:cs="Times New Roman"/>
          <w:bCs/>
        </w:rPr>
        <w:drawing>
          <wp:inline distT="0" distB="0" distL="114300" distR="114300">
            <wp:extent cx="2591435" cy="1943735"/>
            <wp:effectExtent l="0" t="0" r="14605" b="6985"/>
            <wp:docPr id="47" name="图片 47" descr="IMG_20220628_1033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descr="IMG_20220628_103343"/>
                    <pic:cNvPicPr>
                      <a:picLocks noChangeAspect="true"/>
                    </pic:cNvPicPr>
                  </pic:nvPicPr>
                  <pic:blipFill>
                    <a:blip r:embed="rId33"/>
                    <a:stretch>
                      <a:fillRect/>
                    </a:stretch>
                  </pic:blipFill>
                  <pic:spPr>
                    <a:xfrm>
                      <a:off x="0" y="0"/>
                      <a:ext cx="2591435" cy="1943735"/>
                    </a:xfrm>
                    <a:prstGeom prst="rect">
                      <a:avLst/>
                    </a:prstGeom>
                  </pic:spPr>
                </pic:pic>
              </a:graphicData>
            </a:graphic>
          </wp:inline>
        </w:drawing>
      </w:r>
      <w:r>
        <w:rPr>
          <w:rFonts w:eastAsia="仿宋_GB2312" w:cs="Times New Roman"/>
          <w:bCs/>
        </w:rPr>
        <w:drawing>
          <wp:inline distT="0" distB="0" distL="114300" distR="114300">
            <wp:extent cx="2591435" cy="1943735"/>
            <wp:effectExtent l="0" t="0" r="14605" b="6985"/>
            <wp:docPr id="48" name="图片 48" descr="IMG_20220628_1033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48" descr="IMG_20220628_103352"/>
                    <pic:cNvPicPr>
                      <a:picLocks noChangeAspect="true"/>
                    </pic:cNvPicPr>
                  </pic:nvPicPr>
                  <pic:blipFill>
                    <a:blip r:embed="rId34"/>
                    <a:stretch>
                      <a:fillRect/>
                    </a:stretch>
                  </pic:blipFill>
                  <pic:spPr>
                    <a:xfrm>
                      <a:off x="0" y="0"/>
                      <a:ext cx="2591435" cy="1943735"/>
                    </a:xfrm>
                    <a:prstGeom prst="rect">
                      <a:avLst/>
                    </a:prstGeom>
                  </pic:spPr>
                </pic:pic>
              </a:graphicData>
            </a:graphic>
          </wp:inline>
        </w:drawing>
      </w:r>
    </w:p>
    <w:p>
      <w:pPr>
        <w:pStyle w:val="19"/>
        <w:adjustRightInd w:val="0"/>
        <w:snapToGrid w:val="0"/>
        <w:rPr>
          <w:rFonts w:eastAsia="仿宋_GB2312" w:cs="Times New Roman"/>
          <w:bCs/>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10</w:t>
      </w:r>
      <w:r>
        <w:rPr>
          <w:rFonts w:eastAsia="仿宋_GB2312" w:cs="Times New Roman"/>
        </w:rPr>
        <w:fldChar w:fldCharType="end"/>
      </w:r>
      <w:r>
        <w:rPr>
          <w:rFonts w:eastAsia="仿宋_GB2312" w:cs="Times New Roman"/>
          <w:bCs/>
        </w:rPr>
        <w:t>赤壁市公交集团（高铁站）充电站</w:t>
      </w:r>
    </w:p>
    <w:p>
      <w:pPr>
        <w:adjustRightInd w:val="0"/>
        <w:snapToGrid w:val="0"/>
        <w:ind w:firstLine="560"/>
        <w:rPr>
          <w:rFonts w:eastAsia="仿宋_GB2312" w:cs="Times New Roman"/>
          <w:bCs/>
        </w:rPr>
      </w:pPr>
      <w:r>
        <w:rPr>
          <w:rFonts w:eastAsia="仿宋_GB2312" w:cs="Times New Roman"/>
          <w:bCs/>
        </w:rPr>
        <w:t>4）赤壁市公交集团（长途客运站）充电站，位于赤壁市长途客运站停车场，现有56台60kW一机一枪直流充电桩。</w:t>
      </w:r>
    </w:p>
    <w:p>
      <w:pPr>
        <w:adjustRightInd w:val="0"/>
        <w:snapToGrid w:val="0"/>
        <w:ind w:firstLine="560"/>
        <w:rPr>
          <w:rFonts w:eastAsia="仿宋_GB2312" w:cs="Times New Roman"/>
          <w:bCs/>
        </w:rPr>
      </w:pPr>
      <w:r>
        <w:rPr>
          <w:rFonts w:eastAsia="仿宋_GB2312" w:cs="Times New Roman"/>
          <w:bCs/>
        </w:rPr>
        <w:t>5）赤壁市公交集团（集团内部）充电站，位于赤壁市公交集团公司自有停车场，现有66台60kW一机一枪直流充电桩。</w:t>
      </w:r>
    </w:p>
    <w:p>
      <w:pPr>
        <w:adjustRightInd w:val="0"/>
        <w:snapToGrid w:val="0"/>
        <w:ind w:firstLine="560"/>
        <w:rPr>
          <w:rFonts w:eastAsia="仿宋_GB2312" w:cs="Times New Roman"/>
          <w:bCs/>
        </w:rPr>
      </w:pPr>
      <w:r>
        <w:rPr>
          <w:rFonts w:eastAsia="仿宋_GB2312" w:cs="Times New Roman"/>
          <w:bCs/>
        </w:rPr>
        <w:t>6）赤壁市公交集团（四中站）充电站，位于赤壁市四中斜对面公交停车场，现有26台60kW一机一枪直流充电桩。</w:t>
      </w:r>
    </w:p>
    <w:p>
      <w:pPr>
        <w:adjustRightInd w:val="0"/>
        <w:snapToGrid w:val="0"/>
        <w:ind w:firstLine="560"/>
        <w:rPr>
          <w:rFonts w:eastAsia="仿宋_GB2312" w:cs="Times New Roman"/>
          <w:bCs/>
        </w:rPr>
      </w:pPr>
      <w:r>
        <w:rPr>
          <w:rFonts w:eastAsia="仿宋_GB2312" w:cs="Times New Roman"/>
          <w:bCs/>
        </w:rPr>
        <w:t>7）赤壁市公交集团（大润发一）充电站，位于赤壁市大润发侧一公交停车场，现有8台60kW一机一枪直流充电桩。</w:t>
      </w:r>
    </w:p>
    <w:p>
      <w:pPr>
        <w:adjustRightInd w:val="0"/>
        <w:snapToGrid w:val="0"/>
        <w:ind w:firstLine="0" w:firstLineChars="0"/>
        <w:jc w:val="center"/>
        <w:rPr>
          <w:rFonts w:eastAsia="仿宋_GB2312" w:cs="Times New Roman"/>
          <w:bCs/>
        </w:rPr>
      </w:pPr>
      <w:r>
        <w:rPr>
          <w:rFonts w:eastAsia="仿宋_GB2312" w:cs="Times New Roman"/>
          <w:bCs/>
        </w:rPr>
        <w:drawing>
          <wp:inline distT="0" distB="0" distL="114300" distR="114300">
            <wp:extent cx="2591435" cy="1943735"/>
            <wp:effectExtent l="0" t="0" r="14605" b="6985"/>
            <wp:docPr id="55" name="图片 55" descr="IMG_20220628_1556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55" descr="IMG_20220628_155608"/>
                    <pic:cNvPicPr>
                      <a:picLocks noChangeAspect="true"/>
                    </pic:cNvPicPr>
                  </pic:nvPicPr>
                  <pic:blipFill>
                    <a:blip r:embed="rId35"/>
                    <a:stretch>
                      <a:fillRect/>
                    </a:stretch>
                  </pic:blipFill>
                  <pic:spPr>
                    <a:xfrm>
                      <a:off x="0" y="0"/>
                      <a:ext cx="2591435" cy="1943735"/>
                    </a:xfrm>
                    <a:prstGeom prst="rect">
                      <a:avLst/>
                    </a:prstGeom>
                  </pic:spPr>
                </pic:pic>
              </a:graphicData>
            </a:graphic>
          </wp:inline>
        </w:drawing>
      </w:r>
      <w:r>
        <w:rPr>
          <w:rFonts w:eastAsia="仿宋_GB2312" w:cs="Times New Roman"/>
          <w:bCs/>
        </w:rPr>
        <w:drawing>
          <wp:inline distT="0" distB="0" distL="114300" distR="114300">
            <wp:extent cx="2591435" cy="1943735"/>
            <wp:effectExtent l="0" t="0" r="14605" b="6985"/>
            <wp:docPr id="56" name="图片 56" descr="IMG_20220628_1556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56" descr="IMG_20220628_155635"/>
                    <pic:cNvPicPr>
                      <a:picLocks noChangeAspect="true"/>
                    </pic:cNvPicPr>
                  </pic:nvPicPr>
                  <pic:blipFill>
                    <a:blip r:embed="rId36"/>
                    <a:stretch>
                      <a:fillRect/>
                    </a:stretch>
                  </pic:blipFill>
                  <pic:spPr>
                    <a:xfrm>
                      <a:off x="0" y="0"/>
                      <a:ext cx="2591435" cy="1943735"/>
                    </a:xfrm>
                    <a:prstGeom prst="rect">
                      <a:avLst/>
                    </a:prstGeom>
                  </pic:spPr>
                </pic:pic>
              </a:graphicData>
            </a:graphic>
          </wp:inline>
        </w:drawing>
      </w:r>
    </w:p>
    <w:p>
      <w:pPr>
        <w:pStyle w:val="19"/>
        <w:adjustRightInd w:val="0"/>
        <w:snapToGrid w:val="0"/>
        <w:rPr>
          <w:rFonts w:eastAsia="仿宋_GB2312" w:cs="Times New Roman"/>
          <w:bCs/>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11</w:t>
      </w:r>
      <w:r>
        <w:rPr>
          <w:rFonts w:eastAsia="仿宋_GB2312" w:cs="Times New Roman"/>
        </w:rPr>
        <w:fldChar w:fldCharType="end"/>
      </w:r>
      <w:r>
        <w:rPr>
          <w:rFonts w:eastAsia="仿宋_GB2312" w:cs="Times New Roman"/>
          <w:bCs/>
        </w:rPr>
        <w:t>赤壁市公交集团（大润发一）充电站</w:t>
      </w:r>
    </w:p>
    <w:p>
      <w:pPr>
        <w:numPr>
          <w:ilvl w:val="0"/>
          <w:numId w:val="14"/>
        </w:numPr>
        <w:adjustRightInd w:val="0"/>
        <w:snapToGrid w:val="0"/>
        <w:ind w:firstLine="560"/>
        <w:rPr>
          <w:rFonts w:eastAsia="仿宋_GB2312" w:cs="Times New Roman"/>
          <w:bCs/>
        </w:rPr>
      </w:pPr>
      <w:r>
        <w:rPr>
          <w:rFonts w:eastAsia="仿宋_GB2312" w:cs="Times New Roman"/>
          <w:bCs/>
        </w:rPr>
        <w:t>赤壁市公交集团（大润发二）充电站，位于赤壁市大润发侧二公交停车场，现有20台60kW一机一枪直流充电桩。</w:t>
      </w:r>
    </w:p>
    <w:p>
      <w:pPr>
        <w:adjustRightInd w:val="0"/>
        <w:snapToGrid w:val="0"/>
        <w:ind w:firstLine="0" w:firstLineChars="0"/>
        <w:jc w:val="center"/>
        <w:rPr>
          <w:rFonts w:eastAsia="仿宋_GB2312" w:cs="Times New Roman"/>
          <w:bCs/>
        </w:rPr>
      </w:pPr>
      <w:r>
        <w:rPr>
          <w:rFonts w:eastAsia="仿宋_GB2312" w:cs="Times New Roman"/>
          <w:bCs/>
        </w:rPr>
        <w:drawing>
          <wp:inline distT="0" distB="0" distL="114300" distR="114300">
            <wp:extent cx="2591435" cy="1943735"/>
            <wp:effectExtent l="0" t="0" r="14605" b="6985"/>
            <wp:docPr id="58" name="图片 58" descr="IMG_20220628_1558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58" descr="IMG_20220628_155856"/>
                    <pic:cNvPicPr>
                      <a:picLocks noChangeAspect="true"/>
                    </pic:cNvPicPr>
                  </pic:nvPicPr>
                  <pic:blipFill>
                    <a:blip r:embed="rId37"/>
                    <a:stretch>
                      <a:fillRect/>
                    </a:stretch>
                  </pic:blipFill>
                  <pic:spPr>
                    <a:xfrm>
                      <a:off x="0" y="0"/>
                      <a:ext cx="2591435" cy="1943735"/>
                    </a:xfrm>
                    <a:prstGeom prst="rect">
                      <a:avLst/>
                    </a:prstGeom>
                  </pic:spPr>
                </pic:pic>
              </a:graphicData>
            </a:graphic>
          </wp:inline>
        </w:drawing>
      </w:r>
      <w:r>
        <w:rPr>
          <w:rFonts w:eastAsia="仿宋_GB2312" w:cs="Times New Roman"/>
          <w:bCs/>
        </w:rPr>
        <w:drawing>
          <wp:inline distT="0" distB="0" distL="114300" distR="114300">
            <wp:extent cx="2591435" cy="1943735"/>
            <wp:effectExtent l="0" t="0" r="14605" b="6985"/>
            <wp:docPr id="61" name="图片 61" descr="IMG_20220628_1559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61" descr="IMG_20220628_155915"/>
                    <pic:cNvPicPr>
                      <a:picLocks noChangeAspect="true"/>
                    </pic:cNvPicPr>
                  </pic:nvPicPr>
                  <pic:blipFill>
                    <a:blip r:embed="rId38"/>
                    <a:stretch>
                      <a:fillRect/>
                    </a:stretch>
                  </pic:blipFill>
                  <pic:spPr>
                    <a:xfrm>
                      <a:off x="0" y="0"/>
                      <a:ext cx="2591435" cy="1943735"/>
                    </a:xfrm>
                    <a:prstGeom prst="rect">
                      <a:avLst/>
                    </a:prstGeom>
                  </pic:spPr>
                </pic:pic>
              </a:graphicData>
            </a:graphic>
          </wp:inline>
        </w:drawing>
      </w:r>
    </w:p>
    <w:p>
      <w:pPr>
        <w:pStyle w:val="19"/>
        <w:adjustRightInd w:val="0"/>
        <w:snapToGrid w:val="0"/>
        <w:rPr>
          <w:rFonts w:eastAsia="仿宋_GB2312" w:cs="Times New Roman"/>
          <w:bCs/>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12</w:t>
      </w:r>
      <w:r>
        <w:rPr>
          <w:rFonts w:eastAsia="仿宋_GB2312" w:cs="Times New Roman"/>
        </w:rPr>
        <w:fldChar w:fldCharType="end"/>
      </w:r>
      <w:r>
        <w:rPr>
          <w:rFonts w:eastAsia="仿宋_GB2312" w:cs="Times New Roman"/>
          <w:bCs/>
        </w:rPr>
        <w:t>赤壁市公交集团（大润发二）充电站</w:t>
      </w:r>
    </w:p>
    <w:p>
      <w:pPr>
        <w:adjustRightInd w:val="0"/>
        <w:snapToGrid w:val="0"/>
        <w:ind w:firstLine="560"/>
        <w:rPr>
          <w:rFonts w:eastAsia="仿宋_GB2312" w:cs="Times New Roman"/>
          <w:bCs/>
        </w:rPr>
      </w:pPr>
      <w:r>
        <w:rPr>
          <w:rFonts w:eastAsia="仿宋_GB2312" w:cs="Times New Roman"/>
          <w:bCs/>
        </w:rPr>
        <w:t>9）赤壁市公交集团（凤凰山）充电站，位于赤壁市凤凰山公交停车场，现有56台60kW一机一枪直流充电桩。</w:t>
      </w:r>
    </w:p>
    <w:p>
      <w:pPr>
        <w:adjustRightInd w:val="0"/>
        <w:snapToGrid w:val="0"/>
        <w:ind w:firstLine="560"/>
        <w:rPr>
          <w:rFonts w:eastAsia="仿宋_GB2312" w:cs="Times New Roman"/>
          <w:bCs/>
        </w:rPr>
      </w:pPr>
      <w:r>
        <w:rPr>
          <w:rFonts w:eastAsia="仿宋_GB2312" w:cs="Times New Roman"/>
          <w:bCs/>
        </w:rPr>
        <w:t>10）赤壁市公交集团（斋公岭）充电站，位于赤壁市斋公岭公交停车场，现有14台60kW一机一枪直流充电桩。</w:t>
      </w:r>
    </w:p>
    <w:p>
      <w:pPr>
        <w:adjustRightInd w:val="0"/>
        <w:snapToGrid w:val="0"/>
        <w:ind w:firstLine="560"/>
        <w:rPr>
          <w:rFonts w:eastAsia="仿宋_GB2312" w:cs="Times New Roman"/>
          <w:bCs/>
        </w:rPr>
      </w:pPr>
      <w:r>
        <w:rPr>
          <w:rFonts w:eastAsia="仿宋_GB2312" w:cs="Times New Roman"/>
          <w:bCs/>
        </w:rPr>
        <w:t>11）赤壁市公交集团（周画岭）充电站，位于赤壁市周画岭停车场，现有26台60kW一机一枪直流充电桩。</w:t>
      </w:r>
    </w:p>
    <w:p>
      <w:pPr>
        <w:pStyle w:val="19"/>
        <w:adjustRightInd w:val="0"/>
        <w:snapToGrid w:val="0"/>
        <w:ind w:firstLine="560"/>
        <w:rPr>
          <w:rFonts w:eastAsia="仿宋_GB2312" w:cs="Times New Roman"/>
          <w:bCs/>
          <w:szCs w:val="24"/>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10</w:t>
      </w:r>
      <w:r>
        <w:rPr>
          <w:rFonts w:eastAsia="仿宋_GB2312" w:cs="Times New Roman"/>
        </w:rPr>
        <w:fldChar w:fldCharType="end"/>
      </w:r>
      <w:r>
        <w:rPr>
          <w:rFonts w:eastAsia="仿宋_GB2312" w:cs="Times New Roman"/>
        </w:rPr>
        <w:t xml:space="preserve"> 赤壁市</w:t>
      </w:r>
      <w:r>
        <w:rPr>
          <w:rFonts w:eastAsia="仿宋_GB2312" w:cs="Times New Roman"/>
          <w:bCs/>
          <w:szCs w:val="24"/>
        </w:rPr>
        <w:t>现有公交充电站规模明细表</w:t>
      </w:r>
    </w:p>
    <w:tbl>
      <w:tblPr>
        <w:tblStyle w:val="76"/>
        <w:tblW w:w="4998" w:type="pct"/>
        <w:tblInd w:w="0" w:type="dxa"/>
        <w:tblLayout w:type="autofit"/>
        <w:tblCellMar>
          <w:top w:w="0" w:type="dxa"/>
          <w:left w:w="0" w:type="dxa"/>
          <w:bottom w:w="0" w:type="dxa"/>
          <w:right w:w="0" w:type="dxa"/>
        </w:tblCellMar>
      </w:tblPr>
      <w:tblGrid>
        <w:gridCol w:w="752"/>
        <w:gridCol w:w="2774"/>
        <w:gridCol w:w="3019"/>
        <w:gridCol w:w="838"/>
        <w:gridCol w:w="930"/>
      </w:tblGrid>
      <w:tr>
        <w:tblPrEx>
          <w:tblCellMar>
            <w:top w:w="0" w:type="dxa"/>
            <w:left w:w="0" w:type="dxa"/>
            <w:bottom w:w="0" w:type="dxa"/>
            <w:right w:w="0" w:type="dxa"/>
          </w:tblCellMar>
        </w:tblPrEx>
        <w:trPr>
          <w:trHeight w:val="142" w:hRule="atLeast"/>
          <w:tblHeader/>
        </w:trPr>
        <w:tc>
          <w:tcPr>
            <w:tcW w:w="45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现状桩数</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充电功率</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27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赤壁市公交集团（赤壁市政府）充电站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现有8台60kW一机一枪直流充电桩</w:t>
            </w:r>
          </w:p>
        </w:tc>
        <w:tc>
          <w:tcPr>
            <w:tcW w:w="83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9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27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赤壁市公交集团（火车客运站）充电站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现有30台60kW一机一枪直流充电桩</w:t>
            </w:r>
          </w:p>
        </w:tc>
        <w:tc>
          <w:tcPr>
            <w:tcW w:w="83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30</w:t>
            </w:r>
          </w:p>
        </w:tc>
        <w:tc>
          <w:tcPr>
            <w:tcW w:w="9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1800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27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赤壁市公交集团（高铁站）充电站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现有28台60kW一机一枪直流充电桩</w:t>
            </w:r>
          </w:p>
        </w:tc>
        <w:tc>
          <w:tcPr>
            <w:tcW w:w="83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28</w:t>
            </w:r>
          </w:p>
        </w:tc>
        <w:tc>
          <w:tcPr>
            <w:tcW w:w="9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1680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27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赤壁市公交集团（长途客运站）充电站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现有56台60kW一机一枪直流充电桩</w:t>
            </w:r>
          </w:p>
        </w:tc>
        <w:tc>
          <w:tcPr>
            <w:tcW w:w="83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56</w:t>
            </w:r>
          </w:p>
        </w:tc>
        <w:tc>
          <w:tcPr>
            <w:tcW w:w="9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3360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w:t>
            </w:r>
          </w:p>
        </w:tc>
        <w:tc>
          <w:tcPr>
            <w:tcW w:w="27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赤壁市公交集团（集团内部）充电站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现有66台60kW一机一枪直流充电桩</w:t>
            </w:r>
          </w:p>
        </w:tc>
        <w:tc>
          <w:tcPr>
            <w:tcW w:w="83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66</w:t>
            </w:r>
          </w:p>
        </w:tc>
        <w:tc>
          <w:tcPr>
            <w:tcW w:w="9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3960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27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赤壁市公交集团（四中站）充电站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现有26台60kW一机一枪直流充电桩</w:t>
            </w:r>
          </w:p>
        </w:tc>
        <w:tc>
          <w:tcPr>
            <w:tcW w:w="83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26</w:t>
            </w:r>
          </w:p>
        </w:tc>
        <w:tc>
          <w:tcPr>
            <w:tcW w:w="9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1560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w:t>
            </w:r>
          </w:p>
        </w:tc>
        <w:tc>
          <w:tcPr>
            <w:tcW w:w="27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赤壁市公交集团（大润发一）充电站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现有8台60kW一机一枪直流充电桩</w:t>
            </w:r>
          </w:p>
        </w:tc>
        <w:tc>
          <w:tcPr>
            <w:tcW w:w="83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9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27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赤壁市公交集团（大润发二）充电站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现有20台60kW一机一枪直流充电桩</w:t>
            </w:r>
          </w:p>
        </w:tc>
        <w:tc>
          <w:tcPr>
            <w:tcW w:w="83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9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1200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w:t>
            </w:r>
          </w:p>
        </w:tc>
        <w:tc>
          <w:tcPr>
            <w:tcW w:w="27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赤壁市公交集团（凤凰山）充电站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现有56台60kW一机一枪直流充电桩</w:t>
            </w:r>
          </w:p>
        </w:tc>
        <w:tc>
          <w:tcPr>
            <w:tcW w:w="83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56</w:t>
            </w:r>
          </w:p>
        </w:tc>
        <w:tc>
          <w:tcPr>
            <w:tcW w:w="9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3360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27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赤壁市公交集团（斋公岭）充电站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现有14台60kW一机一枪直流充电桩</w:t>
            </w:r>
          </w:p>
        </w:tc>
        <w:tc>
          <w:tcPr>
            <w:tcW w:w="83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14</w:t>
            </w:r>
          </w:p>
        </w:tc>
        <w:tc>
          <w:tcPr>
            <w:tcW w:w="9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840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11</w:t>
            </w:r>
          </w:p>
        </w:tc>
        <w:tc>
          <w:tcPr>
            <w:tcW w:w="27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赤壁市公交集团（周画岭）充电站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现有26台60kW一机一枪直流充电桩</w:t>
            </w:r>
          </w:p>
        </w:tc>
        <w:tc>
          <w:tcPr>
            <w:tcW w:w="83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26</w:t>
            </w:r>
          </w:p>
        </w:tc>
        <w:tc>
          <w:tcPr>
            <w:tcW w:w="9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1560</w:t>
            </w:r>
          </w:p>
        </w:tc>
      </w:tr>
      <w:tr>
        <w:tblPrEx>
          <w:tblCellMar>
            <w:top w:w="0" w:type="dxa"/>
            <w:left w:w="0" w:type="dxa"/>
            <w:bottom w:w="0" w:type="dxa"/>
            <w:right w:w="0" w:type="dxa"/>
          </w:tblCellMar>
        </w:tblPrEx>
        <w:trPr>
          <w:trHeight w:val="142"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50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338</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20280</w:t>
            </w:r>
          </w:p>
        </w:tc>
      </w:tr>
    </w:tbl>
    <w:p>
      <w:pPr>
        <w:adjustRightInd w:val="0"/>
        <w:snapToGrid w:val="0"/>
        <w:spacing w:before="156" w:beforeLines="50"/>
        <w:ind w:left="561" w:firstLine="0" w:firstLineChars="0"/>
        <w:rPr>
          <w:rFonts w:eastAsia="仿宋_GB2312" w:cs="Times New Roman"/>
          <w:b/>
        </w:rPr>
      </w:pPr>
      <w:r>
        <w:rPr>
          <w:rFonts w:eastAsia="仿宋_GB2312" w:cs="Times New Roman"/>
          <w:b/>
        </w:rPr>
        <w:t>2.公共充电站</w:t>
      </w:r>
    </w:p>
    <w:p>
      <w:pPr>
        <w:adjustRightInd w:val="0"/>
        <w:snapToGrid w:val="0"/>
        <w:ind w:firstLine="560"/>
        <w:rPr>
          <w:rFonts w:eastAsia="仿宋_GB2312" w:cs="Times New Roman"/>
          <w:bCs/>
        </w:rPr>
      </w:pPr>
      <w:r>
        <w:rPr>
          <w:rFonts w:eastAsia="仿宋_GB2312" w:cs="Times New Roman"/>
          <w:bCs/>
        </w:rPr>
        <w:t>1）赤壁市赵李桥供电所充电站，位于赤壁市赵李桥供电所，现有1台7kW一机一枪交流充电桩和1台60kW一机一枪直流充电桩。</w:t>
      </w:r>
    </w:p>
    <w:p>
      <w:pPr>
        <w:adjustRightInd w:val="0"/>
        <w:snapToGrid w:val="0"/>
        <w:ind w:firstLine="560"/>
        <w:rPr>
          <w:rFonts w:eastAsia="仿宋_GB2312" w:cs="Times New Roman"/>
          <w:bCs/>
        </w:rPr>
      </w:pPr>
      <w:r>
        <w:rPr>
          <w:rFonts w:eastAsia="仿宋_GB2312" w:cs="Times New Roman"/>
          <w:bCs/>
        </w:rPr>
        <w:t xml:space="preserve"> 2）赤壁市新店供电所充电站，位于赤壁市新店供电所，现有1台7kW一机一枪交流充电桩和1台60kW一机一枪直流充电桩。</w:t>
      </w:r>
    </w:p>
    <w:p>
      <w:pPr>
        <w:adjustRightInd w:val="0"/>
        <w:snapToGrid w:val="0"/>
        <w:ind w:firstLine="560"/>
        <w:rPr>
          <w:rFonts w:eastAsia="仿宋_GB2312" w:cs="Times New Roman"/>
          <w:bCs/>
        </w:rPr>
      </w:pPr>
      <w:r>
        <w:rPr>
          <w:rFonts w:eastAsia="仿宋_GB2312" w:cs="Times New Roman"/>
          <w:bCs/>
        </w:rPr>
        <w:t>3）赤壁市茶庵供电所充电站，位于赤壁市茶庵供电所，现有1台7kW一机一枪交流充电桩和1台60kW一机一枪直流充电桩。</w:t>
      </w:r>
    </w:p>
    <w:p>
      <w:pPr>
        <w:adjustRightInd w:val="0"/>
        <w:snapToGrid w:val="0"/>
        <w:ind w:firstLine="560"/>
        <w:rPr>
          <w:rFonts w:eastAsia="仿宋_GB2312" w:cs="Times New Roman"/>
          <w:bCs/>
        </w:rPr>
      </w:pPr>
      <w:r>
        <w:rPr>
          <w:rFonts w:eastAsia="仿宋_GB2312" w:cs="Times New Roman"/>
          <w:bCs/>
        </w:rPr>
        <w:t>4）赤壁市车埠供电所充电站，位于赤壁市车埠供电所，现有1台7kW一机一枪交流充电桩和1台60kW一机一枪直流充电桩。</w:t>
      </w:r>
    </w:p>
    <w:p>
      <w:pPr>
        <w:adjustRightInd w:val="0"/>
        <w:snapToGrid w:val="0"/>
        <w:ind w:firstLine="560"/>
        <w:rPr>
          <w:rFonts w:eastAsia="仿宋_GB2312" w:cs="Times New Roman"/>
          <w:bCs/>
        </w:rPr>
      </w:pPr>
      <w:r>
        <w:rPr>
          <w:rFonts w:eastAsia="仿宋_GB2312" w:cs="Times New Roman"/>
          <w:bCs/>
        </w:rPr>
        <w:t>5）赤壁市黄盖湖供电所充电站，位于赤壁市黄盖湖供电所，现有1台7kW一机一枪交流充电桩和1台60kW一机一枪直流充电桩。</w:t>
      </w:r>
    </w:p>
    <w:p>
      <w:pPr>
        <w:adjustRightInd w:val="0"/>
        <w:snapToGrid w:val="0"/>
        <w:ind w:firstLine="560"/>
        <w:rPr>
          <w:rFonts w:eastAsia="仿宋_GB2312" w:cs="Times New Roman"/>
          <w:bCs/>
        </w:rPr>
      </w:pPr>
      <w:r>
        <w:rPr>
          <w:rFonts w:eastAsia="仿宋_GB2312" w:cs="Times New Roman"/>
          <w:bCs/>
        </w:rPr>
        <w:t>6）赤壁古战场国家电网充电站，位于咸宁市赤壁古战场附近，现有4台60kW一机一枪直流充电桩。</w:t>
      </w:r>
    </w:p>
    <w:p>
      <w:pPr>
        <w:adjustRightInd w:val="0"/>
        <w:snapToGrid w:val="0"/>
        <w:ind w:firstLine="560"/>
        <w:rPr>
          <w:rFonts w:eastAsia="仿宋_GB2312" w:cs="Times New Roman"/>
          <w:bCs/>
        </w:rPr>
      </w:pPr>
      <w:r>
        <w:rPr>
          <w:rFonts w:eastAsia="仿宋_GB2312" w:cs="Times New Roman"/>
          <w:bCs/>
        </w:rPr>
        <w:t>7）赤壁市陆水湖供电所充电站，位于赤壁市陆水湖供电所，现有1台7kW一机一枪交流充电桩和1台60kW一机一枪直流充电桩。</w:t>
      </w:r>
    </w:p>
    <w:p>
      <w:pPr>
        <w:adjustRightInd w:val="0"/>
        <w:snapToGrid w:val="0"/>
        <w:ind w:firstLine="560"/>
        <w:rPr>
          <w:rFonts w:eastAsia="仿宋_GB2312" w:cs="Times New Roman"/>
          <w:bCs/>
        </w:rPr>
      </w:pPr>
      <w:r>
        <w:rPr>
          <w:rFonts w:eastAsia="仿宋_GB2312" w:cs="Times New Roman"/>
          <w:bCs/>
        </w:rPr>
        <w:t>8）赤壁市凤凰城充电站，位于赤壁市凤凰城小区，现有4台60kW一机一枪直流充电桩和2台120kW一机两枪直流充电桩。</w:t>
      </w:r>
    </w:p>
    <w:p>
      <w:pPr>
        <w:adjustRightInd w:val="0"/>
        <w:snapToGrid w:val="0"/>
        <w:ind w:firstLine="560"/>
        <w:rPr>
          <w:rFonts w:eastAsia="仿宋_GB2312" w:cs="Times New Roman"/>
          <w:bCs/>
        </w:rPr>
      </w:pPr>
      <w:r>
        <w:rPr>
          <w:rFonts w:eastAsia="仿宋_GB2312" w:cs="Times New Roman"/>
          <w:bCs/>
        </w:rPr>
        <w:t>9）赤壁市莼川供电营业厅充电站，位于赤壁市金鸡山路68号，现有1台7kW一机一枪交流充电桩和1台60kW一机一枪直流充电桩。</w:t>
      </w:r>
    </w:p>
    <w:p>
      <w:pPr>
        <w:adjustRightInd w:val="0"/>
        <w:snapToGrid w:val="0"/>
        <w:ind w:firstLine="560"/>
        <w:rPr>
          <w:rFonts w:eastAsia="仿宋_GB2312" w:cs="Times New Roman"/>
          <w:bCs/>
        </w:rPr>
      </w:pPr>
      <w:r>
        <w:rPr>
          <w:rFonts w:eastAsia="仿宋_GB2312" w:cs="Times New Roman"/>
          <w:bCs/>
        </w:rPr>
        <w:t>10）赤壁市赤马港供电所充电站，位于赤壁市赤马港供电所，现有1台7kW一机一枪交流充电桩和1台60kW一机一枪直流充电桩。</w:t>
      </w:r>
    </w:p>
    <w:p>
      <w:pPr>
        <w:adjustRightInd w:val="0"/>
        <w:snapToGrid w:val="0"/>
        <w:ind w:firstLine="560"/>
        <w:rPr>
          <w:rFonts w:eastAsia="仿宋_GB2312" w:cs="Times New Roman"/>
          <w:bCs/>
        </w:rPr>
      </w:pPr>
      <w:r>
        <w:rPr>
          <w:rFonts w:eastAsia="仿宋_GB2312" w:cs="Times New Roman"/>
          <w:bCs/>
        </w:rPr>
        <w:t>11）赤壁市沁园小区充电站，位于赤壁市沁园小区停车场，现有4台60kW一机一枪直流充电桩和2台120kW一机两枪直流充电桩。</w:t>
      </w:r>
    </w:p>
    <w:p>
      <w:pPr>
        <w:adjustRightInd w:val="0"/>
        <w:snapToGrid w:val="0"/>
        <w:ind w:firstLine="560"/>
        <w:rPr>
          <w:rFonts w:eastAsia="仿宋_GB2312" w:cs="Times New Roman"/>
          <w:bCs/>
        </w:rPr>
      </w:pPr>
      <w:r>
        <w:rPr>
          <w:rFonts w:eastAsia="仿宋_GB2312" w:cs="Times New Roman"/>
          <w:bCs/>
        </w:rPr>
        <w:t>12）赤壁市龙翔山充电站，位于赤壁市龙翔山供电所河北大道238号，现有1台7kW一机一枪交流充电桩和1台60kW一机一枪直流充电桩。</w:t>
      </w:r>
    </w:p>
    <w:p>
      <w:pPr>
        <w:adjustRightInd w:val="0"/>
        <w:snapToGrid w:val="0"/>
        <w:ind w:firstLine="560"/>
        <w:rPr>
          <w:rFonts w:eastAsia="仿宋_GB2312" w:cs="Times New Roman"/>
          <w:bCs/>
        </w:rPr>
      </w:pPr>
      <w:r>
        <w:rPr>
          <w:rFonts w:eastAsia="仿宋_GB2312" w:cs="Times New Roman"/>
          <w:bCs/>
        </w:rPr>
        <w:t>13）赤壁市开发区充电站，位于赤壁市蒲圻大道富康路口，现有4台60kW一机一枪直流充电桩和2台120kW一机两枪直流充电桩。</w:t>
      </w:r>
    </w:p>
    <w:p>
      <w:pPr>
        <w:adjustRightInd w:val="0"/>
        <w:snapToGrid w:val="0"/>
        <w:ind w:firstLine="560"/>
        <w:rPr>
          <w:rFonts w:eastAsia="仿宋_GB2312" w:cs="Times New Roman"/>
          <w:bCs/>
        </w:rPr>
      </w:pPr>
      <w:r>
        <w:rPr>
          <w:rFonts w:eastAsia="仿宋_GB2312" w:cs="Times New Roman"/>
          <w:bCs/>
        </w:rPr>
        <w:t>14）赤壁市中伙供电所充电站，位于赤壁市宝辉路中伙小学南侧250米，现有1台7kW一机一枪交流充电桩和1台60kW一机一枪直流充电桩。</w:t>
      </w:r>
    </w:p>
    <w:p>
      <w:pPr>
        <w:adjustRightInd w:val="0"/>
        <w:snapToGrid w:val="0"/>
        <w:ind w:firstLine="560"/>
        <w:rPr>
          <w:rFonts w:eastAsia="仿宋_GB2312" w:cs="Times New Roman"/>
          <w:bCs/>
        </w:rPr>
      </w:pPr>
      <w:r>
        <w:rPr>
          <w:rFonts w:eastAsia="仿宋_GB2312" w:cs="Times New Roman"/>
          <w:bCs/>
        </w:rPr>
        <w:t>15）赤壁市官塘供电所充电站，位于赤壁市官塘供电所，现有1台7kW一机一枪交流充电桩和1台60kW一机一枪直流充电桩。</w:t>
      </w:r>
    </w:p>
    <w:p>
      <w:pPr>
        <w:adjustRightInd w:val="0"/>
        <w:snapToGrid w:val="0"/>
        <w:ind w:firstLine="560"/>
        <w:rPr>
          <w:rFonts w:eastAsia="仿宋_GB2312" w:cs="Times New Roman"/>
          <w:bCs/>
        </w:rPr>
      </w:pPr>
      <w:r>
        <w:rPr>
          <w:rFonts w:eastAsia="仿宋_GB2312" w:cs="Times New Roman"/>
          <w:bCs/>
        </w:rPr>
        <w:t>16）赤壁市神山供电所充电站，位于赤壁市神山供电所，现有1台7kW一机一枪交流充电桩和1台60kW一机一枪直流充电桩。</w:t>
      </w:r>
    </w:p>
    <w:p>
      <w:pPr>
        <w:adjustRightInd w:val="0"/>
        <w:snapToGrid w:val="0"/>
        <w:ind w:firstLine="560"/>
        <w:rPr>
          <w:rFonts w:eastAsia="仿宋_GB2312" w:cs="Times New Roman"/>
          <w:bCs/>
        </w:rPr>
      </w:pPr>
      <w:r>
        <w:rPr>
          <w:rFonts w:eastAsia="仿宋_GB2312" w:cs="Times New Roman"/>
          <w:bCs/>
        </w:rPr>
        <w:t>17）赤壁美丽乡村建设开发有限公司（羊楼洞景区）充电站，位于赤壁市羊楼洞景区停车场，现有12台60kW一机一枪直流充电桩。</w:t>
      </w:r>
    </w:p>
    <w:p>
      <w:pPr>
        <w:adjustRightInd w:val="0"/>
        <w:snapToGrid w:val="0"/>
        <w:ind w:firstLine="560"/>
        <w:rPr>
          <w:rFonts w:eastAsia="仿宋_GB2312" w:cs="Times New Roman"/>
          <w:bCs/>
        </w:rPr>
      </w:pPr>
      <w:r>
        <w:rPr>
          <w:rFonts w:eastAsia="仿宋_GB2312" w:cs="Times New Roman"/>
          <w:bCs/>
        </w:rPr>
        <w:t>18）赤壁站充电站，位于赤壁市银轮大道东8号赤壁站，现有4台120kW一机两枪直流充电桩。</w:t>
      </w:r>
    </w:p>
    <w:p>
      <w:pPr>
        <w:adjustRightInd w:val="0"/>
        <w:snapToGrid w:val="0"/>
        <w:ind w:firstLine="0" w:firstLineChars="0"/>
        <w:jc w:val="center"/>
        <w:rPr>
          <w:rFonts w:eastAsia="仿宋_GB2312" w:cs="Times New Roman"/>
          <w:bCs/>
        </w:rPr>
      </w:pPr>
      <w:r>
        <w:rPr>
          <w:rFonts w:eastAsia="仿宋_GB2312" w:cs="Times New Roman"/>
          <w:bCs/>
        </w:rPr>
        <w:drawing>
          <wp:inline distT="0" distB="0" distL="114300" distR="114300">
            <wp:extent cx="2591435" cy="1943735"/>
            <wp:effectExtent l="0" t="0" r="14605" b="6985"/>
            <wp:docPr id="67" name="图片 67" descr="IMG_20220628_0946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67" descr="IMG_20220628_094629"/>
                    <pic:cNvPicPr>
                      <a:picLocks noChangeAspect="true"/>
                    </pic:cNvPicPr>
                  </pic:nvPicPr>
                  <pic:blipFill>
                    <a:blip r:embed="rId39"/>
                    <a:stretch>
                      <a:fillRect/>
                    </a:stretch>
                  </pic:blipFill>
                  <pic:spPr>
                    <a:xfrm>
                      <a:off x="0" y="0"/>
                      <a:ext cx="2591435" cy="1943735"/>
                    </a:xfrm>
                    <a:prstGeom prst="rect">
                      <a:avLst/>
                    </a:prstGeom>
                  </pic:spPr>
                </pic:pic>
              </a:graphicData>
            </a:graphic>
          </wp:inline>
        </w:drawing>
      </w:r>
      <w:r>
        <w:rPr>
          <w:rFonts w:eastAsia="仿宋_GB2312" w:cs="Times New Roman"/>
          <w:bCs/>
        </w:rPr>
        <w:drawing>
          <wp:inline distT="0" distB="0" distL="114300" distR="114300">
            <wp:extent cx="2591435" cy="1943735"/>
            <wp:effectExtent l="0" t="0" r="14605" b="6985"/>
            <wp:docPr id="68" name="图片 68" descr="IMG_20220628_0946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68" descr="IMG_20220628_094631"/>
                    <pic:cNvPicPr>
                      <a:picLocks noChangeAspect="true"/>
                    </pic:cNvPicPr>
                  </pic:nvPicPr>
                  <pic:blipFill>
                    <a:blip r:embed="rId40"/>
                    <a:stretch>
                      <a:fillRect/>
                    </a:stretch>
                  </pic:blipFill>
                  <pic:spPr>
                    <a:xfrm>
                      <a:off x="0" y="0"/>
                      <a:ext cx="2591435" cy="1943735"/>
                    </a:xfrm>
                    <a:prstGeom prst="rect">
                      <a:avLst/>
                    </a:prstGeom>
                  </pic:spPr>
                </pic:pic>
              </a:graphicData>
            </a:graphic>
          </wp:inline>
        </w:drawing>
      </w:r>
    </w:p>
    <w:p>
      <w:pPr>
        <w:pStyle w:val="19"/>
        <w:adjustRightInd w:val="0"/>
        <w:snapToGrid w:val="0"/>
        <w:rPr>
          <w:rFonts w:eastAsia="仿宋_GB2312" w:cs="Times New Roman"/>
          <w:bCs/>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13</w:t>
      </w:r>
      <w:r>
        <w:rPr>
          <w:rFonts w:eastAsia="仿宋_GB2312" w:cs="Times New Roman"/>
        </w:rPr>
        <w:fldChar w:fldCharType="end"/>
      </w:r>
      <w:r>
        <w:rPr>
          <w:rFonts w:eastAsia="仿宋_GB2312" w:cs="Times New Roman"/>
          <w:bCs/>
        </w:rPr>
        <w:t>赤壁站充电站</w:t>
      </w:r>
    </w:p>
    <w:p>
      <w:pPr>
        <w:pStyle w:val="19"/>
        <w:adjustRightInd w:val="0"/>
        <w:snapToGrid w:val="0"/>
        <w:ind w:firstLine="560"/>
        <w:rPr>
          <w:rFonts w:eastAsia="仿宋_GB2312" w:cs="Times New Roman"/>
          <w:bCs/>
          <w:szCs w:val="24"/>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11</w:t>
      </w:r>
      <w:r>
        <w:rPr>
          <w:rFonts w:eastAsia="仿宋_GB2312" w:cs="Times New Roman"/>
        </w:rPr>
        <w:fldChar w:fldCharType="end"/>
      </w:r>
      <w:r>
        <w:rPr>
          <w:rFonts w:eastAsia="仿宋_GB2312" w:cs="Times New Roman"/>
        </w:rPr>
        <w:t xml:space="preserve"> </w:t>
      </w:r>
      <w:r>
        <w:rPr>
          <w:rFonts w:eastAsia="仿宋_GB2312" w:cs="Times New Roman"/>
          <w:bCs/>
          <w:szCs w:val="24"/>
        </w:rPr>
        <w:t>赤壁市现有城市公共充电站规模明细表</w:t>
      </w:r>
    </w:p>
    <w:tbl>
      <w:tblPr>
        <w:tblStyle w:val="76"/>
        <w:tblW w:w="5010" w:type="pct"/>
        <w:tblInd w:w="0" w:type="dxa"/>
        <w:tblLayout w:type="autofit"/>
        <w:tblCellMar>
          <w:top w:w="0" w:type="dxa"/>
          <w:left w:w="0" w:type="dxa"/>
          <w:bottom w:w="0" w:type="dxa"/>
          <w:right w:w="0" w:type="dxa"/>
        </w:tblCellMar>
      </w:tblPr>
      <w:tblGrid>
        <w:gridCol w:w="754"/>
        <w:gridCol w:w="2781"/>
        <w:gridCol w:w="3026"/>
        <w:gridCol w:w="840"/>
        <w:gridCol w:w="932"/>
      </w:tblGrid>
      <w:tr>
        <w:tblPrEx>
          <w:tblCellMar>
            <w:top w:w="0" w:type="dxa"/>
            <w:left w:w="0" w:type="dxa"/>
            <w:bottom w:w="0" w:type="dxa"/>
            <w:right w:w="0" w:type="dxa"/>
          </w:tblCellMar>
        </w:tblPrEx>
        <w:trPr>
          <w:trHeight w:val="142" w:hRule="atLeast"/>
          <w:tblHeader/>
        </w:trPr>
        <w:tc>
          <w:tcPr>
            <w:tcW w:w="45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现状桩数</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充电功率</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赤壁市赵李桥供电所充电站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现有1台7kW一机一枪交流充电桩和1台60kW一机一枪直流充电桩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67</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赤壁市新店供电所充电站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现有1台7kW一机一枪交流充电桩和1台60kW一机一枪直流充电桩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67</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赤壁市茶庵供电所充电站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现有1台7kW一机一枪交流充电桩和1台60kW一机一枪直流充电桩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67</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赤壁市车埠供电所充电站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现有1台7kW一机一枪交流充电桩和1台60kW一机一枪直流充电桩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67</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赤壁市黄盖湖供电所充电站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现有1台7kW一机一枪交流充电桩和1台60kW一机一枪直流充电桩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67</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赤壁古战场国家电网充电站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赤壁市陆水湖供电所充电站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现有1台7kW一机一枪交流充电桩和1台60kW一机一枪直流充电桩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67</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赤壁市凤凰城充电站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现有4台60kW一机一枪直流充电桩和2台120kW一机两枪直流充电桩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赤壁市莼川供电营业厅充电站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现有1台7kW一机一枪交流充电桩和1台60kW一机一枪直流充电桩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67</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赤壁市赤马港供电所充电站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现有1台7kW一机一枪交流充电桩和1台60kW一机一枪直流充电桩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67</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11</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赤壁市沁园小区充电站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现有4台60kW一机一枪直流充电桩和2台120kW一机一枪直流充电桩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赤壁市龙翔山充电站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现有1台7kW一机一枪交流充电桩和1台60kW一机一枪直流充电桩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67</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13</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赤壁市开发区充电站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现有4台60kW一机一枪直流充电桩和2台120kW一机两枪直流充电桩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14</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赤壁市中伙供电所充电站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现有1台7kW一机一枪交流充电桩和1台60kW一机一枪直流充电桩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67</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15</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赤壁市官塘供电所充电站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现有1台7kW一机一枪交流充电桩和1台60kW一机一枪直流充电桩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67</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赤壁市神山供电所充电站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现有1台7kW一机一枪交流充电桩和1台60kW一机一枪直流充电桩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67</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17</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赤壁美丽乡村建设开发有限公司（羊楼洞景区）充电站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现有12台60kW一机一枪直流充电桩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720</w:t>
            </w:r>
          </w:p>
        </w:tc>
      </w:tr>
      <w:tr>
        <w:tblPrEx>
          <w:tblCellMar>
            <w:top w:w="0" w:type="dxa"/>
            <w:left w:w="0" w:type="dxa"/>
            <w:bottom w:w="0" w:type="dxa"/>
            <w:right w:w="0" w:type="dxa"/>
          </w:tblCellMar>
        </w:tblPrEx>
        <w:trPr>
          <w:trHeight w:val="90"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18</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赤壁站充电站</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现有4台120kW一机两枪直流充电桩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142"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66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8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50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72</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3684</w:t>
            </w:r>
          </w:p>
        </w:tc>
      </w:tr>
    </w:tbl>
    <w:p>
      <w:pPr>
        <w:pStyle w:val="5"/>
        <w:adjustRightInd w:val="0"/>
        <w:snapToGrid w:val="0"/>
        <w:spacing w:before="156" w:beforeLines="50" w:after="156" w:afterLines="50"/>
        <w:rPr>
          <w:rFonts w:eastAsia="仿宋_GB2312" w:cs="Times New Roman"/>
        </w:rPr>
      </w:pPr>
      <w:r>
        <w:rPr>
          <w:rFonts w:eastAsia="仿宋_GB2312" w:cs="Times New Roman"/>
        </w:rPr>
        <w:t>嘉鱼县充电设施现状</w:t>
      </w:r>
    </w:p>
    <w:p>
      <w:pPr>
        <w:pStyle w:val="19"/>
        <w:adjustRightInd w:val="0"/>
        <w:snapToGrid w:val="0"/>
        <w:spacing w:line="360" w:lineRule="auto"/>
        <w:ind w:firstLine="560" w:firstLineChars="200"/>
        <w:jc w:val="both"/>
        <w:rPr>
          <w:rFonts w:eastAsia="仿宋_GB2312" w:cs="Times New Roman"/>
          <w:b w:val="0"/>
          <w:bCs/>
          <w:sz w:val="28"/>
          <w:szCs w:val="28"/>
        </w:rPr>
      </w:pPr>
      <w:r>
        <w:rPr>
          <w:rFonts w:eastAsia="仿宋_GB2312" w:cs="Times New Roman"/>
          <w:b w:val="0"/>
          <w:bCs/>
          <w:sz w:val="28"/>
          <w:szCs w:val="28"/>
        </w:rPr>
        <w:t>截至2021年底，嘉鱼县有充电站7个，充电桩136个</w:t>
      </w:r>
      <w:r>
        <w:rPr>
          <w:rFonts w:hint="eastAsia" w:eastAsia="仿宋_GB2312" w:cs="Times New Roman"/>
          <w:b w:val="0"/>
          <w:bCs/>
          <w:sz w:val="28"/>
          <w:szCs w:val="28"/>
        </w:rPr>
        <w:t>，</w:t>
      </w:r>
      <w:r>
        <w:rPr>
          <w:rFonts w:eastAsia="仿宋_GB2312" w:cs="Times New Roman"/>
          <w:b w:val="0"/>
          <w:bCs/>
          <w:sz w:val="28"/>
          <w:szCs w:val="28"/>
        </w:rPr>
        <w:t>均为直流快充桩，充电总功率8160kW。其中高速服务区充电站4座，充电桩26个；公交充电站1座，充电桩100个；公共充电站2座，充电桩10个。</w:t>
      </w:r>
    </w:p>
    <w:p>
      <w:pPr>
        <w:adjustRightInd w:val="0"/>
        <w:snapToGrid w:val="0"/>
        <w:ind w:left="560" w:firstLine="0" w:firstLineChars="0"/>
        <w:rPr>
          <w:rFonts w:eastAsia="仿宋_GB2312" w:cs="Times New Roman"/>
          <w:b/>
        </w:rPr>
      </w:pPr>
      <w:r>
        <w:rPr>
          <w:rFonts w:eastAsia="仿宋_GB2312" w:cs="Times New Roman"/>
          <w:b/>
        </w:rPr>
        <w:t>1.公交充电站</w:t>
      </w:r>
    </w:p>
    <w:p>
      <w:pPr>
        <w:adjustRightInd w:val="0"/>
        <w:snapToGrid w:val="0"/>
        <w:ind w:firstLine="560"/>
        <w:rPr>
          <w:rFonts w:eastAsia="仿宋_GB2312" w:cs="Times New Roman"/>
          <w:bCs/>
        </w:rPr>
      </w:pPr>
      <w:r>
        <w:rPr>
          <w:rFonts w:eastAsia="仿宋_GB2312" w:cs="Times New Roman"/>
          <w:bCs/>
        </w:rPr>
        <w:t>1）湖北鸿祥新能源汽车租赁有限公司充电站，位于嘉鱼县鱼岳镇茶庵社区园区一路，现有100台60kW一机一枪直流充电桩。</w:t>
      </w:r>
    </w:p>
    <w:p>
      <w:pPr>
        <w:pStyle w:val="19"/>
        <w:adjustRightInd w:val="0"/>
        <w:snapToGrid w:val="0"/>
        <w:ind w:firstLine="560"/>
        <w:rPr>
          <w:rFonts w:eastAsia="仿宋_GB2312" w:cs="Times New Roman"/>
          <w:bCs/>
          <w:szCs w:val="24"/>
        </w:rPr>
      </w:pPr>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12</w:t>
      </w:r>
      <w:r>
        <w:rPr>
          <w:rFonts w:eastAsia="仿宋_GB2312" w:cs="Times New Roman"/>
        </w:rPr>
        <w:fldChar w:fldCharType="end"/>
      </w:r>
      <w:r>
        <w:rPr>
          <w:rFonts w:eastAsia="仿宋_GB2312" w:cs="Times New Roman"/>
        </w:rPr>
        <w:t>嘉鱼县</w:t>
      </w:r>
      <w:r>
        <w:rPr>
          <w:rFonts w:eastAsia="仿宋_GB2312" w:cs="Times New Roman"/>
          <w:bCs/>
          <w:szCs w:val="24"/>
        </w:rPr>
        <w:t>现有公交充电站规模明细表</w:t>
      </w:r>
    </w:p>
    <w:tbl>
      <w:tblPr>
        <w:tblStyle w:val="76"/>
        <w:tblW w:w="4998" w:type="pct"/>
        <w:tblInd w:w="0" w:type="dxa"/>
        <w:tblLayout w:type="autofit"/>
        <w:tblCellMar>
          <w:top w:w="0" w:type="dxa"/>
          <w:left w:w="0" w:type="dxa"/>
          <w:bottom w:w="0" w:type="dxa"/>
          <w:right w:w="0" w:type="dxa"/>
        </w:tblCellMar>
      </w:tblPr>
      <w:tblGrid>
        <w:gridCol w:w="751"/>
        <w:gridCol w:w="2775"/>
        <w:gridCol w:w="3019"/>
        <w:gridCol w:w="838"/>
        <w:gridCol w:w="930"/>
      </w:tblGrid>
      <w:tr>
        <w:tblPrEx>
          <w:tblCellMar>
            <w:top w:w="0" w:type="dxa"/>
            <w:left w:w="0" w:type="dxa"/>
            <w:bottom w:w="0" w:type="dxa"/>
            <w:right w:w="0" w:type="dxa"/>
          </w:tblCellMar>
        </w:tblPrEx>
        <w:trPr>
          <w:trHeight w:val="142" w:hRule="atLeast"/>
          <w:tblHeader/>
        </w:trPr>
        <w:tc>
          <w:tcPr>
            <w:tcW w:w="45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序号</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名称</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现状桩数</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充电桩数</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充电功率</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湖北鸿祥新能源汽车租赁有限公司充电站</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现有100台60kW一机一枪直流充电桩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100</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6000</w:t>
            </w:r>
          </w:p>
        </w:tc>
      </w:tr>
      <w:tr>
        <w:tblPrEx>
          <w:tblCellMar>
            <w:top w:w="0" w:type="dxa"/>
            <w:left w:w="0" w:type="dxa"/>
            <w:bottom w:w="0" w:type="dxa"/>
            <w:right w:w="0" w:type="dxa"/>
          </w:tblCellMar>
        </w:tblPrEx>
        <w:trPr>
          <w:trHeight w:val="142"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汇总</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50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100</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6000</w:t>
            </w:r>
          </w:p>
        </w:tc>
      </w:tr>
    </w:tbl>
    <w:p>
      <w:pPr>
        <w:adjustRightInd w:val="0"/>
        <w:snapToGrid w:val="0"/>
        <w:spacing w:before="156" w:beforeLines="50"/>
        <w:ind w:left="561" w:firstLine="0" w:firstLineChars="0"/>
        <w:rPr>
          <w:rFonts w:eastAsia="仿宋_GB2312" w:cs="Times New Roman"/>
          <w:b/>
        </w:rPr>
      </w:pPr>
      <w:r>
        <w:rPr>
          <w:rFonts w:eastAsia="仿宋_GB2312" w:cs="Times New Roman"/>
          <w:b/>
        </w:rPr>
        <w:t>2.公共充电站</w:t>
      </w:r>
    </w:p>
    <w:p>
      <w:pPr>
        <w:adjustRightInd w:val="0"/>
        <w:snapToGrid w:val="0"/>
        <w:ind w:firstLine="560"/>
        <w:rPr>
          <w:rFonts w:eastAsia="仿宋_GB2312" w:cs="Times New Roman"/>
          <w:bCs/>
        </w:rPr>
      </w:pPr>
      <w:r>
        <w:rPr>
          <w:rFonts w:eastAsia="仿宋_GB2312" w:cs="Times New Roman"/>
          <w:bCs/>
        </w:rPr>
        <w:t>1）嘉鱼县第一小学充电站，位于嘉鱼县鱼岳镇茶庵社区发展诗经大道，现有3台120kW一机双枪直流充电桩。</w:t>
      </w:r>
    </w:p>
    <w:p>
      <w:pPr>
        <w:adjustRightInd w:val="0"/>
        <w:snapToGrid w:val="0"/>
        <w:ind w:firstLine="560"/>
        <w:rPr>
          <w:rFonts w:eastAsia="仿宋_GB2312" w:cs="Times New Roman"/>
          <w:bCs/>
        </w:rPr>
      </w:pPr>
      <w:r>
        <w:rPr>
          <w:rFonts w:eastAsia="仿宋_GB2312" w:cs="Times New Roman"/>
          <w:bCs/>
        </w:rPr>
        <w:t xml:space="preserve"> 2）嘉鱼县官桥八组充电站，位于嘉鱼县官桥镇官桥村民委员会官桥八组，现有2台120kW一机双枪直流充电桩。</w:t>
      </w:r>
    </w:p>
    <w:p>
      <w:pPr>
        <w:pStyle w:val="19"/>
        <w:adjustRightInd w:val="0"/>
        <w:snapToGrid w:val="0"/>
        <w:ind w:firstLine="560"/>
        <w:rPr>
          <w:rFonts w:eastAsia="仿宋_GB2312" w:cs="Times New Roman"/>
          <w:bCs/>
          <w:szCs w:val="24"/>
        </w:rPr>
      </w:pPr>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13</w:t>
      </w:r>
      <w:r>
        <w:rPr>
          <w:rFonts w:eastAsia="仿宋_GB2312" w:cs="Times New Roman"/>
        </w:rPr>
        <w:fldChar w:fldCharType="end"/>
      </w:r>
      <w:r>
        <w:rPr>
          <w:rFonts w:eastAsia="仿宋_GB2312" w:cs="Times New Roman"/>
          <w:bCs/>
          <w:szCs w:val="24"/>
        </w:rPr>
        <w:t>嘉鱼县现有城市公共充电站规模明细表</w:t>
      </w:r>
    </w:p>
    <w:tbl>
      <w:tblPr>
        <w:tblStyle w:val="76"/>
        <w:tblW w:w="5010" w:type="pct"/>
        <w:tblInd w:w="0" w:type="dxa"/>
        <w:tblLayout w:type="autofit"/>
        <w:tblCellMar>
          <w:top w:w="0" w:type="dxa"/>
          <w:left w:w="0" w:type="dxa"/>
          <w:bottom w:w="0" w:type="dxa"/>
          <w:right w:w="0" w:type="dxa"/>
        </w:tblCellMar>
      </w:tblPr>
      <w:tblGrid>
        <w:gridCol w:w="752"/>
        <w:gridCol w:w="2782"/>
        <w:gridCol w:w="3027"/>
        <w:gridCol w:w="840"/>
        <w:gridCol w:w="932"/>
      </w:tblGrid>
      <w:tr>
        <w:tblPrEx>
          <w:tblCellMar>
            <w:top w:w="0" w:type="dxa"/>
            <w:left w:w="0" w:type="dxa"/>
            <w:bottom w:w="0" w:type="dxa"/>
            <w:right w:w="0" w:type="dxa"/>
          </w:tblCellMar>
        </w:tblPrEx>
        <w:trPr>
          <w:trHeight w:val="142" w:hRule="atLeast"/>
          <w:tblHeader/>
        </w:trPr>
        <w:tc>
          <w:tcPr>
            <w:tcW w:w="451"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序号</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名称</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现状桩数</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充电桩数</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充电功率</w:t>
            </w:r>
          </w:p>
        </w:tc>
      </w:tr>
      <w:tr>
        <w:tblPrEx>
          <w:tblCellMar>
            <w:top w:w="0" w:type="dxa"/>
            <w:left w:w="0" w:type="dxa"/>
            <w:bottom w:w="0" w:type="dxa"/>
            <w:right w:w="0" w:type="dxa"/>
          </w:tblCellMar>
        </w:tblPrEx>
        <w:trPr>
          <w:trHeight w:val="233" w:hRule="atLeast"/>
        </w:trPr>
        <w:tc>
          <w:tcPr>
            <w:tcW w:w="451"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exact"/>
              <w:ind w:firstLine="0" w:firstLineChars="0"/>
              <w:jc w:val="center"/>
              <w:rPr>
                <w:rFonts w:eastAsia="仿宋_GB2312" w:cs="Times New Roman"/>
                <w:kern w:val="0"/>
                <w:sz w:val="21"/>
                <w:szCs w:val="21"/>
              </w:rPr>
            </w:pPr>
            <w:r>
              <w:rPr>
                <w:rFonts w:eastAsia="仿宋_GB2312" w:cs="Times New Roman"/>
                <w:kern w:val="0"/>
                <w:sz w:val="21"/>
                <w:szCs w:val="21"/>
              </w:rPr>
              <w:t>嘉鱼县第一小学充电站</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bCs/>
                <w:sz w:val="21"/>
                <w:szCs w:val="21"/>
              </w:rPr>
              <w:t>现有3台120kW一机双枪直流充电桩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360</w:t>
            </w:r>
          </w:p>
        </w:tc>
      </w:tr>
      <w:tr>
        <w:tblPrEx>
          <w:tblCellMar>
            <w:top w:w="0" w:type="dxa"/>
            <w:left w:w="0" w:type="dxa"/>
            <w:bottom w:w="0" w:type="dxa"/>
            <w:right w:w="0" w:type="dxa"/>
          </w:tblCellMar>
        </w:tblPrEx>
        <w:trPr>
          <w:trHeight w:val="233" w:hRule="atLeast"/>
        </w:trPr>
        <w:tc>
          <w:tcPr>
            <w:tcW w:w="451"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exact"/>
              <w:ind w:firstLine="0" w:firstLineChars="0"/>
              <w:jc w:val="center"/>
              <w:rPr>
                <w:rFonts w:eastAsia="仿宋_GB2312" w:cs="Times New Roman"/>
                <w:kern w:val="0"/>
                <w:sz w:val="21"/>
                <w:szCs w:val="21"/>
              </w:rPr>
            </w:pPr>
            <w:r>
              <w:rPr>
                <w:rFonts w:eastAsia="仿宋_GB2312" w:cs="Times New Roman"/>
                <w:kern w:val="0"/>
                <w:sz w:val="21"/>
                <w:szCs w:val="21"/>
              </w:rPr>
              <w:t>嘉鱼县官桥八组充电站</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bCs/>
                <w:sz w:val="21"/>
                <w:szCs w:val="21"/>
              </w:rPr>
              <w:t>现有2台120kW一机双枪直流充电桩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240</w:t>
            </w:r>
          </w:p>
        </w:tc>
      </w:tr>
      <w:tr>
        <w:tblPrEx>
          <w:tblCellMar>
            <w:top w:w="0" w:type="dxa"/>
            <w:left w:w="0" w:type="dxa"/>
            <w:bottom w:w="0" w:type="dxa"/>
            <w:right w:w="0" w:type="dxa"/>
          </w:tblCellMar>
        </w:tblPrEx>
        <w:trPr>
          <w:trHeight w:val="142" w:hRule="atLeast"/>
        </w:trPr>
        <w:tc>
          <w:tcPr>
            <w:tcW w:w="451"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汇总</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50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600</w:t>
            </w:r>
          </w:p>
        </w:tc>
      </w:tr>
    </w:tbl>
    <w:p>
      <w:pPr>
        <w:pStyle w:val="5"/>
        <w:adjustRightInd w:val="0"/>
        <w:snapToGrid w:val="0"/>
        <w:spacing w:before="156" w:beforeLines="50" w:after="156" w:afterLines="50"/>
        <w:rPr>
          <w:rFonts w:eastAsia="仿宋_GB2312" w:cs="Times New Roman"/>
        </w:rPr>
      </w:pPr>
      <w:r>
        <w:rPr>
          <w:rFonts w:eastAsia="仿宋_GB2312" w:cs="Times New Roman"/>
        </w:rPr>
        <w:t>通城县充电设施现状</w:t>
      </w:r>
    </w:p>
    <w:p>
      <w:pPr>
        <w:pStyle w:val="19"/>
        <w:adjustRightInd w:val="0"/>
        <w:snapToGrid w:val="0"/>
        <w:spacing w:line="360" w:lineRule="auto"/>
        <w:ind w:firstLine="560" w:firstLineChars="200"/>
        <w:jc w:val="both"/>
        <w:rPr>
          <w:rFonts w:eastAsia="仿宋_GB2312" w:cs="Times New Roman"/>
          <w:b w:val="0"/>
          <w:bCs/>
          <w:sz w:val="28"/>
          <w:szCs w:val="28"/>
        </w:rPr>
      </w:pPr>
      <w:r>
        <w:rPr>
          <w:rFonts w:eastAsia="仿宋_GB2312" w:cs="Times New Roman"/>
          <w:b w:val="0"/>
          <w:bCs/>
          <w:sz w:val="28"/>
          <w:szCs w:val="28"/>
        </w:rPr>
        <w:t>截至2021年底，通城县有充电站3个，充电桩68个</w:t>
      </w:r>
      <w:r>
        <w:rPr>
          <w:rFonts w:hint="eastAsia" w:eastAsia="仿宋_GB2312" w:cs="Times New Roman"/>
          <w:b w:val="0"/>
          <w:bCs/>
          <w:sz w:val="28"/>
          <w:szCs w:val="28"/>
        </w:rPr>
        <w:t>，</w:t>
      </w:r>
      <w:r>
        <w:rPr>
          <w:rFonts w:eastAsia="仿宋_GB2312" w:cs="Times New Roman"/>
          <w:b w:val="0"/>
          <w:bCs/>
          <w:sz w:val="28"/>
          <w:szCs w:val="28"/>
        </w:rPr>
        <w:t>均为直流快充桩，充电总功率3780kW。其中公交充电站1座，充电桩60个；公共充电站2座，充电桩8个。</w:t>
      </w:r>
    </w:p>
    <w:p>
      <w:pPr>
        <w:adjustRightInd w:val="0"/>
        <w:snapToGrid w:val="0"/>
        <w:ind w:left="560" w:firstLine="0" w:firstLineChars="0"/>
        <w:rPr>
          <w:rFonts w:eastAsia="仿宋_GB2312" w:cs="Times New Roman"/>
          <w:b/>
        </w:rPr>
      </w:pPr>
      <w:r>
        <w:rPr>
          <w:rFonts w:eastAsia="仿宋_GB2312" w:cs="Times New Roman"/>
          <w:b/>
        </w:rPr>
        <w:t>1.公交充电站</w:t>
      </w:r>
    </w:p>
    <w:p>
      <w:pPr>
        <w:adjustRightInd w:val="0"/>
        <w:snapToGrid w:val="0"/>
        <w:ind w:firstLine="560"/>
        <w:rPr>
          <w:rFonts w:eastAsia="仿宋_GB2312" w:cs="Times New Roman"/>
          <w:bCs/>
        </w:rPr>
      </w:pPr>
      <w:r>
        <w:rPr>
          <w:rFonts w:eastAsia="仿宋_GB2312" w:cs="Times New Roman"/>
          <w:bCs/>
        </w:rPr>
        <w:t>1）久联充电站，位于通城县玉立大道，现有2台120kW一机双枪直流充电桩和14台160kW一机四枪直流充电桩。</w:t>
      </w:r>
    </w:p>
    <w:p>
      <w:pPr>
        <w:pStyle w:val="19"/>
        <w:adjustRightInd w:val="0"/>
        <w:snapToGrid w:val="0"/>
        <w:ind w:firstLine="560"/>
        <w:rPr>
          <w:rFonts w:eastAsia="仿宋_GB2312" w:cs="Times New Roman"/>
          <w:bCs/>
          <w:szCs w:val="24"/>
        </w:rPr>
      </w:pPr>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14</w:t>
      </w:r>
      <w:r>
        <w:rPr>
          <w:rFonts w:eastAsia="仿宋_GB2312" w:cs="Times New Roman"/>
        </w:rPr>
        <w:fldChar w:fldCharType="end"/>
      </w:r>
      <w:r>
        <w:rPr>
          <w:rFonts w:eastAsia="仿宋_GB2312" w:cs="Times New Roman"/>
        </w:rPr>
        <w:t>通城县</w:t>
      </w:r>
      <w:r>
        <w:rPr>
          <w:rFonts w:eastAsia="仿宋_GB2312" w:cs="Times New Roman"/>
          <w:bCs/>
          <w:szCs w:val="24"/>
        </w:rPr>
        <w:t>现有公交充电站规模明细表</w:t>
      </w:r>
    </w:p>
    <w:tbl>
      <w:tblPr>
        <w:tblStyle w:val="76"/>
        <w:tblW w:w="4998" w:type="pct"/>
        <w:tblInd w:w="0" w:type="dxa"/>
        <w:tblLayout w:type="autofit"/>
        <w:tblCellMar>
          <w:top w:w="0" w:type="dxa"/>
          <w:left w:w="0" w:type="dxa"/>
          <w:bottom w:w="0" w:type="dxa"/>
          <w:right w:w="0" w:type="dxa"/>
        </w:tblCellMar>
      </w:tblPr>
      <w:tblGrid>
        <w:gridCol w:w="751"/>
        <w:gridCol w:w="2775"/>
        <w:gridCol w:w="3019"/>
        <w:gridCol w:w="838"/>
        <w:gridCol w:w="930"/>
      </w:tblGrid>
      <w:tr>
        <w:tblPrEx>
          <w:tblCellMar>
            <w:top w:w="0" w:type="dxa"/>
            <w:left w:w="0" w:type="dxa"/>
            <w:bottom w:w="0" w:type="dxa"/>
            <w:right w:w="0" w:type="dxa"/>
          </w:tblCellMar>
        </w:tblPrEx>
        <w:trPr>
          <w:trHeight w:val="142" w:hRule="atLeast"/>
          <w:tblHeader/>
        </w:trPr>
        <w:tc>
          <w:tcPr>
            <w:tcW w:w="45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现状桩数</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充电功率</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久联充电站</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2台120kW一机双枪直流充电桩和14台160kW一机四枪直流充电桩</w:t>
            </w:r>
          </w:p>
        </w:tc>
        <w:tc>
          <w:tcPr>
            <w:tcW w:w="50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60</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3300</w:t>
            </w:r>
          </w:p>
        </w:tc>
      </w:tr>
      <w:tr>
        <w:tblPrEx>
          <w:tblCellMar>
            <w:top w:w="0" w:type="dxa"/>
            <w:left w:w="0" w:type="dxa"/>
            <w:bottom w:w="0" w:type="dxa"/>
            <w:right w:w="0" w:type="dxa"/>
          </w:tblCellMar>
        </w:tblPrEx>
        <w:trPr>
          <w:trHeight w:val="142"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6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81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50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60</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3300</w:t>
            </w:r>
          </w:p>
        </w:tc>
      </w:tr>
    </w:tbl>
    <w:p>
      <w:pPr>
        <w:adjustRightInd w:val="0"/>
        <w:snapToGrid w:val="0"/>
        <w:spacing w:before="156" w:beforeLines="50"/>
        <w:ind w:left="561" w:firstLine="0" w:firstLineChars="0"/>
        <w:rPr>
          <w:rFonts w:eastAsia="仿宋_GB2312" w:cs="Times New Roman"/>
          <w:b/>
        </w:rPr>
      </w:pPr>
      <w:r>
        <w:rPr>
          <w:rFonts w:eastAsia="仿宋_GB2312" w:cs="Times New Roman"/>
          <w:b/>
        </w:rPr>
        <w:t>2.公共充电站</w:t>
      </w:r>
    </w:p>
    <w:p>
      <w:pPr>
        <w:adjustRightInd w:val="0"/>
        <w:snapToGrid w:val="0"/>
        <w:ind w:firstLine="560"/>
        <w:rPr>
          <w:rFonts w:eastAsia="仿宋_GB2312" w:cs="Times New Roman"/>
          <w:bCs/>
        </w:rPr>
      </w:pPr>
      <w:r>
        <w:rPr>
          <w:rFonts w:eastAsia="仿宋_GB2312" w:cs="Times New Roman"/>
          <w:bCs/>
        </w:rPr>
        <w:t>1）通城县银山充电站，位于通城县银山大道特9号，现有2台120kW一机双枪直流充电桩。</w:t>
      </w:r>
    </w:p>
    <w:p>
      <w:pPr>
        <w:adjustRightInd w:val="0"/>
        <w:snapToGrid w:val="0"/>
        <w:ind w:firstLine="560"/>
        <w:rPr>
          <w:rFonts w:eastAsia="仿宋_GB2312" w:cs="Times New Roman"/>
          <w:bCs/>
        </w:rPr>
      </w:pPr>
      <w:r>
        <w:rPr>
          <w:rFonts w:eastAsia="仿宋_GB2312" w:cs="Times New Roman"/>
          <w:bCs/>
        </w:rPr>
        <w:t>2）通城县古龙充电站，位于通城县隽水镇古龙村委会古龙路，现有2台120kW一机双枪直流充电桩。</w:t>
      </w:r>
    </w:p>
    <w:p>
      <w:pPr>
        <w:pStyle w:val="19"/>
        <w:adjustRightInd w:val="0"/>
        <w:snapToGrid w:val="0"/>
        <w:ind w:firstLine="560"/>
        <w:rPr>
          <w:rFonts w:eastAsia="仿宋_GB2312" w:cs="Times New Roman"/>
          <w:bCs/>
          <w:szCs w:val="24"/>
        </w:rPr>
      </w:pPr>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15</w:t>
      </w:r>
      <w:r>
        <w:rPr>
          <w:rFonts w:eastAsia="仿宋_GB2312" w:cs="Times New Roman"/>
        </w:rPr>
        <w:fldChar w:fldCharType="end"/>
      </w:r>
      <w:r>
        <w:rPr>
          <w:rFonts w:eastAsia="仿宋_GB2312" w:cs="Times New Roman"/>
          <w:bCs/>
          <w:szCs w:val="24"/>
        </w:rPr>
        <w:t>通城县现有城市公共充电站规模明细表</w:t>
      </w:r>
    </w:p>
    <w:tbl>
      <w:tblPr>
        <w:tblStyle w:val="76"/>
        <w:tblW w:w="5010" w:type="pct"/>
        <w:tblInd w:w="0" w:type="dxa"/>
        <w:tblLayout w:type="autofit"/>
        <w:tblCellMar>
          <w:top w:w="0" w:type="dxa"/>
          <w:left w:w="0" w:type="dxa"/>
          <w:bottom w:w="0" w:type="dxa"/>
          <w:right w:w="0" w:type="dxa"/>
        </w:tblCellMar>
      </w:tblPr>
      <w:tblGrid>
        <w:gridCol w:w="753"/>
        <w:gridCol w:w="2783"/>
        <w:gridCol w:w="2853"/>
        <w:gridCol w:w="1012"/>
        <w:gridCol w:w="932"/>
      </w:tblGrid>
      <w:tr>
        <w:tblPrEx>
          <w:tblCellMar>
            <w:top w:w="0" w:type="dxa"/>
            <w:left w:w="0" w:type="dxa"/>
            <w:bottom w:w="0" w:type="dxa"/>
            <w:right w:w="0" w:type="dxa"/>
          </w:tblCellMar>
        </w:tblPrEx>
        <w:trPr>
          <w:trHeight w:val="142" w:hRule="atLeast"/>
          <w:tblHeader/>
        </w:trPr>
        <w:tc>
          <w:tcPr>
            <w:tcW w:w="45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67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7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现状桩数</w:t>
            </w:r>
          </w:p>
        </w:tc>
        <w:tc>
          <w:tcPr>
            <w:tcW w:w="60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充电功率</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67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通城县银山充电站</w:t>
            </w:r>
          </w:p>
        </w:tc>
        <w:tc>
          <w:tcPr>
            <w:tcW w:w="17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现有2台120kW一机双枪直流充电桩</w:t>
            </w:r>
          </w:p>
        </w:tc>
        <w:tc>
          <w:tcPr>
            <w:tcW w:w="60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w:t>
            </w:r>
          </w:p>
        </w:tc>
      </w:tr>
      <w:tr>
        <w:tblPrEx>
          <w:tblCellMar>
            <w:top w:w="0" w:type="dxa"/>
            <w:left w:w="0" w:type="dxa"/>
            <w:bottom w:w="0" w:type="dxa"/>
            <w:right w:w="0" w:type="dxa"/>
          </w:tblCellMar>
        </w:tblPrEx>
        <w:trPr>
          <w:trHeight w:val="233"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167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通城县古龙充电站</w:t>
            </w:r>
          </w:p>
        </w:tc>
        <w:tc>
          <w:tcPr>
            <w:tcW w:w="17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现有2台120kW一机双枪直流充电桩</w:t>
            </w:r>
          </w:p>
        </w:tc>
        <w:tc>
          <w:tcPr>
            <w:tcW w:w="60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w:t>
            </w:r>
          </w:p>
        </w:tc>
      </w:tr>
      <w:tr>
        <w:tblPrEx>
          <w:tblCellMar>
            <w:top w:w="0" w:type="dxa"/>
            <w:left w:w="0" w:type="dxa"/>
            <w:bottom w:w="0" w:type="dxa"/>
            <w:right w:w="0" w:type="dxa"/>
          </w:tblCellMar>
        </w:tblPrEx>
        <w:trPr>
          <w:trHeight w:val="142" w:hRule="atLeast"/>
        </w:trPr>
        <w:tc>
          <w:tcPr>
            <w:tcW w:w="4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67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7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0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5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bl>
    <w:p>
      <w:pPr>
        <w:pStyle w:val="5"/>
        <w:adjustRightInd w:val="0"/>
        <w:snapToGrid w:val="0"/>
        <w:spacing w:before="156" w:beforeLines="50" w:after="156" w:afterLines="50"/>
        <w:rPr>
          <w:rFonts w:eastAsia="仿宋_GB2312" w:cs="Times New Roman"/>
        </w:rPr>
      </w:pPr>
      <w:r>
        <w:rPr>
          <w:rFonts w:eastAsia="仿宋_GB2312" w:cs="Times New Roman"/>
        </w:rPr>
        <w:t>崇阳县充电设施现状</w:t>
      </w:r>
    </w:p>
    <w:p>
      <w:pPr>
        <w:pStyle w:val="19"/>
        <w:adjustRightInd w:val="0"/>
        <w:snapToGrid w:val="0"/>
        <w:spacing w:line="360" w:lineRule="auto"/>
        <w:ind w:firstLine="560" w:firstLineChars="200"/>
        <w:jc w:val="both"/>
        <w:rPr>
          <w:rFonts w:eastAsia="仿宋_GB2312" w:cs="Times New Roman"/>
        </w:rPr>
      </w:pPr>
      <w:r>
        <w:rPr>
          <w:rFonts w:eastAsia="仿宋_GB2312" w:cs="Times New Roman"/>
          <w:b w:val="0"/>
          <w:bCs/>
          <w:sz w:val="28"/>
          <w:szCs w:val="28"/>
        </w:rPr>
        <w:t>截至2021年底，崇阳县有充电站6个，充电桩68个</w:t>
      </w:r>
      <w:r>
        <w:rPr>
          <w:rFonts w:hint="eastAsia" w:eastAsia="仿宋_GB2312" w:cs="Times New Roman"/>
          <w:b w:val="0"/>
          <w:bCs/>
          <w:sz w:val="28"/>
          <w:szCs w:val="28"/>
        </w:rPr>
        <w:t>，</w:t>
      </w:r>
      <w:r>
        <w:rPr>
          <w:rFonts w:eastAsia="仿宋_GB2312" w:cs="Times New Roman"/>
          <w:b w:val="0"/>
          <w:bCs/>
          <w:sz w:val="28"/>
          <w:szCs w:val="28"/>
        </w:rPr>
        <w:t>直流快充桩58个，交流慢充桩10个，充电总功率4510kW。其中高速服务区充电站2座，充电桩8个；公交充电站1座，充电桩34个；公共充电站3座，充电桩26个；</w:t>
      </w:r>
    </w:p>
    <w:p>
      <w:pPr>
        <w:adjustRightInd w:val="0"/>
        <w:snapToGrid w:val="0"/>
        <w:ind w:left="560" w:firstLine="0" w:firstLineChars="0"/>
        <w:rPr>
          <w:rFonts w:eastAsia="仿宋_GB2312" w:cs="Times New Roman"/>
          <w:b/>
        </w:rPr>
      </w:pPr>
      <w:r>
        <w:rPr>
          <w:rFonts w:eastAsia="仿宋_GB2312" w:cs="Times New Roman"/>
          <w:b/>
        </w:rPr>
        <w:t>1.公交充电站</w:t>
      </w:r>
    </w:p>
    <w:p>
      <w:pPr>
        <w:adjustRightInd w:val="0"/>
        <w:snapToGrid w:val="0"/>
        <w:ind w:firstLine="560"/>
        <w:rPr>
          <w:rFonts w:eastAsia="仿宋_GB2312" w:cs="Times New Roman"/>
          <w:bCs/>
        </w:rPr>
      </w:pPr>
      <w:r>
        <w:rPr>
          <w:rFonts w:eastAsia="仿宋_GB2312" w:cs="Times New Roman"/>
          <w:bCs/>
        </w:rPr>
        <w:t>1）崇阳县公交车充电站，位于赤通山县石航路与通羊大道交叉口东北方向164米，现有17台120kW一机两枪直流充电桩。</w:t>
      </w:r>
    </w:p>
    <w:p>
      <w:pPr>
        <w:pStyle w:val="19"/>
        <w:adjustRightInd w:val="0"/>
        <w:snapToGrid w:val="0"/>
        <w:ind w:firstLine="560"/>
        <w:rPr>
          <w:rFonts w:eastAsia="仿宋_GB2312" w:cs="Times New Roman"/>
          <w:bCs/>
          <w:szCs w:val="24"/>
        </w:rPr>
      </w:pPr>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16</w:t>
      </w:r>
      <w:r>
        <w:rPr>
          <w:rFonts w:eastAsia="仿宋_GB2312" w:cs="Times New Roman"/>
        </w:rPr>
        <w:fldChar w:fldCharType="end"/>
      </w:r>
      <w:r>
        <w:rPr>
          <w:rFonts w:eastAsia="仿宋_GB2312" w:cs="Times New Roman"/>
        </w:rPr>
        <w:t>崇阳县</w:t>
      </w:r>
      <w:r>
        <w:rPr>
          <w:rFonts w:eastAsia="仿宋_GB2312" w:cs="Times New Roman"/>
          <w:bCs/>
          <w:szCs w:val="24"/>
        </w:rPr>
        <w:t>现有公交充电站规模明细表</w:t>
      </w:r>
    </w:p>
    <w:tbl>
      <w:tblPr>
        <w:tblStyle w:val="76"/>
        <w:tblW w:w="8333" w:type="dxa"/>
        <w:tblInd w:w="0" w:type="dxa"/>
        <w:tblLayout w:type="fixed"/>
        <w:tblCellMar>
          <w:top w:w="0" w:type="dxa"/>
          <w:left w:w="0" w:type="dxa"/>
          <w:bottom w:w="0" w:type="dxa"/>
          <w:right w:w="0" w:type="dxa"/>
        </w:tblCellMar>
      </w:tblPr>
      <w:tblGrid>
        <w:gridCol w:w="754"/>
        <w:gridCol w:w="2781"/>
        <w:gridCol w:w="3026"/>
        <w:gridCol w:w="840"/>
        <w:gridCol w:w="932"/>
      </w:tblGrid>
      <w:tr>
        <w:tblPrEx>
          <w:tblCellMar>
            <w:top w:w="0" w:type="dxa"/>
            <w:left w:w="0" w:type="dxa"/>
            <w:bottom w:w="0" w:type="dxa"/>
            <w:right w:w="0" w:type="dxa"/>
          </w:tblCellMar>
        </w:tblPrEx>
        <w:trPr>
          <w:trHeight w:val="142" w:hRule="atLeast"/>
          <w:tblHeader/>
        </w:trPr>
        <w:tc>
          <w:tcPr>
            <w:tcW w:w="75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278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302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现状桩数</w:t>
            </w:r>
          </w:p>
        </w:tc>
        <w:tc>
          <w:tcPr>
            <w:tcW w:w="84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93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充电功率</w:t>
            </w:r>
          </w:p>
        </w:tc>
      </w:tr>
      <w:tr>
        <w:tblPrEx>
          <w:tblCellMar>
            <w:top w:w="0" w:type="dxa"/>
            <w:left w:w="0" w:type="dxa"/>
            <w:bottom w:w="0" w:type="dxa"/>
            <w:right w:w="0" w:type="dxa"/>
          </w:tblCellMar>
        </w:tblPrEx>
        <w:trPr>
          <w:trHeight w:val="233" w:hRule="atLeast"/>
        </w:trPr>
        <w:tc>
          <w:tcPr>
            <w:tcW w:w="75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278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崇阳县公交车充电站</w:t>
            </w:r>
          </w:p>
        </w:tc>
        <w:tc>
          <w:tcPr>
            <w:tcW w:w="302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现有20台120kW一机两枪直流充电桩</w:t>
            </w:r>
          </w:p>
        </w:tc>
        <w:tc>
          <w:tcPr>
            <w:tcW w:w="84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34</w:t>
            </w:r>
          </w:p>
        </w:tc>
        <w:tc>
          <w:tcPr>
            <w:tcW w:w="93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2400</w:t>
            </w:r>
          </w:p>
        </w:tc>
      </w:tr>
      <w:tr>
        <w:tblPrEx>
          <w:tblCellMar>
            <w:top w:w="0" w:type="dxa"/>
            <w:left w:w="0" w:type="dxa"/>
            <w:bottom w:w="0" w:type="dxa"/>
            <w:right w:w="0" w:type="dxa"/>
          </w:tblCellMar>
        </w:tblPrEx>
        <w:trPr>
          <w:trHeight w:val="142" w:hRule="atLeast"/>
        </w:trPr>
        <w:tc>
          <w:tcPr>
            <w:tcW w:w="75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278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302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84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34</w:t>
            </w:r>
          </w:p>
        </w:tc>
        <w:tc>
          <w:tcPr>
            <w:tcW w:w="93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2400</w:t>
            </w:r>
          </w:p>
        </w:tc>
      </w:tr>
    </w:tbl>
    <w:p>
      <w:pPr>
        <w:adjustRightInd w:val="0"/>
        <w:snapToGrid w:val="0"/>
        <w:spacing w:before="156" w:beforeLines="50"/>
        <w:ind w:left="561" w:firstLine="0" w:firstLineChars="0"/>
        <w:rPr>
          <w:rFonts w:eastAsia="仿宋_GB2312" w:cs="Times New Roman"/>
          <w:b/>
        </w:rPr>
      </w:pPr>
      <w:r>
        <w:rPr>
          <w:rFonts w:eastAsia="仿宋_GB2312" w:cs="Times New Roman"/>
          <w:b/>
        </w:rPr>
        <w:t>2.公共充电站</w:t>
      </w:r>
    </w:p>
    <w:p>
      <w:pPr>
        <w:adjustRightInd w:val="0"/>
        <w:snapToGrid w:val="0"/>
        <w:ind w:firstLine="560"/>
        <w:rPr>
          <w:rFonts w:eastAsia="仿宋_GB2312" w:cs="Times New Roman"/>
          <w:bCs/>
        </w:rPr>
      </w:pPr>
      <w:r>
        <w:rPr>
          <w:rFonts w:eastAsia="仿宋_GB2312" w:cs="Times New Roman"/>
          <w:bCs/>
        </w:rPr>
        <w:t>1）崇阳县人民政府充电站，位于崇阳县天城镇隽北大道崇阳县人民政府，现有4台60kW一机一枪直流充电桩和4台120kW一机一枪直流充电桩。</w:t>
      </w:r>
    </w:p>
    <w:p>
      <w:pPr>
        <w:adjustRightInd w:val="0"/>
        <w:snapToGrid w:val="0"/>
        <w:ind w:firstLine="560"/>
        <w:rPr>
          <w:rFonts w:eastAsia="仿宋_GB2312" w:cs="Times New Roman"/>
          <w:bCs/>
        </w:rPr>
      </w:pPr>
      <w:r>
        <w:rPr>
          <w:rFonts w:eastAsia="仿宋_GB2312" w:cs="Times New Roman"/>
          <w:bCs/>
        </w:rPr>
        <w:t xml:space="preserve"> 2）崇阳县隽北大道充电站，位于崇阳县国网崇阳供电公司大楼，现有4台60kW一机一枪直流充电桩和4台120kW一机一枪直流充电桩。</w:t>
      </w:r>
    </w:p>
    <w:p>
      <w:pPr>
        <w:adjustRightInd w:val="0"/>
        <w:snapToGrid w:val="0"/>
        <w:ind w:firstLine="560"/>
        <w:rPr>
          <w:rFonts w:eastAsia="仿宋_GB2312" w:cs="Times New Roman"/>
          <w:bCs/>
        </w:rPr>
      </w:pPr>
      <w:r>
        <w:rPr>
          <w:rFonts w:eastAsia="仿宋_GB2312" w:cs="Times New Roman"/>
          <w:bCs/>
        </w:rPr>
        <w:t>3）崇阳县崇尚华府充电站，位于崇阳县崇尚华府小区，现有10台7kW一机一枪交流充电桩。</w:t>
      </w:r>
    </w:p>
    <w:p>
      <w:pPr>
        <w:pStyle w:val="19"/>
        <w:adjustRightInd w:val="0"/>
        <w:snapToGrid w:val="0"/>
        <w:ind w:firstLine="560"/>
        <w:rPr>
          <w:rFonts w:eastAsia="仿宋_GB2312" w:cs="Times New Roman"/>
          <w:bCs/>
          <w:szCs w:val="24"/>
        </w:rPr>
      </w:pPr>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17</w:t>
      </w:r>
      <w:r>
        <w:rPr>
          <w:rFonts w:eastAsia="仿宋_GB2312" w:cs="Times New Roman"/>
        </w:rPr>
        <w:fldChar w:fldCharType="end"/>
      </w:r>
      <w:r>
        <w:rPr>
          <w:rFonts w:eastAsia="仿宋_GB2312" w:cs="Times New Roman"/>
          <w:bCs/>
          <w:szCs w:val="24"/>
        </w:rPr>
        <w:t>崇阳县现有城市公共充电站规模明细表</w:t>
      </w:r>
    </w:p>
    <w:tbl>
      <w:tblPr>
        <w:tblStyle w:val="76"/>
        <w:tblW w:w="8353" w:type="dxa"/>
        <w:tblInd w:w="0" w:type="dxa"/>
        <w:tblLayout w:type="fixed"/>
        <w:tblCellMar>
          <w:top w:w="0" w:type="dxa"/>
          <w:left w:w="0" w:type="dxa"/>
          <w:bottom w:w="0" w:type="dxa"/>
          <w:right w:w="0" w:type="dxa"/>
        </w:tblCellMar>
      </w:tblPr>
      <w:tblGrid>
        <w:gridCol w:w="754"/>
        <w:gridCol w:w="2788"/>
        <w:gridCol w:w="3034"/>
        <w:gridCol w:w="842"/>
        <w:gridCol w:w="935"/>
      </w:tblGrid>
      <w:tr>
        <w:tblPrEx>
          <w:tblCellMar>
            <w:top w:w="0" w:type="dxa"/>
            <w:left w:w="0" w:type="dxa"/>
            <w:bottom w:w="0" w:type="dxa"/>
            <w:right w:w="0" w:type="dxa"/>
          </w:tblCellMar>
        </w:tblPrEx>
        <w:trPr>
          <w:trHeight w:val="142" w:hRule="atLeast"/>
          <w:tblHeader/>
        </w:trPr>
        <w:tc>
          <w:tcPr>
            <w:tcW w:w="75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278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30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现状桩数</w:t>
            </w:r>
          </w:p>
        </w:tc>
        <w:tc>
          <w:tcPr>
            <w:tcW w:w="8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93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充电功率</w:t>
            </w:r>
          </w:p>
        </w:tc>
      </w:tr>
      <w:tr>
        <w:trPr>
          <w:trHeight w:val="233" w:hRule="atLeast"/>
        </w:trPr>
        <w:tc>
          <w:tcPr>
            <w:tcW w:w="75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278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崇阳县人民政府充电站</w:t>
            </w:r>
          </w:p>
        </w:tc>
        <w:tc>
          <w:tcPr>
            <w:tcW w:w="30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现有4台60kW一机一枪直流充电桩和4台120kW一机一枪直流充电桩</w:t>
            </w:r>
          </w:p>
        </w:tc>
        <w:tc>
          <w:tcPr>
            <w:tcW w:w="8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93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720</w:t>
            </w:r>
          </w:p>
        </w:tc>
      </w:tr>
      <w:tr>
        <w:tblPrEx>
          <w:tblCellMar>
            <w:top w:w="0" w:type="dxa"/>
            <w:left w:w="0" w:type="dxa"/>
            <w:bottom w:w="0" w:type="dxa"/>
            <w:right w:w="0" w:type="dxa"/>
          </w:tblCellMar>
        </w:tblPrEx>
        <w:trPr>
          <w:trHeight w:val="233" w:hRule="atLeast"/>
        </w:trPr>
        <w:tc>
          <w:tcPr>
            <w:tcW w:w="75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278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崇阳县隽北大道充电站</w:t>
            </w:r>
          </w:p>
        </w:tc>
        <w:tc>
          <w:tcPr>
            <w:tcW w:w="30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现有4台60kW一机一枪直流充电桩和4台120kW一机一枪直流充电桩</w:t>
            </w:r>
          </w:p>
        </w:tc>
        <w:tc>
          <w:tcPr>
            <w:tcW w:w="8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93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720</w:t>
            </w:r>
          </w:p>
        </w:tc>
      </w:tr>
      <w:tr>
        <w:trPr>
          <w:trHeight w:val="233" w:hRule="atLeast"/>
        </w:trPr>
        <w:tc>
          <w:tcPr>
            <w:tcW w:w="75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278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崇阳县崇尚华府充电站</w:t>
            </w:r>
          </w:p>
        </w:tc>
        <w:tc>
          <w:tcPr>
            <w:tcW w:w="30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现有10台7kW一机一枪交流充电桩</w:t>
            </w:r>
          </w:p>
        </w:tc>
        <w:tc>
          <w:tcPr>
            <w:tcW w:w="8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93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70</w:t>
            </w:r>
          </w:p>
        </w:tc>
      </w:tr>
      <w:tr>
        <w:tblPrEx>
          <w:tblCellMar>
            <w:top w:w="0" w:type="dxa"/>
            <w:left w:w="0" w:type="dxa"/>
            <w:bottom w:w="0" w:type="dxa"/>
            <w:right w:w="0" w:type="dxa"/>
          </w:tblCellMar>
        </w:tblPrEx>
        <w:trPr>
          <w:trHeight w:val="142" w:hRule="atLeast"/>
        </w:trPr>
        <w:tc>
          <w:tcPr>
            <w:tcW w:w="75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278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30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842"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26</w:t>
            </w:r>
          </w:p>
        </w:tc>
        <w:tc>
          <w:tcPr>
            <w:tcW w:w="93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1510</w:t>
            </w:r>
          </w:p>
        </w:tc>
      </w:tr>
    </w:tbl>
    <w:p>
      <w:pPr>
        <w:pStyle w:val="5"/>
        <w:adjustRightInd w:val="0"/>
        <w:snapToGrid w:val="0"/>
        <w:spacing w:before="156" w:beforeLines="50" w:after="156" w:afterLines="50"/>
        <w:rPr>
          <w:rFonts w:eastAsia="仿宋_GB2312" w:cs="Times New Roman"/>
        </w:rPr>
      </w:pPr>
      <w:r>
        <w:rPr>
          <w:rFonts w:eastAsia="仿宋_GB2312" w:cs="Times New Roman"/>
        </w:rPr>
        <w:t>通山县充电设施现状</w:t>
      </w:r>
    </w:p>
    <w:p>
      <w:pPr>
        <w:pStyle w:val="19"/>
        <w:adjustRightInd w:val="0"/>
        <w:snapToGrid w:val="0"/>
        <w:spacing w:line="360" w:lineRule="auto"/>
        <w:ind w:firstLine="560" w:firstLineChars="200"/>
        <w:jc w:val="both"/>
        <w:rPr>
          <w:rFonts w:eastAsia="仿宋_GB2312" w:cs="Times New Roman"/>
        </w:rPr>
      </w:pPr>
      <w:r>
        <w:rPr>
          <w:rFonts w:eastAsia="仿宋_GB2312" w:cs="Times New Roman"/>
          <w:b w:val="0"/>
          <w:bCs/>
          <w:sz w:val="28"/>
          <w:szCs w:val="28"/>
        </w:rPr>
        <w:t>截至2021年底，通山县有充电站9个，充电桩68个</w:t>
      </w:r>
      <w:r>
        <w:rPr>
          <w:rFonts w:hint="eastAsia" w:eastAsia="仿宋_GB2312" w:cs="Times New Roman"/>
          <w:b w:val="0"/>
          <w:bCs/>
          <w:sz w:val="28"/>
          <w:szCs w:val="28"/>
        </w:rPr>
        <w:t>，</w:t>
      </w:r>
      <w:r>
        <w:rPr>
          <w:rFonts w:eastAsia="仿宋_GB2312" w:cs="Times New Roman"/>
          <w:b w:val="0"/>
          <w:bCs/>
          <w:sz w:val="28"/>
          <w:szCs w:val="28"/>
        </w:rPr>
        <w:t>全部为直流快充桩，充电总功率3630kW。其中高速服务区充电站2座，充电桩8个；公交充电站3座，充电桩39个；公共充电站4座，充电桩21个；</w:t>
      </w:r>
    </w:p>
    <w:p>
      <w:pPr>
        <w:adjustRightInd w:val="0"/>
        <w:snapToGrid w:val="0"/>
        <w:ind w:left="560" w:firstLine="0" w:firstLineChars="0"/>
        <w:rPr>
          <w:rFonts w:eastAsia="仿宋_GB2312" w:cs="Times New Roman"/>
          <w:b/>
        </w:rPr>
      </w:pPr>
      <w:r>
        <w:rPr>
          <w:rFonts w:eastAsia="仿宋_GB2312" w:cs="Times New Roman"/>
          <w:b/>
        </w:rPr>
        <w:t>1.公交充电站</w:t>
      </w:r>
    </w:p>
    <w:p>
      <w:pPr>
        <w:adjustRightInd w:val="0"/>
        <w:snapToGrid w:val="0"/>
        <w:ind w:firstLine="560"/>
        <w:rPr>
          <w:rFonts w:eastAsia="仿宋_GB2312" w:cs="Times New Roman"/>
          <w:bCs/>
        </w:rPr>
      </w:pPr>
      <w:r>
        <w:rPr>
          <w:rFonts w:eastAsia="仿宋_GB2312" w:cs="Times New Roman"/>
          <w:bCs/>
        </w:rPr>
        <w:t>1）通山新能源公交（化肥厂）充电站，位于通山县石航路与通羊大道交叉口东北方向164米，现有2台60kW一机一枪直流充电桩，7台90kW一机两枪直流充电桩。</w:t>
      </w:r>
    </w:p>
    <w:p>
      <w:pPr>
        <w:adjustRightInd w:val="0"/>
        <w:snapToGrid w:val="0"/>
        <w:ind w:firstLine="560"/>
        <w:rPr>
          <w:rFonts w:eastAsia="仿宋_GB2312" w:cs="Times New Roman"/>
          <w:bCs/>
        </w:rPr>
      </w:pPr>
      <w:r>
        <w:rPr>
          <w:rFonts w:eastAsia="仿宋_GB2312" w:cs="Times New Roman"/>
          <w:bCs/>
        </w:rPr>
        <w:t xml:space="preserve"> 2）通山客运东站（东站）充电站，位于通山县九宫大道27号，现有3台60kW一机一枪直流充电桩，2台90kW一机两枪直流充电桩，2台120kW一机两枪直流充电桩。</w:t>
      </w:r>
    </w:p>
    <w:p>
      <w:pPr>
        <w:adjustRightInd w:val="0"/>
        <w:snapToGrid w:val="0"/>
        <w:ind w:firstLine="560"/>
        <w:rPr>
          <w:rFonts w:eastAsia="仿宋_GB2312" w:cs="Times New Roman"/>
          <w:bCs/>
        </w:rPr>
      </w:pPr>
      <w:r>
        <w:rPr>
          <w:rFonts w:eastAsia="仿宋_GB2312" w:cs="Times New Roman"/>
          <w:bCs/>
        </w:rPr>
        <w:t>3）中心客运站（西站）充电站，位于通山县九宫大道27号，现有12台45kW一机一枪直流充电桩。</w:t>
      </w:r>
    </w:p>
    <w:p>
      <w:pPr>
        <w:pStyle w:val="19"/>
        <w:adjustRightInd w:val="0"/>
        <w:snapToGrid w:val="0"/>
        <w:ind w:firstLine="560"/>
        <w:rPr>
          <w:rFonts w:eastAsia="仿宋_GB2312" w:cs="Times New Roman"/>
          <w:bCs/>
          <w:szCs w:val="24"/>
        </w:rPr>
      </w:pPr>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18</w:t>
      </w:r>
      <w:r>
        <w:rPr>
          <w:rFonts w:eastAsia="仿宋_GB2312" w:cs="Times New Roman"/>
        </w:rPr>
        <w:fldChar w:fldCharType="end"/>
      </w:r>
      <w:r>
        <w:rPr>
          <w:rFonts w:eastAsia="仿宋_GB2312" w:cs="Times New Roman"/>
        </w:rPr>
        <w:t>通山县</w:t>
      </w:r>
      <w:r>
        <w:rPr>
          <w:rFonts w:eastAsia="仿宋_GB2312" w:cs="Times New Roman"/>
          <w:bCs/>
          <w:szCs w:val="24"/>
        </w:rPr>
        <w:t>现有公交充电站规模明细表</w:t>
      </w:r>
    </w:p>
    <w:tbl>
      <w:tblPr>
        <w:tblStyle w:val="76"/>
        <w:tblW w:w="8323" w:type="dxa"/>
        <w:tblInd w:w="0" w:type="dxa"/>
        <w:tblLayout w:type="fixed"/>
        <w:tblCellMar>
          <w:top w:w="0" w:type="dxa"/>
          <w:left w:w="0" w:type="dxa"/>
          <w:bottom w:w="0" w:type="dxa"/>
          <w:right w:w="0" w:type="dxa"/>
        </w:tblCellMar>
      </w:tblPr>
      <w:tblGrid>
        <w:gridCol w:w="753"/>
        <w:gridCol w:w="2778"/>
        <w:gridCol w:w="3022"/>
        <w:gridCol w:w="839"/>
        <w:gridCol w:w="931"/>
      </w:tblGrid>
      <w:tr>
        <w:tblPrEx>
          <w:tblCellMar>
            <w:top w:w="0" w:type="dxa"/>
            <w:left w:w="0" w:type="dxa"/>
            <w:bottom w:w="0" w:type="dxa"/>
            <w:right w:w="0" w:type="dxa"/>
          </w:tblCellMar>
        </w:tblPrEx>
        <w:trPr>
          <w:trHeight w:val="142" w:hRule="atLeast"/>
          <w:tblHeader/>
        </w:trPr>
        <w:tc>
          <w:tcPr>
            <w:tcW w:w="7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302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现状桩数</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充电功率</w:t>
            </w:r>
          </w:p>
        </w:tc>
      </w:tr>
      <w:tr>
        <w:tblPrEx>
          <w:tblCellMar>
            <w:top w:w="0" w:type="dxa"/>
            <w:left w:w="0" w:type="dxa"/>
            <w:bottom w:w="0" w:type="dxa"/>
            <w:right w:w="0" w:type="dxa"/>
          </w:tblCellMar>
        </w:tblPrEx>
        <w:trPr>
          <w:trHeight w:val="233" w:hRule="atLeast"/>
        </w:trPr>
        <w:tc>
          <w:tcPr>
            <w:tcW w:w="75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通山新能源公交（化肥厂）充电站</w:t>
            </w:r>
          </w:p>
        </w:tc>
        <w:tc>
          <w:tcPr>
            <w:tcW w:w="302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现有2台60kW一机一枪直流充电桩，7台90kW一机两枪直流充电桩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750</w:t>
            </w:r>
          </w:p>
        </w:tc>
      </w:tr>
      <w:tr>
        <w:tblPrEx>
          <w:tblCellMar>
            <w:top w:w="0" w:type="dxa"/>
            <w:left w:w="0" w:type="dxa"/>
            <w:bottom w:w="0" w:type="dxa"/>
            <w:right w:w="0" w:type="dxa"/>
          </w:tblCellMar>
        </w:tblPrEx>
        <w:trPr>
          <w:trHeight w:val="233" w:hRule="atLeast"/>
        </w:trPr>
        <w:tc>
          <w:tcPr>
            <w:tcW w:w="75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通山客运东站（东站）充电站</w:t>
            </w:r>
          </w:p>
        </w:tc>
        <w:tc>
          <w:tcPr>
            <w:tcW w:w="302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现有3台60kW一机一枪直流充电桩，2台90kW一机两枪直流充电桩，2台120kW一机两枪直流充电桩。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11</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600</w:t>
            </w:r>
          </w:p>
        </w:tc>
      </w:tr>
      <w:tr>
        <w:tblPrEx>
          <w:tblCellMar>
            <w:top w:w="0" w:type="dxa"/>
            <w:left w:w="0" w:type="dxa"/>
            <w:bottom w:w="0" w:type="dxa"/>
            <w:right w:w="0" w:type="dxa"/>
          </w:tblCellMar>
        </w:tblPrEx>
        <w:trPr>
          <w:trHeight w:val="233" w:hRule="atLeast"/>
        </w:trPr>
        <w:tc>
          <w:tcPr>
            <w:tcW w:w="75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通山中心客运站（西站）充电站</w:t>
            </w:r>
          </w:p>
        </w:tc>
        <w:tc>
          <w:tcPr>
            <w:tcW w:w="302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现有12台45kW一机一枪直流充电桩</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540</w:t>
            </w:r>
          </w:p>
        </w:tc>
      </w:tr>
      <w:tr>
        <w:tblPrEx>
          <w:tblCellMar>
            <w:top w:w="0" w:type="dxa"/>
            <w:left w:w="0" w:type="dxa"/>
            <w:bottom w:w="0" w:type="dxa"/>
            <w:right w:w="0" w:type="dxa"/>
          </w:tblCellMar>
        </w:tblPrEx>
        <w:trPr>
          <w:trHeight w:val="142" w:hRule="atLeast"/>
        </w:trPr>
        <w:tc>
          <w:tcPr>
            <w:tcW w:w="75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27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302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83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39</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1890</w:t>
            </w:r>
          </w:p>
        </w:tc>
      </w:tr>
    </w:tbl>
    <w:p>
      <w:pPr>
        <w:adjustRightInd w:val="0"/>
        <w:snapToGrid w:val="0"/>
        <w:spacing w:before="156" w:beforeLines="50"/>
        <w:ind w:left="561" w:firstLine="0" w:firstLineChars="0"/>
        <w:rPr>
          <w:rFonts w:eastAsia="仿宋_GB2312" w:cs="Times New Roman"/>
          <w:b/>
        </w:rPr>
      </w:pPr>
      <w:r>
        <w:rPr>
          <w:rFonts w:eastAsia="仿宋_GB2312" w:cs="Times New Roman"/>
          <w:b/>
        </w:rPr>
        <w:t>2.公共充电站</w:t>
      </w:r>
    </w:p>
    <w:p>
      <w:pPr>
        <w:adjustRightInd w:val="0"/>
        <w:snapToGrid w:val="0"/>
        <w:ind w:firstLine="560"/>
        <w:rPr>
          <w:rFonts w:eastAsia="仿宋_GB2312" w:cs="Times New Roman"/>
          <w:bCs/>
        </w:rPr>
      </w:pPr>
      <w:r>
        <w:rPr>
          <w:rFonts w:eastAsia="仿宋_GB2312" w:cs="Times New Roman"/>
          <w:bCs/>
        </w:rPr>
        <w:t>1）通山县政府充电站，位于通山县洋都大道与滨河路交叉口西北约100米，现有4台60kW一机一枪交流充电桩和2台120kW一机两枪直流充电桩。</w:t>
      </w:r>
    </w:p>
    <w:p>
      <w:pPr>
        <w:adjustRightInd w:val="0"/>
        <w:snapToGrid w:val="0"/>
        <w:ind w:firstLine="560"/>
        <w:rPr>
          <w:rFonts w:eastAsia="仿宋_GB2312" w:cs="Times New Roman"/>
          <w:bCs/>
        </w:rPr>
      </w:pPr>
      <w:r>
        <w:rPr>
          <w:rFonts w:eastAsia="仿宋_GB2312" w:cs="Times New Roman"/>
          <w:bCs/>
        </w:rPr>
        <w:t xml:space="preserve"> 2）通山县供电公司充电站，位于通山县S358与犀港路交叉口东南方向896米，现有3台120kW一机两枪直流充电桩。</w:t>
      </w:r>
    </w:p>
    <w:p>
      <w:pPr>
        <w:adjustRightInd w:val="0"/>
        <w:snapToGrid w:val="0"/>
        <w:ind w:firstLine="560"/>
        <w:rPr>
          <w:rFonts w:eastAsia="仿宋_GB2312" w:cs="Times New Roman"/>
          <w:bCs/>
        </w:rPr>
      </w:pPr>
      <w:r>
        <w:rPr>
          <w:rFonts w:eastAsia="仿宋_GB2312" w:cs="Times New Roman"/>
          <w:bCs/>
        </w:rPr>
        <w:t>3）通山县杭瑞高速口充电站，位于通山县S209省道与G56杭瑞高速入口交叉口东南200米，现有4台60kW一机一枪直流充电桩。</w:t>
      </w:r>
    </w:p>
    <w:p>
      <w:pPr>
        <w:adjustRightInd w:val="0"/>
        <w:snapToGrid w:val="0"/>
        <w:ind w:firstLine="560"/>
        <w:rPr>
          <w:rFonts w:eastAsia="仿宋_GB2312" w:cs="Times New Roman"/>
          <w:bCs/>
        </w:rPr>
      </w:pPr>
      <w:r>
        <w:rPr>
          <w:rFonts w:eastAsia="仿宋_GB2312" w:cs="Times New Roman"/>
          <w:bCs/>
        </w:rPr>
        <w:t>4）通山县牛头山隧道充电站，位于通山县牛头山隧道口，现有3台60kW  一机一枪直流充电桩。</w:t>
      </w:r>
    </w:p>
    <w:p>
      <w:pPr>
        <w:pStyle w:val="19"/>
        <w:adjustRightInd w:val="0"/>
        <w:snapToGrid w:val="0"/>
        <w:ind w:firstLine="560"/>
        <w:rPr>
          <w:rFonts w:eastAsia="仿宋_GB2312" w:cs="Times New Roman"/>
          <w:bCs/>
          <w:szCs w:val="24"/>
        </w:rPr>
      </w:pPr>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19</w:t>
      </w:r>
      <w:r>
        <w:rPr>
          <w:rFonts w:eastAsia="仿宋_GB2312" w:cs="Times New Roman"/>
        </w:rPr>
        <w:fldChar w:fldCharType="end"/>
      </w:r>
      <w:r>
        <w:rPr>
          <w:rFonts w:eastAsia="仿宋_GB2312" w:cs="Times New Roman"/>
          <w:bCs/>
          <w:szCs w:val="24"/>
        </w:rPr>
        <w:t>通山县现有城市公共充电站规模明细表</w:t>
      </w:r>
    </w:p>
    <w:tbl>
      <w:tblPr>
        <w:tblStyle w:val="76"/>
        <w:tblW w:w="8343" w:type="dxa"/>
        <w:tblInd w:w="0" w:type="dxa"/>
        <w:tblLayout w:type="fixed"/>
        <w:tblCellMar>
          <w:top w:w="0" w:type="dxa"/>
          <w:left w:w="0" w:type="dxa"/>
          <w:bottom w:w="0" w:type="dxa"/>
          <w:right w:w="0" w:type="dxa"/>
        </w:tblCellMar>
      </w:tblPr>
      <w:tblGrid>
        <w:gridCol w:w="754"/>
        <w:gridCol w:w="2784"/>
        <w:gridCol w:w="3030"/>
        <w:gridCol w:w="841"/>
        <w:gridCol w:w="934"/>
      </w:tblGrid>
      <w:tr>
        <w:tblPrEx>
          <w:tblCellMar>
            <w:top w:w="0" w:type="dxa"/>
            <w:left w:w="0" w:type="dxa"/>
            <w:bottom w:w="0" w:type="dxa"/>
            <w:right w:w="0" w:type="dxa"/>
          </w:tblCellMar>
        </w:tblPrEx>
        <w:trPr>
          <w:trHeight w:val="142" w:hRule="atLeast"/>
          <w:tblHeader/>
        </w:trPr>
        <w:tc>
          <w:tcPr>
            <w:tcW w:w="75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27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30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现状桩数</w:t>
            </w:r>
          </w:p>
        </w:tc>
        <w:tc>
          <w:tcPr>
            <w:tcW w:w="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9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充电功率</w:t>
            </w:r>
          </w:p>
        </w:tc>
      </w:tr>
      <w:tr>
        <w:tblPrEx>
          <w:tblCellMar>
            <w:top w:w="0" w:type="dxa"/>
            <w:left w:w="0" w:type="dxa"/>
            <w:bottom w:w="0" w:type="dxa"/>
            <w:right w:w="0" w:type="dxa"/>
          </w:tblCellMar>
        </w:tblPrEx>
        <w:trPr>
          <w:trHeight w:val="233" w:hRule="atLeast"/>
        </w:trPr>
        <w:tc>
          <w:tcPr>
            <w:tcW w:w="75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27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通山县政府充电站</w:t>
            </w:r>
          </w:p>
        </w:tc>
        <w:tc>
          <w:tcPr>
            <w:tcW w:w="30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现有4台60kW一机一枪交流充电桩和2台120kW一机两枪直流充电桩</w:t>
            </w:r>
          </w:p>
        </w:tc>
        <w:tc>
          <w:tcPr>
            <w:tcW w:w="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9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480</w:t>
            </w:r>
          </w:p>
        </w:tc>
      </w:tr>
      <w:tr>
        <w:tblPrEx>
          <w:tblCellMar>
            <w:top w:w="0" w:type="dxa"/>
            <w:left w:w="0" w:type="dxa"/>
            <w:bottom w:w="0" w:type="dxa"/>
            <w:right w:w="0" w:type="dxa"/>
          </w:tblCellMar>
        </w:tblPrEx>
        <w:trPr>
          <w:trHeight w:val="233" w:hRule="atLeast"/>
        </w:trPr>
        <w:tc>
          <w:tcPr>
            <w:tcW w:w="75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27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通山县供电公司充电站</w:t>
            </w:r>
          </w:p>
        </w:tc>
        <w:tc>
          <w:tcPr>
            <w:tcW w:w="30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现有3台120kW一机两枪直流充电桩</w:t>
            </w:r>
          </w:p>
        </w:tc>
        <w:tc>
          <w:tcPr>
            <w:tcW w:w="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9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360</w:t>
            </w:r>
          </w:p>
        </w:tc>
      </w:tr>
      <w:tr>
        <w:tblPrEx>
          <w:tblCellMar>
            <w:top w:w="0" w:type="dxa"/>
            <w:left w:w="0" w:type="dxa"/>
            <w:bottom w:w="0" w:type="dxa"/>
            <w:right w:w="0" w:type="dxa"/>
          </w:tblCellMar>
        </w:tblPrEx>
        <w:trPr>
          <w:trHeight w:val="233" w:hRule="atLeast"/>
        </w:trPr>
        <w:tc>
          <w:tcPr>
            <w:tcW w:w="75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27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通山县杭瑞高速口充电站</w:t>
            </w:r>
          </w:p>
        </w:tc>
        <w:tc>
          <w:tcPr>
            <w:tcW w:w="30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现有4台60kW一机一枪直流充电桩</w:t>
            </w:r>
          </w:p>
        </w:tc>
        <w:tc>
          <w:tcPr>
            <w:tcW w:w="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9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240</w:t>
            </w:r>
          </w:p>
        </w:tc>
      </w:tr>
      <w:tr>
        <w:tblPrEx>
          <w:tblCellMar>
            <w:top w:w="0" w:type="dxa"/>
            <w:left w:w="0" w:type="dxa"/>
            <w:bottom w:w="0" w:type="dxa"/>
            <w:right w:w="0" w:type="dxa"/>
          </w:tblCellMar>
        </w:tblPrEx>
        <w:trPr>
          <w:trHeight w:val="90" w:hRule="atLeast"/>
        </w:trPr>
        <w:tc>
          <w:tcPr>
            <w:tcW w:w="75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27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通山县牛头山隧道充电站</w:t>
            </w:r>
          </w:p>
        </w:tc>
        <w:tc>
          <w:tcPr>
            <w:tcW w:w="30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现有3台60kW  一机一枪直流充电桩</w:t>
            </w:r>
          </w:p>
        </w:tc>
        <w:tc>
          <w:tcPr>
            <w:tcW w:w="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9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180</w:t>
            </w:r>
          </w:p>
        </w:tc>
      </w:tr>
      <w:tr>
        <w:tblPrEx>
          <w:tblCellMar>
            <w:top w:w="0" w:type="dxa"/>
            <w:left w:w="0" w:type="dxa"/>
            <w:bottom w:w="0" w:type="dxa"/>
            <w:right w:w="0" w:type="dxa"/>
          </w:tblCellMar>
        </w:tblPrEx>
        <w:trPr>
          <w:trHeight w:val="142" w:hRule="atLeast"/>
        </w:trPr>
        <w:tc>
          <w:tcPr>
            <w:tcW w:w="75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27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30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841"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21</w:t>
            </w:r>
          </w:p>
        </w:tc>
        <w:tc>
          <w:tcPr>
            <w:tcW w:w="93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1260</w:t>
            </w:r>
          </w:p>
        </w:tc>
      </w:tr>
    </w:tbl>
    <w:p>
      <w:pPr>
        <w:ind w:firstLine="560"/>
        <w:rPr>
          <w:rFonts w:eastAsia="仿宋_GB2312" w:cs="Times New Roman"/>
        </w:rPr>
      </w:pPr>
    </w:p>
    <w:p>
      <w:pPr>
        <w:pStyle w:val="106"/>
        <w:numPr>
          <w:ilvl w:val="0"/>
          <w:numId w:val="15"/>
        </w:numPr>
        <w:adjustRightInd w:val="0"/>
        <w:snapToGrid w:val="0"/>
        <w:ind w:firstLineChars="0"/>
        <w:rPr>
          <w:rFonts w:eastAsia="仿宋_GB2312" w:cs="Times New Roman"/>
          <w:vanish/>
        </w:rPr>
      </w:pPr>
    </w:p>
    <w:p>
      <w:pPr>
        <w:pStyle w:val="106"/>
        <w:numPr>
          <w:ilvl w:val="0"/>
          <w:numId w:val="15"/>
        </w:numPr>
        <w:adjustRightInd w:val="0"/>
        <w:snapToGrid w:val="0"/>
        <w:ind w:firstLineChars="0"/>
        <w:rPr>
          <w:rFonts w:eastAsia="仿宋_GB2312" w:cs="Times New Roman"/>
          <w:vanish/>
        </w:rPr>
      </w:pPr>
    </w:p>
    <w:p>
      <w:pPr>
        <w:pStyle w:val="106"/>
        <w:numPr>
          <w:ilvl w:val="1"/>
          <w:numId w:val="15"/>
        </w:numPr>
        <w:adjustRightInd w:val="0"/>
        <w:snapToGrid w:val="0"/>
        <w:ind w:firstLineChars="0"/>
        <w:rPr>
          <w:rFonts w:eastAsia="仿宋_GB2312" w:cs="Times New Roman"/>
          <w:vanish/>
        </w:rPr>
      </w:pPr>
    </w:p>
    <w:p>
      <w:pPr>
        <w:pStyle w:val="106"/>
        <w:numPr>
          <w:ilvl w:val="1"/>
          <w:numId w:val="15"/>
        </w:numPr>
        <w:adjustRightInd w:val="0"/>
        <w:snapToGrid w:val="0"/>
        <w:ind w:firstLineChars="0"/>
        <w:rPr>
          <w:rFonts w:eastAsia="仿宋_GB2312" w:cs="Times New Roman"/>
          <w:vanish/>
        </w:rPr>
      </w:pPr>
    </w:p>
    <w:p>
      <w:pPr>
        <w:pStyle w:val="106"/>
        <w:numPr>
          <w:ilvl w:val="1"/>
          <w:numId w:val="15"/>
        </w:numPr>
        <w:adjustRightInd w:val="0"/>
        <w:snapToGrid w:val="0"/>
        <w:ind w:firstLineChars="0"/>
        <w:rPr>
          <w:rFonts w:eastAsia="仿宋_GB2312" w:cs="Times New Roman"/>
          <w:vanish/>
        </w:rPr>
      </w:pPr>
    </w:p>
    <w:p>
      <w:pPr>
        <w:pStyle w:val="106"/>
        <w:numPr>
          <w:ilvl w:val="2"/>
          <w:numId w:val="15"/>
        </w:numPr>
        <w:adjustRightInd w:val="0"/>
        <w:snapToGrid w:val="0"/>
        <w:ind w:firstLineChars="0"/>
        <w:rPr>
          <w:rFonts w:eastAsia="仿宋_GB2312" w:cs="Times New Roman"/>
          <w:vanish/>
        </w:rPr>
      </w:pPr>
    </w:p>
    <w:p>
      <w:pPr>
        <w:pStyle w:val="106"/>
        <w:numPr>
          <w:ilvl w:val="2"/>
          <w:numId w:val="15"/>
        </w:numPr>
        <w:adjustRightInd w:val="0"/>
        <w:snapToGrid w:val="0"/>
        <w:ind w:firstLineChars="0"/>
        <w:rPr>
          <w:rFonts w:eastAsia="仿宋_GB2312" w:cs="Times New Roman"/>
          <w:vanish/>
        </w:rPr>
      </w:pPr>
    </w:p>
    <w:bookmarkEnd w:id="60"/>
    <w:p>
      <w:pPr>
        <w:pStyle w:val="3"/>
        <w:adjustRightInd w:val="0"/>
        <w:rPr>
          <w:rFonts w:eastAsia="仿宋_GB2312" w:cs="Times New Roman"/>
        </w:rPr>
      </w:pPr>
      <w:bookmarkStart w:id="65" w:name="_Toc61257704"/>
      <w:bookmarkStart w:id="66" w:name="_Toc117243183"/>
      <w:r>
        <w:rPr>
          <w:rFonts w:eastAsia="仿宋_GB2312" w:cs="Times New Roman"/>
        </w:rPr>
        <w:t>问题与挑战</w:t>
      </w:r>
      <w:bookmarkEnd w:id="65"/>
      <w:bookmarkEnd w:id="66"/>
    </w:p>
    <w:p>
      <w:pPr>
        <w:adjustRightInd w:val="0"/>
        <w:snapToGrid w:val="0"/>
        <w:ind w:firstLine="560"/>
        <w:rPr>
          <w:rFonts w:eastAsia="仿宋_GB2312" w:cs="Times New Roman"/>
        </w:rPr>
      </w:pPr>
      <w:r>
        <w:rPr>
          <w:rFonts w:eastAsia="仿宋_GB2312" w:cs="Times New Roman"/>
        </w:rPr>
        <w:t>目前，咸宁新能源汽车充电基础设施发展，主要是受产业基础水平、政策环境等多方面客观因素限制，其发展速度受到新能源汽车发展、充电技术、充换电站建设用地、投资效益回报等不同程度的影响，主要表现在以下几个方面：</w:t>
      </w:r>
    </w:p>
    <w:p>
      <w:pPr>
        <w:adjustRightInd w:val="0"/>
        <w:snapToGrid w:val="0"/>
        <w:ind w:firstLine="562"/>
        <w:rPr>
          <w:rFonts w:eastAsia="仿宋_GB2312" w:cs="Times New Roman"/>
          <w:b/>
          <w:bCs/>
        </w:rPr>
      </w:pPr>
      <w:r>
        <w:rPr>
          <w:rFonts w:eastAsia="仿宋_GB2312" w:cs="Times New Roman"/>
          <w:b/>
          <w:bCs/>
        </w:rPr>
        <w:t>1.新能源汽车</w:t>
      </w:r>
      <w:r>
        <w:rPr>
          <w:rFonts w:hint="eastAsia" w:eastAsia="仿宋_GB2312" w:cs="Times New Roman"/>
          <w:b/>
          <w:bCs/>
        </w:rPr>
        <w:t>增长缓慢</w:t>
      </w:r>
    </w:p>
    <w:p>
      <w:pPr>
        <w:adjustRightInd w:val="0"/>
        <w:snapToGrid w:val="0"/>
        <w:ind w:firstLine="560"/>
        <w:rPr>
          <w:rFonts w:eastAsia="仿宋_GB2312" w:cs="Times New Roman"/>
        </w:rPr>
      </w:pPr>
      <w:r>
        <w:rPr>
          <w:rFonts w:hint="eastAsia" w:eastAsia="仿宋_GB2312" w:cs="Times New Roman"/>
        </w:rPr>
        <w:t>新能源汽车保有量低，发展缓慢。</w:t>
      </w:r>
      <w:r>
        <w:rPr>
          <w:rFonts w:eastAsia="仿宋_GB2312" w:cs="Times New Roman"/>
        </w:rPr>
        <w:t>截至2021年底，全市新能源汽车个人保有量仅5969辆</w:t>
      </w:r>
      <w:r>
        <w:rPr>
          <w:rFonts w:hint="eastAsia" w:eastAsia="仿宋_GB2312" w:cs="Times New Roman"/>
        </w:rPr>
        <w:t>。</w:t>
      </w:r>
      <w:r>
        <w:rPr>
          <w:rFonts w:eastAsia="仿宋_GB2312" w:cs="Times New Roman"/>
        </w:rPr>
        <w:t>一是</w:t>
      </w:r>
      <w:r>
        <w:rPr>
          <w:rFonts w:hint="eastAsia" w:eastAsia="仿宋_GB2312" w:cs="Times New Roman"/>
        </w:rPr>
        <w:t>由于</w:t>
      </w:r>
      <w:r>
        <w:rPr>
          <w:rFonts w:eastAsia="仿宋_GB2312" w:cs="Times New Roman"/>
        </w:rPr>
        <w:t>居民个人对购置新能源汽车因为安全、电池续航里程、小区充电便利度等方面问题普遍存在观望态度，多数家庭目前仅在购置第二辆汽车时才会优先考虑新能源汽车；二是</w:t>
      </w:r>
      <w:r>
        <w:rPr>
          <w:rFonts w:hint="eastAsia" w:eastAsia="仿宋_GB2312" w:cs="Times New Roman"/>
        </w:rPr>
        <w:t>因为</w:t>
      </w:r>
      <w:r>
        <w:rPr>
          <w:rFonts w:eastAsia="仿宋_GB2312" w:cs="Times New Roman"/>
        </w:rPr>
        <w:t>当前新能源汽车售价远高于燃油汽车，导致购买意愿不强。</w:t>
      </w:r>
    </w:p>
    <w:p>
      <w:pPr>
        <w:adjustRightInd w:val="0"/>
        <w:snapToGrid w:val="0"/>
        <w:ind w:firstLine="562"/>
        <w:rPr>
          <w:rFonts w:eastAsia="仿宋_GB2312" w:cs="Times New Roman"/>
          <w:b/>
          <w:bCs/>
        </w:rPr>
      </w:pPr>
      <w:r>
        <w:rPr>
          <w:rFonts w:eastAsia="仿宋_GB2312" w:cs="Times New Roman"/>
          <w:b/>
          <w:bCs/>
        </w:rPr>
        <w:t>2.</w:t>
      </w:r>
      <w:r>
        <w:rPr>
          <w:rFonts w:hint="eastAsia" w:eastAsia="仿宋_GB2312" w:cs="Times New Roman"/>
          <w:b/>
          <w:bCs/>
        </w:rPr>
        <w:t>充电设施</w:t>
      </w:r>
      <w:r>
        <w:rPr>
          <w:rFonts w:eastAsia="仿宋_GB2312" w:cs="Times New Roman"/>
          <w:b/>
          <w:bCs/>
        </w:rPr>
        <w:t>总体发展不均衡</w:t>
      </w:r>
    </w:p>
    <w:p>
      <w:pPr>
        <w:adjustRightInd w:val="0"/>
        <w:snapToGrid w:val="0"/>
        <w:ind w:firstLine="560"/>
        <w:rPr>
          <w:rFonts w:eastAsia="仿宋_GB2312" w:cs="Times New Roman"/>
        </w:rPr>
      </w:pPr>
      <w:r>
        <w:rPr>
          <w:rFonts w:eastAsia="仿宋_GB2312" w:cs="Times New Roman"/>
        </w:rPr>
        <w:t>从现有充电桩建设地点分布看，全市现有充电桩1070个，其中市城区294个、赤壁市436 个、嘉鱼县136 个、通城县  68个、崇阳县 68 个、通山县 68个。充电站站址覆盖度不高，不能满足市中心、县城区“1、3”公里服务半径要求，如温泉城区中心花坛、岔路口等繁华地带3公里范围内无充电站覆盖，有的县级城区仅有1-2个公用充电站点；在乡镇一级公共充电设施除了赤壁市部分乡镇之外，其余大部分乡镇没有充电设施布点。</w:t>
      </w:r>
    </w:p>
    <w:p>
      <w:pPr>
        <w:adjustRightInd w:val="0"/>
        <w:snapToGrid w:val="0"/>
        <w:ind w:firstLine="562"/>
        <w:rPr>
          <w:rFonts w:eastAsia="仿宋_GB2312" w:cs="Times New Roman"/>
          <w:b/>
          <w:bCs/>
        </w:rPr>
      </w:pPr>
      <w:r>
        <w:rPr>
          <w:rFonts w:eastAsia="仿宋_GB2312" w:cs="Times New Roman"/>
          <w:b/>
          <w:bCs/>
        </w:rPr>
        <w:t>3.充电设施建设涉及部门多，</w:t>
      </w:r>
      <w:r>
        <w:rPr>
          <w:rFonts w:hint="eastAsia" w:eastAsia="仿宋_GB2312" w:cs="Times New Roman"/>
          <w:b/>
          <w:bCs/>
        </w:rPr>
        <w:t>实施难度较大</w:t>
      </w:r>
    </w:p>
    <w:p>
      <w:pPr>
        <w:adjustRightInd w:val="0"/>
        <w:snapToGrid w:val="0"/>
        <w:ind w:firstLine="560"/>
        <w:rPr>
          <w:rFonts w:eastAsia="仿宋_GB2312" w:cs="Times New Roman"/>
        </w:rPr>
      </w:pPr>
      <w:r>
        <w:rPr>
          <w:rFonts w:eastAsia="仿宋_GB2312" w:cs="Times New Roman"/>
        </w:rPr>
        <w:t>充电基础设施建设涉及规划、用地、消防、电力、物业、群众等多个方面，利益主体分散，协调难度较大。在城市公共领域，老城区空间受限，土地资源紧张，用地难以保障，有的需要重新征地</w:t>
      </w:r>
      <w:r>
        <w:rPr>
          <w:rFonts w:hint="eastAsia" w:eastAsia="仿宋_GB2312" w:cs="Times New Roman"/>
        </w:rPr>
        <w:t>。</w:t>
      </w:r>
      <w:r>
        <w:rPr>
          <w:rFonts w:eastAsia="仿宋_GB2312" w:cs="Times New Roman"/>
        </w:rPr>
        <w:t>此外，充电基础设施涉及公共电网、用户侧电力设施、道路管线等改造，需要的电力容量大、改造工程大，增加了建设难度，导致充电设施建设周期长、落地效率低，特别是在已建成居民小区受消防安全、供电容量、安装区域和物业不支持等多方面困扰，</w:t>
      </w:r>
      <w:r>
        <w:rPr>
          <w:rFonts w:hint="eastAsia" w:eastAsia="仿宋_GB2312" w:cs="Times New Roman"/>
        </w:rPr>
        <w:t>实施难度大</w:t>
      </w:r>
      <w:r>
        <w:rPr>
          <w:rFonts w:eastAsia="仿宋_GB2312" w:cs="Times New Roman"/>
        </w:rPr>
        <w:t>。如咸安及赤壁老城区，基本上以路边临时停车为主，公共停车场匮乏，规划建设落地有一定困难。</w:t>
      </w:r>
    </w:p>
    <w:p>
      <w:pPr>
        <w:adjustRightInd w:val="0"/>
        <w:snapToGrid w:val="0"/>
        <w:ind w:firstLine="562"/>
        <w:rPr>
          <w:rFonts w:eastAsia="仿宋_GB2312" w:cs="Times New Roman"/>
          <w:b/>
          <w:bCs/>
        </w:rPr>
      </w:pPr>
      <w:r>
        <w:rPr>
          <w:rFonts w:eastAsia="仿宋_GB2312" w:cs="Times New Roman"/>
          <w:b/>
          <w:bCs/>
        </w:rPr>
        <w:t>4.充电便利度不高</w:t>
      </w:r>
    </w:p>
    <w:p>
      <w:pPr>
        <w:adjustRightInd w:val="0"/>
        <w:snapToGrid w:val="0"/>
        <w:ind w:firstLine="560"/>
        <w:rPr>
          <w:rFonts w:eastAsia="仿宋_GB2312" w:cs="Times New Roman"/>
        </w:rPr>
      </w:pPr>
      <w:r>
        <w:rPr>
          <w:rFonts w:hint="eastAsia" w:eastAsia="仿宋_GB2312" w:cs="Times New Roman"/>
        </w:rPr>
        <w:t>在车流量较大的部分高速服务区、热门旅游景点缺少充电设施，充电便利度不高。如</w:t>
      </w:r>
      <w:r>
        <w:rPr>
          <w:rFonts w:eastAsia="仿宋_GB2312" w:cs="Times New Roman"/>
        </w:rPr>
        <w:t>目前我市高速公路服务区仍有9个高速服务区未建设充电设施，同时陆水湖、九宫山等热门景区也未建设充电站，不能满足新能源汽车充电需求。</w:t>
      </w:r>
    </w:p>
    <w:p>
      <w:pPr>
        <w:adjustRightInd w:val="0"/>
        <w:snapToGrid w:val="0"/>
        <w:ind w:firstLine="562"/>
        <w:rPr>
          <w:rFonts w:eastAsia="仿宋_GB2312" w:cs="Times New Roman"/>
          <w:b/>
          <w:bCs/>
        </w:rPr>
      </w:pPr>
      <w:r>
        <w:rPr>
          <w:rFonts w:eastAsia="仿宋_GB2312" w:cs="Times New Roman"/>
          <w:b/>
          <w:bCs/>
        </w:rPr>
        <w:t>5.投资主体信心不足，投资热情不高</w:t>
      </w:r>
    </w:p>
    <w:p>
      <w:pPr>
        <w:adjustRightInd w:val="0"/>
        <w:snapToGrid w:val="0"/>
        <w:ind w:firstLine="560"/>
        <w:rPr>
          <w:rFonts w:eastAsia="仿宋_GB2312" w:cs="Times New Roman"/>
        </w:rPr>
      </w:pPr>
      <w:r>
        <w:rPr>
          <w:rFonts w:eastAsia="仿宋_GB2312" w:cs="Times New Roman"/>
        </w:rPr>
        <w:t>咸宁现有运营充电设施投资运营商不多，大部分为城投公司和电网公司投资建设</w:t>
      </w:r>
      <w:r>
        <w:rPr>
          <w:rFonts w:hint="eastAsia" w:eastAsia="仿宋_GB2312" w:cs="Times New Roman"/>
        </w:rPr>
        <w:t>，投资热情不高。</w:t>
      </w:r>
      <w:r>
        <w:rPr>
          <w:rFonts w:eastAsia="仿宋_GB2312" w:cs="Times New Roman"/>
        </w:rPr>
        <w:t>主要由于充电设施前期建设投资大，受当前咸宁新能源汽车保有量规模小、充电设施利用率不高等方面问题造成企业投资回收期长、回报率低，导致投资主体信心不足，影响了咸宁新能源汽车充电基础设施建设发展。</w:t>
      </w:r>
    </w:p>
    <w:p>
      <w:pPr>
        <w:adjustRightInd w:val="0"/>
        <w:snapToGrid w:val="0"/>
        <w:ind w:firstLine="560"/>
        <w:rPr>
          <w:rFonts w:eastAsia="仿宋_GB2312" w:cs="Times New Roman"/>
        </w:rPr>
      </w:pPr>
    </w:p>
    <w:p>
      <w:pPr>
        <w:pStyle w:val="2"/>
        <w:rPr>
          <w:rFonts w:eastAsia="仿宋_GB2312" w:cs="Times New Roman"/>
        </w:rPr>
      </w:pPr>
      <w:bookmarkStart w:id="67" w:name="_Toc117243184"/>
      <w:r>
        <w:rPr>
          <w:rFonts w:hint="eastAsia" w:eastAsia="仿宋_GB2312" w:cs="Times New Roman"/>
        </w:rPr>
        <w:t>发展趋势研判</w:t>
      </w:r>
      <w:bookmarkEnd w:id="67"/>
    </w:p>
    <w:bookmarkEnd w:id="3"/>
    <w:p>
      <w:pPr>
        <w:pStyle w:val="3"/>
        <w:adjustRightInd w:val="0"/>
        <w:rPr>
          <w:rFonts w:eastAsia="仿宋_GB2312" w:cs="Times New Roman"/>
        </w:rPr>
      </w:pPr>
      <w:bookmarkStart w:id="68" w:name="_Toc117243185"/>
      <w:r>
        <w:rPr>
          <w:rFonts w:eastAsia="仿宋_GB2312" w:cs="Times New Roman"/>
        </w:rPr>
        <w:t>充电场景分析</w:t>
      </w:r>
      <w:bookmarkEnd w:id="68"/>
    </w:p>
    <w:p>
      <w:pPr>
        <w:pStyle w:val="4"/>
        <w:spacing w:before="156" w:after="156"/>
        <w:rPr>
          <w:rFonts w:eastAsia="仿宋_GB2312"/>
        </w:rPr>
      </w:pPr>
      <w:bookmarkStart w:id="69" w:name="_Toc117243186"/>
      <w:r>
        <w:rPr>
          <w:rFonts w:eastAsia="仿宋_GB2312"/>
        </w:rPr>
        <w:t>新能源公交车场景分析</w:t>
      </w:r>
      <w:bookmarkEnd w:id="69"/>
    </w:p>
    <w:p>
      <w:pPr>
        <w:adjustRightInd w:val="0"/>
        <w:snapToGrid w:val="0"/>
        <w:ind w:firstLine="562"/>
        <w:rPr>
          <w:rFonts w:eastAsia="仿宋_GB2312" w:cs="Times New Roman"/>
          <w:b/>
        </w:rPr>
      </w:pPr>
      <w:r>
        <w:rPr>
          <w:rFonts w:eastAsia="仿宋_GB2312" w:cs="Times New Roman"/>
          <w:b/>
        </w:rPr>
        <w:t>（1）运营特性</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公交车作为一种有固定线路、固定停放地点的运输方式，围绕着首末站、停保场进行日常运营。通过现场调研，咸宁市的新能源公交车运营时间大抵在06:00-21:00，期间以一定的发车频率发车，一般是15~20分钟/班，运营线路从首末站出发，中间途经枢纽站，运营结束后返回首末站或者停保场。</w:t>
      </w:r>
    </w:p>
    <w:p>
      <w:pPr>
        <w:adjustRightInd w:val="0"/>
        <w:snapToGrid w:val="0"/>
        <w:ind w:firstLine="0" w:firstLineChars="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drawing>
          <wp:inline distT="0" distB="0" distL="0" distR="0">
            <wp:extent cx="5274310" cy="2153285"/>
            <wp:effectExtent l="0" t="0" r="13970" b="10795"/>
            <wp:docPr id="139" name="图片 1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9" name="图片 138"/>
                    <pic:cNvPicPr>
                      <a:picLocks noChangeAspect="true"/>
                    </pic:cNvPicPr>
                  </pic:nvPicPr>
                  <pic:blipFill>
                    <a:blip r:embed="rId41"/>
                    <a:stretch>
                      <a:fillRect/>
                    </a:stretch>
                  </pic:blipFill>
                  <pic:spPr>
                    <a:xfrm>
                      <a:off x="0" y="0"/>
                      <a:ext cx="5274310" cy="2153285"/>
                    </a:xfrm>
                    <a:prstGeom prst="rect">
                      <a:avLst/>
                    </a:prstGeom>
                  </pic:spPr>
                </pic:pic>
              </a:graphicData>
            </a:graphic>
          </wp:inline>
        </w:drawing>
      </w:r>
    </w:p>
    <w:p>
      <w:pPr>
        <w:pStyle w:val="19"/>
        <w:adjustRightInd w:val="0"/>
        <w:snapToGrid w:val="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r>
        <w:rPr>
          <w:rFonts w:eastAsia="仿宋_GB2312" w:cs="Times New Roman"/>
        </w:rPr>
        <w:t>咸宁市公交车运营示意图</w:t>
      </w:r>
    </w:p>
    <w:p>
      <w:pPr>
        <w:adjustRightInd w:val="0"/>
        <w:snapToGrid w:val="0"/>
        <w:ind w:firstLine="562"/>
        <w:rPr>
          <w:rFonts w:eastAsia="仿宋_GB2312" w:cs="Times New Roman"/>
          <w:b/>
        </w:rPr>
      </w:pPr>
      <w:r>
        <w:rPr>
          <w:rFonts w:eastAsia="仿宋_GB2312" w:cs="Times New Roman"/>
          <w:b/>
        </w:rPr>
        <w:t>（2）充电特征</w:t>
      </w:r>
    </w:p>
    <w:p>
      <w:pPr>
        <w:adjustRightInd w:val="0"/>
        <w:snapToGrid w:val="0"/>
        <w:ind w:firstLine="560"/>
        <w:rPr>
          <w:rFonts w:eastAsia="仿宋_GB2312" w:cs="Times New Roman"/>
        </w:rPr>
      </w:pPr>
      <w:r>
        <w:rPr>
          <w:rFonts w:eastAsia="仿宋_GB2312" w:cs="Times New Roman"/>
        </w:rPr>
        <w:t>根据</w:t>
      </w:r>
      <w:r>
        <w:rPr>
          <w:rFonts w:hint="eastAsia" w:eastAsia="仿宋_GB2312" w:cs="Times New Roman"/>
        </w:rPr>
        <w:t>实地</w:t>
      </w:r>
      <w:r>
        <w:rPr>
          <w:rFonts w:eastAsia="仿宋_GB2312" w:cs="Times New Roman"/>
        </w:rPr>
        <w:t>调研，新能源公交车一般于夜间21:00-06:00期间在首末站、停保场等公交场站充电区域集中充电，每辆车的单次充电时长约为3.5h，此外还有部分车辆需白天在公交枢纽站或首末站临时补电，耗时0.5h-1h。充电高峰期，在晚上和凌晨集中充电时段内，每个公交充电桩可以满足3辆新能源公交车的充电需求，因此新能源公交车的桩车比选取1:3较为合理。</w:t>
      </w:r>
    </w:p>
    <w:p>
      <w:pPr>
        <w:pStyle w:val="4"/>
        <w:spacing w:before="156" w:after="156"/>
        <w:rPr>
          <w:rFonts w:eastAsia="仿宋_GB2312"/>
        </w:rPr>
      </w:pPr>
      <w:bookmarkStart w:id="70" w:name="_Toc117243187"/>
      <w:r>
        <w:rPr>
          <w:rFonts w:eastAsia="仿宋_GB2312"/>
        </w:rPr>
        <w:t>新能源物流车场景分析</w:t>
      </w:r>
      <w:bookmarkEnd w:id="70"/>
    </w:p>
    <w:p>
      <w:pPr>
        <w:pStyle w:val="581"/>
        <w:ind w:firstLine="562"/>
        <w:rPr>
          <w:rFonts w:eastAsia="仿宋_GB2312"/>
          <w:b/>
          <w:bCs/>
        </w:rPr>
      </w:pPr>
      <w:r>
        <w:rPr>
          <w:rFonts w:eastAsia="仿宋_GB2312"/>
          <w:b/>
          <w:bCs/>
        </w:rPr>
        <w:t>（1）运营特征</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通常新能源物流车包括小型货车、冷藏车、面包车等车型，其长度从4m到13.5m不等。根据前期调研，物流车的运营时间大致在22:00-12:00（次日），其余时段为闲置状态，日均行驶里程120km，运营路线通常是从物流园分散到咸安区及各县市。</w:t>
      </w:r>
    </w:p>
    <w:p>
      <w:pPr>
        <w:pStyle w:val="581"/>
        <w:ind w:firstLine="562"/>
        <w:rPr>
          <w:rFonts w:eastAsia="仿宋_GB2312"/>
          <w:b/>
          <w:bCs/>
        </w:rPr>
      </w:pPr>
      <w:r>
        <w:rPr>
          <w:rFonts w:eastAsia="仿宋_GB2312"/>
          <w:b/>
          <w:bCs/>
        </w:rPr>
        <w:t>（2）充电特征</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据调研，新能源物流车辆集中充电时段为白天12:00-22:00，每车单次充电时长3h。新能源物流车在等待装货/卸货的时间段内使用物流园专用快充充电设施进行充电，在运输过程中使用城市公共充电站共享充电设施进行临时补电。在集中充电时段内，桩车比约为1:3。</w:t>
      </w:r>
    </w:p>
    <w:p>
      <w:pPr>
        <w:pStyle w:val="4"/>
        <w:spacing w:before="156" w:after="156"/>
        <w:rPr>
          <w:rFonts w:eastAsia="仿宋_GB2312"/>
        </w:rPr>
      </w:pPr>
      <w:bookmarkStart w:id="71" w:name="_Toc117243188"/>
      <w:r>
        <w:rPr>
          <w:rFonts w:eastAsia="仿宋_GB2312"/>
        </w:rPr>
        <w:t>新能源环卫车场景分析</w:t>
      </w:r>
      <w:bookmarkEnd w:id="71"/>
    </w:p>
    <w:p>
      <w:pPr>
        <w:ind w:firstLine="562"/>
        <w:rPr>
          <w:rFonts w:eastAsia="仿宋_GB2312" w:cs="Times New Roman"/>
          <w:b/>
          <w:bCs/>
        </w:rPr>
      </w:pPr>
      <w:r>
        <w:rPr>
          <w:rFonts w:eastAsia="仿宋_GB2312" w:cs="Times New Roman"/>
          <w:b/>
          <w:bCs/>
        </w:rPr>
        <w:t>（1）运营特征</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通常环卫垃圾清洁行业的主要业务类型包括道路洗扫、垃圾清运、垃圾处理等，主要服务车型有垃圾转运车、洒水车、机扫车（洗扫一体车）、垃圾收集车</w:t>
      </w:r>
      <w:r>
        <w:rPr>
          <w:rFonts w:hint="eastAsia" w:eastAsia="仿宋_GB2312" w:cs="Times New Roman"/>
          <w:color w:val="000000" w:themeColor="text1"/>
          <w14:textFill>
            <w14:solidFill>
              <w14:schemeClr w14:val="tx1"/>
            </w14:solidFill>
          </w14:textFill>
        </w:rPr>
        <w:t>。</w:t>
      </w:r>
      <w:r>
        <w:rPr>
          <w:rFonts w:eastAsia="仿宋_GB2312" w:cs="Times New Roman"/>
          <w:color w:val="000000" w:themeColor="text1"/>
          <w14:textFill>
            <w14:solidFill>
              <w14:schemeClr w14:val="tx1"/>
            </w14:solidFill>
          </w14:textFill>
        </w:rPr>
        <w:t>各类型车辆因工作内容不同，具有不同的作业时间，可以化为分三个类别：</w:t>
      </w:r>
      <w:r>
        <w:rPr>
          <w:rFonts w:hint="eastAsia" w:eastAsia="仿宋_GB2312" w:cs="Times New Roman"/>
          <w:color w:val="000000" w:themeColor="text1"/>
          <w14:textFill>
            <w14:solidFill>
              <w14:schemeClr w14:val="tx1"/>
            </w14:solidFill>
          </w14:textFill>
        </w:rPr>
        <w:t>①洒水车、机扫车作业时间在早上06:00-09:00、中午13:00-14:30；②垃圾转运车作业时间在早上05:30-下午17:00；③</w:t>
      </w:r>
      <w:r>
        <w:rPr>
          <w:rFonts w:eastAsia="仿宋_GB2312" w:cs="Times New Roman"/>
          <w:color w:val="000000" w:themeColor="text1"/>
          <w14:textFill>
            <w14:solidFill>
              <w14:schemeClr w14:val="tx1"/>
            </w14:solidFill>
          </w14:textFill>
        </w:rPr>
        <w:t>垃圾收集车作业时间在早上05:30-下午18:30。</w:t>
      </w:r>
    </w:p>
    <w:p>
      <w:pPr>
        <w:adjustRightInd w:val="0"/>
        <w:snapToGrid w:val="0"/>
        <w:ind w:firstLine="0" w:firstLineChars="0"/>
        <w:jc w:val="center"/>
        <w:rPr>
          <w:rFonts w:eastAsia="仿宋_GB2312" w:cs="Times New Roman"/>
          <w:color w:val="000000" w:themeColor="text1"/>
          <w14:textFill>
            <w14:solidFill>
              <w14:schemeClr w14:val="tx1"/>
            </w14:solidFill>
          </w14:textFill>
        </w:rPr>
      </w:pPr>
      <w:r>
        <w:rPr>
          <w:rFonts w:eastAsia="仿宋_GB2312" w:cs="Times New Roman"/>
        </w:rPr>
        <w:drawing>
          <wp:inline distT="0" distB="0" distL="0" distR="0">
            <wp:extent cx="5215255" cy="2537460"/>
            <wp:effectExtent l="0" t="0" r="4445" b="0"/>
            <wp:docPr id="35"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true" noChangeArrowheads="true"/>
                    </pic:cNvPicPr>
                  </pic:nvPicPr>
                  <pic:blipFill>
                    <a:blip r:embed="rId42" cstate="print">
                      <a:extLst>
                        <a:ext uri="{28A0092B-C50C-407E-A947-70E740481C1C}">
                          <a14:useLocalDpi xmlns:a14="http://schemas.microsoft.com/office/drawing/2010/main" val="false"/>
                        </a:ext>
                      </a:extLst>
                    </a:blip>
                    <a:srcRect/>
                    <a:stretch>
                      <a:fillRect/>
                    </a:stretch>
                  </pic:blipFill>
                  <pic:spPr>
                    <a:xfrm>
                      <a:off x="0" y="0"/>
                      <a:ext cx="5234514" cy="2547217"/>
                    </a:xfrm>
                    <a:prstGeom prst="rect">
                      <a:avLst/>
                    </a:prstGeom>
                    <a:noFill/>
                    <a:ln>
                      <a:noFill/>
                    </a:ln>
                  </pic:spPr>
                </pic:pic>
              </a:graphicData>
            </a:graphic>
          </wp:inline>
        </w:drawing>
      </w:r>
    </w:p>
    <w:p>
      <w:pPr>
        <w:pStyle w:val="19"/>
        <w:adjustRightInd w:val="0"/>
        <w:snapToGrid w:val="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t>环卫车运营示意图</w:t>
      </w:r>
    </w:p>
    <w:p>
      <w:pPr>
        <w:pStyle w:val="581"/>
        <w:ind w:firstLine="562"/>
        <w:rPr>
          <w:rFonts w:eastAsia="仿宋_GB2312"/>
          <w:b/>
          <w:bCs/>
        </w:rPr>
      </w:pPr>
      <w:r>
        <w:rPr>
          <w:rFonts w:eastAsia="仿宋_GB2312"/>
          <w:b/>
          <w:bCs/>
        </w:rPr>
        <w:t>（2）充电特征</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根据道路清扫及垃圾清运作业时间的不同，新能源环卫车可在白天和夜晚错峰充电。洒水车和机扫车可在10:00-12:00充电，垃圾转运车和垃圾收集车在夜间闲置时间段21:00-5:30充电，新能源环卫车日均充电次数1次，每车单次充电时长2h-3h。在集中充电时段内，桩车比约1:3。</w:t>
      </w:r>
    </w:p>
    <w:p>
      <w:pPr>
        <w:pStyle w:val="4"/>
        <w:spacing w:before="156" w:after="156"/>
        <w:rPr>
          <w:rFonts w:eastAsia="仿宋_GB2312"/>
        </w:rPr>
      </w:pPr>
      <w:bookmarkStart w:id="72" w:name="_Toc117243189"/>
      <w:r>
        <w:rPr>
          <w:rFonts w:eastAsia="仿宋_GB2312"/>
        </w:rPr>
        <w:t>新能源出租车场景分析</w:t>
      </w:r>
      <w:bookmarkEnd w:id="72"/>
    </w:p>
    <w:p>
      <w:pPr>
        <w:pStyle w:val="581"/>
        <w:ind w:firstLine="562"/>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（1）运营特征</w:t>
      </w:r>
    </w:p>
    <w:p>
      <w:pPr>
        <w:adjustRightInd w:val="0"/>
        <w:snapToGrid w:val="0"/>
        <w:ind w:firstLine="560"/>
        <w:rPr>
          <w:rFonts w:eastAsia="仿宋_GB2312" w:cs="Times New Roman"/>
        </w:rPr>
      </w:pPr>
      <w:r>
        <w:rPr>
          <w:rFonts w:eastAsia="仿宋_GB2312" w:cs="Times New Roman"/>
        </w:rPr>
        <w:t>出租车作为一种不定线、不定点、不定时且缺乏固定场站的运输方式，具有单、双班混合制的运营模式。据调研，全市单班运营时间为9:00-23:00；另外双班白班的</w:t>
      </w:r>
      <w:r>
        <w:rPr>
          <w:rFonts w:hint="eastAsia" w:eastAsia="仿宋_GB2312" w:cs="Times New Roman"/>
        </w:rPr>
        <w:t>运营</w:t>
      </w:r>
      <w:r>
        <w:rPr>
          <w:rFonts w:eastAsia="仿宋_GB2312" w:cs="Times New Roman"/>
        </w:rPr>
        <w:t>时间为7:00-19:00，夜班的</w:t>
      </w:r>
      <w:r>
        <w:rPr>
          <w:rFonts w:hint="eastAsia" w:eastAsia="仿宋_GB2312" w:cs="Times New Roman"/>
        </w:rPr>
        <w:t>运营</w:t>
      </w:r>
      <w:r>
        <w:rPr>
          <w:rFonts w:eastAsia="仿宋_GB2312" w:cs="Times New Roman"/>
        </w:rPr>
        <w:t>时间为19:00-7:00</w:t>
      </w:r>
      <w:r>
        <w:rPr>
          <w:rFonts w:hint="eastAsia" w:eastAsia="仿宋_GB2312" w:cs="Times New Roman"/>
        </w:rPr>
        <w:t>，</w:t>
      </w:r>
      <w:r>
        <w:rPr>
          <w:rFonts w:eastAsia="仿宋_GB2312" w:cs="Times New Roman"/>
        </w:rPr>
        <w:t>白班和夜班交替执行，早交班的时间集中于6:00-8:00，晚交班时间集中于18:00-20:00。</w:t>
      </w:r>
    </w:p>
    <w:p>
      <w:pPr>
        <w:adjustRightInd w:val="0"/>
        <w:snapToGrid w:val="0"/>
        <w:ind w:firstLine="198" w:firstLineChars="71"/>
        <w:jc w:val="center"/>
        <w:rPr>
          <w:rFonts w:eastAsia="仿宋_GB2312" w:cs="Times New Roman"/>
        </w:rPr>
      </w:pPr>
      <w:r>
        <w:rPr>
          <w:rFonts w:eastAsia="仿宋_GB2312" w:cs="Times New Roman"/>
          <w:color w:val="000000" w:themeColor="text1"/>
          <w14:textFill>
            <w14:solidFill>
              <w14:schemeClr w14:val="tx1"/>
            </w14:solidFill>
          </w14:textFill>
        </w:rPr>
        <w:drawing>
          <wp:inline distT="0" distB="0" distL="0" distR="0">
            <wp:extent cx="4721225" cy="4391660"/>
            <wp:effectExtent l="0" t="0" r="3175" b="8890"/>
            <wp:docPr id="230" name="图片 2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true" noChangeArrowheads="true"/>
                    </pic:cNvPicPr>
                  </pic:nvPicPr>
                  <pic:blipFill>
                    <a:blip r:embed="rId43">
                      <a:extLst>
                        <a:ext uri="{28A0092B-C50C-407E-A947-70E740481C1C}">
                          <a14:useLocalDpi xmlns:a14="http://schemas.microsoft.com/office/drawing/2010/main" val="false"/>
                        </a:ext>
                      </a:extLst>
                    </a:blip>
                    <a:srcRect l="-888" t="6628"/>
                    <a:stretch>
                      <a:fillRect/>
                    </a:stretch>
                  </pic:blipFill>
                  <pic:spPr>
                    <a:xfrm>
                      <a:off x="0" y="0"/>
                      <a:ext cx="4721563" cy="4391803"/>
                    </a:xfrm>
                    <a:prstGeom prst="rect">
                      <a:avLst/>
                    </a:prstGeom>
                    <a:noFill/>
                    <a:ln>
                      <a:noFill/>
                    </a:ln>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t>新能源出租车运营示意图</w:t>
      </w:r>
    </w:p>
    <w:p>
      <w:pPr>
        <w:pStyle w:val="581"/>
        <w:ind w:firstLine="562"/>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（2）充电特征</w:t>
      </w:r>
    </w:p>
    <w:p>
      <w:pPr>
        <w:adjustRightInd w:val="0"/>
        <w:snapToGrid w:val="0"/>
        <w:ind w:firstLine="560"/>
        <w:rPr>
          <w:rFonts w:eastAsia="仿宋_GB2312" w:cs="Times New Roman"/>
        </w:rPr>
      </w:pPr>
      <w:r>
        <w:rPr>
          <w:rFonts w:eastAsia="仿宋_GB2312" w:cs="Times New Roman"/>
        </w:rPr>
        <w:t>由于出租车在运营交接过程中需要满电交接，因此形成了四个集充电时间段：单班充电，双班白班交接班，双班夜班交接班和中午临时补电。据调研，一般单班充电时段为23:00-3:00；双班夜班交接班充电时段为3:00-7:00，双班白班交接班充电时段为16:00-19:00；中午临时补电时段为11:30-14:00。由于双班白班交接班需要在3个小时内实现所有双班出租车的充电需求，导致该时段充电需求旺盛，</w:t>
      </w:r>
      <w:r>
        <w:rPr>
          <w:rFonts w:hint="eastAsia" w:eastAsia="仿宋_GB2312" w:cs="Times New Roman"/>
        </w:rPr>
        <w:t>由于咸宁没有专门的出租车充电站，新能源出租车主要在公用快充桩上充电</w:t>
      </w:r>
      <w:r>
        <w:rPr>
          <w:rFonts w:eastAsia="仿宋_GB2312" w:cs="Times New Roman"/>
        </w:rPr>
        <w:t>。</w:t>
      </w:r>
    </w:p>
    <w:p>
      <w:pPr>
        <w:pStyle w:val="4"/>
        <w:spacing w:before="156" w:after="156"/>
        <w:rPr>
          <w:rFonts w:eastAsia="仿宋_GB2312"/>
        </w:rPr>
      </w:pPr>
      <w:bookmarkStart w:id="73" w:name="_Toc117243190"/>
      <w:bookmarkStart w:id="74" w:name="OLE_LINK6"/>
      <w:r>
        <w:rPr>
          <w:rFonts w:eastAsia="仿宋_GB2312"/>
        </w:rPr>
        <w:t>新能源私家车场景分析</w:t>
      </w:r>
      <w:bookmarkEnd w:id="73"/>
    </w:p>
    <w:bookmarkEnd w:id="74"/>
    <w:p>
      <w:pPr>
        <w:pStyle w:val="581"/>
        <w:ind w:firstLine="562"/>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（1）运营特征</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通过</w:t>
      </w:r>
      <w:r>
        <w:rPr>
          <w:rFonts w:hint="eastAsia" w:eastAsia="仿宋_GB2312" w:cs="Times New Roman"/>
          <w:color w:val="000000" w:themeColor="text1"/>
          <w14:textFill>
            <w14:solidFill>
              <w14:schemeClr w14:val="tx1"/>
            </w14:solidFill>
          </w14:textFill>
        </w:rPr>
        <w:t>现场</w:t>
      </w:r>
      <w:r>
        <w:rPr>
          <w:rFonts w:eastAsia="仿宋_GB2312" w:cs="Times New Roman"/>
          <w:color w:val="000000" w:themeColor="text1"/>
          <w14:textFill>
            <w14:solidFill>
              <w14:schemeClr w14:val="tx1"/>
            </w14:solidFill>
          </w14:textFill>
        </w:rPr>
        <w:t>调研，咸宁市新能源私家车日均行驶里程约30km，每周行驶里程约200-300km，主要行驶路线为住宅小区-公司/小学/县城及大型商场、文体公园等场馆，出行时间段大抵为6:30-9:00、11:00-12:00；13:30-14:30、17:00-19:00，其行驶过程分析如下图。</w:t>
      </w:r>
    </w:p>
    <w:p>
      <w:pPr>
        <w:adjustRightInd w:val="0"/>
        <w:snapToGrid w:val="0"/>
        <w:ind w:firstLine="0" w:firstLineChars="0"/>
        <w:rPr>
          <w:rFonts w:eastAsia="仿宋_GB2312" w:cs="Times New Roman"/>
        </w:rPr>
      </w:pPr>
      <w:r>
        <w:rPr>
          <w:rFonts w:eastAsia="仿宋_GB2312" w:cs="Times New Roman"/>
        </w:rPr>
        <w:drawing>
          <wp:inline distT="0" distB="0" distL="0" distR="0">
            <wp:extent cx="5199380" cy="2172335"/>
            <wp:effectExtent l="0" t="0" r="12700" b="6985"/>
            <wp:docPr id="40" name="图片 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true" noChangeArrowheads="true"/>
                    </pic:cNvPicPr>
                  </pic:nvPicPr>
                  <pic:blipFill>
                    <a:blip r:embed="rId44" cstate="print">
                      <a:extLst>
                        <a:ext uri="{28A0092B-C50C-407E-A947-70E740481C1C}">
                          <a14:useLocalDpi xmlns:a14="http://schemas.microsoft.com/office/drawing/2010/main" val="false"/>
                        </a:ext>
                      </a:extLst>
                    </a:blip>
                    <a:srcRect/>
                    <a:stretch>
                      <a:fillRect/>
                    </a:stretch>
                  </pic:blipFill>
                  <pic:spPr>
                    <a:xfrm>
                      <a:off x="0" y="0"/>
                      <a:ext cx="5241544" cy="2189867"/>
                    </a:xfrm>
                    <a:prstGeom prst="rect">
                      <a:avLst/>
                    </a:prstGeom>
                    <a:noFill/>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t>新能源私家车运营示意图</w:t>
      </w:r>
    </w:p>
    <w:p>
      <w:pPr>
        <w:pStyle w:val="581"/>
        <w:ind w:firstLine="562"/>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（2）充电特征</w:t>
      </w:r>
    </w:p>
    <w:p>
      <w:pPr>
        <w:adjustRightInd w:val="0"/>
        <w:snapToGrid w:val="0"/>
        <w:ind w:firstLine="560"/>
        <w:rPr>
          <w:rFonts w:eastAsia="仿宋_GB2312" w:cs="Times New Roman"/>
        </w:rPr>
      </w:pPr>
      <w:r>
        <w:rPr>
          <w:rFonts w:eastAsia="仿宋_GB2312" w:cs="Times New Roman"/>
          <w:color w:val="000000" w:themeColor="text1"/>
          <w14:textFill>
            <w14:solidFill>
              <w14:schemeClr w14:val="tx1"/>
            </w14:solidFill>
          </w14:textFill>
        </w:rPr>
        <w:t>新能源私家车充电高峰为晚上20:00-23:00。在白天较短闲置时间段内使用城市公共充电站或小区地上停车位快充充电设施进行临时补电；在夜晚较长时间段内使用小区</w:t>
      </w:r>
      <w:r>
        <w:rPr>
          <w:rFonts w:hint="eastAsia" w:eastAsia="仿宋_GB2312" w:cs="Times New Roman"/>
          <w:color w:val="000000" w:themeColor="text1"/>
          <w14:textFill>
            <w14:solidFill>
              <w14:schemeClr w14:val="tx1"/>
            </w14:solidFill>
          </w14:textFill>
        </w:rPr>
        <w:t>充电桩</w:t>
      </w:r>
      <w:r>
        <w:rPr>
          <w:rFonts w:eastAsia="仿宋_GB2312" w:cs="Times New Roman"/>
          <w:color w:val="000000" w:themeColor="text1"/>
          <w14:textFill>
            <w14:solidFill>
              <w14:schemeClr w14:val="tx1"/>
            </w14:solidFill>
          </w14:textFill>
        </w:rPr>
        <w:t>进行充电。根据咸宁新能源私家车的日均行驶里程，推算出新能源私家车每周行驶里程约为200-300km，若按照新能源汽车300km-400km的续航里程计算，同时考虑一周内电池损耗，新能源私家车每周需要满充1次</w:t>
      </w:r>
      <w:r>
        <w:rPr>
          <w:rFonts w:eastAsia="仿宋_GB2312" w:cs="Times New Roman"/>
        </w:rPr>
        <w:t>。综合考虑私人电动车车主均有安装充电桩需求，但由于小区尤其是老旧小区停车场场地等诸多因素限制，同时提高充电桩利用效率，桩车比按1:4考虑。</w:t>
      </w:r>
    </w:p>
    <w:p>
      <w:pPr>
        <w:pStyle w:val="4"/>
        <w:spacing w:before="156" w:after="156"/>
        <w:rPr>
          <w:rFonts w:eastAsia="仿宋_GB2312"/>
        </w:rPr>
      </w:pPr>
      <w:bookmarkStart w:id="75" w:name="_Toc117243191"/>
      <w:r>
        <w:rPr>
          <w:rFonts w:eastAsia="仿宋_GB2312"/>
        </w:rPr>
        <w:t>新能源车自驾游场景分析</w:t>
      </w:r>
      <w:bookmarkEnd w:id="75"/>
    </w:p>
    <w:p>
      <w:pPr>
        <w:adjustRightInd w:val="0"/>
        <w:snapToGrid w:val="0"/>
        <w:ind w:firstLine="560"/>
        <w:rPr>
          <w:rFonts w:eastAsia="仿宋_GB2312" w:cs="Times New Roman"/>
        </w:rPr>
      </w:pPr>
      <w:r>
        <w:rPr>
          <w:rFonts w:eastAsia="仿宋_GB2312" w:cs="Times New Roman"/>
        </w:rPr>
        <w:t>咸宁作为武汉</w:t>
      </w:r>
      <w:bookmarkStart w:id="76" w:name="OLE_LINK25"/>
      <w:r>
        <w:rPr>
          <w:rFonts w:eastAsia="仿宋_GB2312" w:cs="Times New Roman"/>
        </w:rPr>
        <w:t>城市圈中自然生态公园城市</w:t>
      </w:r>
      <w:bookmarkEnd w:id="76"/>
      <w:r>
        <w:rPr>
          <w:rFonts w:eastAsia="仿宋_GB2312" w:cs="Times New Roman"/>
        </w:rPr>
        <w:t>，旅游业是其一大特色，尤其是节假日以及冬季温泉旅游旺季，武汉及周边城市来咸宁自驾游旅客流量大，旅客新能源车对充电设施需求旺盛。</w:t>
      </w:r>
    </w:p>
    <w:p>
      <w:pPr>
        <w:pStyle w:val="581"/>
        <w:ind w:firstLineChars="71"/>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（1）运营特征</w:t>
      </w:r>
    </w:p>
    <w:p>
      <w:pPr>
        <w:adjustRightInd w:val="0"/>
        <w:snapToGrid w:val="0"/>
        <w:ind w:firstLine="560"/>
        <w:rPr>
          <w:rFonts w:eastAsia="仿宋_GB2312" w:cs="Times New Roman"/>
        </w:rPr>
      </w:pPr>
      <w:r>
        <w:rPr>
          <w:rFonts w:hint="eastAsia" w:eastAsia="仿宋_GB2312" w:cs="Times New Roman"/>
        </w:rPr>
        <w:t>自驾游通常是私家车，其</w:t>
      </w:r>
      <w:r>
        <w:rPr>
          <w:rFonts w:eastAsia="仿宋_GB2312" w:cs="Times New Roman"/>
        </w:rPr>
        <w:t>运营时间一般</w:t>
      </w:r>
      <w:r>
        <w:rPr>
          <w:rFonts w:hint="eastAsia" w:eastAsia="仿宋_GB2312" w:cs="Times New Roman"/>
        </w:rPr>
        <w:t>集中在</w:t>
      </w:r>
      <w:r>
        <w:rPr>
          <w:rFonts w:eastAsia="仿宋_GB2312" w:cs="Times New Roman"/>
        </w:rPr>
        <w:t>节假日及旅游高峰期，在此时间内新能源汽车</w:t>
      </w:r>
      <w:r>
        <w:rPr>
          <w:rFonts w:hint="eastAsia" w:eastAsia="仿宋_GB2312" w:cs="Times New Roman"/>
        </w:rPr>
        <w:t>运营时间和</w:t>
      </w:r>
      <w:r>
        <w:rPr>
          <w:rFonts w:eastAsia="仿宋_GB2312" w:cs="Times New Roman"/>
        </w:rPr>
        <w:t>续航里程具有不确定性，</w:t>
      </w:r>
      <w:r>
        <w:rPr>
          <w:rFonts w:hint="eastAsia" w:eastAsia="仿宋_GB2312" w:cs="Times New Roman"/>
        </w:rPr>
        <w:t>通常为白天运行，</w:t>
      </w:r>
      <w:r>
        <w:rPr>
          <w:rFonts w:eastAsia="仿宋_GB2312" w:cs="Times New Roman"/>
        </w:rPr>
        <w:t>尤其是路上堵车及沿途高速等</w:t>
      </w:r>
      <w:r>
        <w:rPr>
          <w:rFonts w:hint="eastAsia" w:eastAsia="仿宋_GB2312" w:cs="Times New Roman"/>
        </w:rPr>
        <w:t>不利因素对新能源自驾车续航影响很大</w:t>
      </w:r>
      <w:r>
        <w:rPr>
          <w:rFonts w:eastAsia="仿宋_GB2312" w:cs="Times New Roman"/>
        </w:rPr>
        <w:t>。</w:t>
      </w:r>
    </w:p>
    <w:p>
      <w:pPr>
        <w:adjustRightInd w:val="0"/>
        <w:snapToGrid w:val="0"/>
        <w:ind w:firstLine="0" w:firstLineChars="0"/>
        <w:jc w:val="center"/>
        <w:rPr>
          <w:rFonts w:eastAsia="仿宋_GB2312" w:cs="Times New Roman"/>
        </w:rPr>
      </w:pPr>
      <w:r>
        <w:rPr>
          <w:rFonts w:eastAsia="仿宋_GB2312" w:cs="Times New Roman"/>
        </w:rPr>
        <w:drawing>
          <wp:inline distT="0" distB="0" distL="0" distR="0">
            <wp:extent cx="5181600" cy="2596515"/>
            <wp:effectExtent l="0" t="0" r="0" b="0"/>
            <wp:docPr id="30" name="图片 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true" noChangeArrowheads="true"/>
                    </pic:cNvPicPr>
                  </pic:nvPicPr>
                  <pic:blipFill>
                    <a:blip r:embed="rId45" cstate="print">
                      <a:extLst>
                        <a:ext uri="{28A0092B-C50C-407E-A947-70E740481C1C}">
                          <a14:useLocalDpi xmlns:a14="http://schemas.microsoft.com/office/drawing/2010/main" val="false"/>
                        </a:ext>
                      </a:extLst>
                    </a:blip>
                    <a:srcRect/>
                    <a:stretch>
                      <a:fillRect/>
                    </a:stretch>
                  </pic:blipFill>
                  <pic:spPr>
                    <a:xfrm>
                      <a:off x="0" y="0"/>
                      <a:ext cx="5202240" cy="2607351"/>
                    </a:xfrm>
                    <a:prstGeom prst="rect">
                      <a:avLst/>
                    </a:prstGeom>
                    <a:noFill/>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5</w:t>
      </w:r>
      <w:r>
        <w:rPr>
          <w:rFonts w:eastAsia="仿宋_GB2312" w:cs="Times New Roman"/>
        </w:rPr>
        <w:fldChar w:fldCharType="end"/>
      </w:r>
      <w:r>
        <w:rPr>
          <w:rFonts w:eastAsia="仿宋_GB2312" w:cs="Times New Roman"/>
        </w:rPr>
        <w:t>自驾旅游示意图</w:t>
      </w:r>
    </w:p>
    <w:p>
      <w:pPr>
        <w:pStyle w:val="581"/>
        <w:ind w:firstLineChars="71"/>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（2）充电特征</w:t>
      </w:r>
    </w:p>
    <w:p>
      <w:pPr>
        <w:adjustRightInd w:val="0"/>
        <w:snapToGrid w:val="0"/>
        <w:ind w:firstLine="560"/>
        <w:rPr>
          <w:rFonts w:eastAsia="仿宋_GB2312" w:cs="Times New Roman"/>
        </w:rPr>
      </w:pPr>
      <w:r>
        <w:rPr>
          <w:rFonts w:eastAsia="仿宋_GB2312" w:cs="Times New Roman"/>
        </w:rPr>
        <w:t>主要集中在旅游季节，以快速补电为主。白天沿途高速服务区、旅游景点停车场充电，晚上在酒店充电，故需在高速服务区、景区停车场及附近酒店建设充电设施，并适当增加充电桩数量，充电桩数量不少于现有停车位10%进行配置。因沿途高速服务区充电旅客量大，远期可考虑换电站、超速充站以及光储充一体化充电站。</w:t>
      </w:r>
    </w:p>
    <w:p>
      <w:pPr>
        <w:adjustRightInd w:val="0"/>
        <w:snapToGrid w:val="0"/>
        <w:ind w:firstLine="0" w:firstLineChars="0"/>
        <w:jc w:val="center"/>
        <w:rPr>
          <w:rFonts w:eastAsia="仿宋_GB2312" w:cs="Times New Roman"/>
        </w:rPr>
      </w:pPr>
      <w:r>
        <w:rPr>
          <w:rFonts w:eastAsia="仿宋_GB2312" w:cs="Times New Roman"/>
        </w:rPr>
        <w:drawing>
          <wp:inline distT="0" distB="0" distL="0" distR="0">
            <wp:extent cx="5189855" cy="2649855"/>
            <wp:effectExtent l="0" t="0" r="0" b="0"/>
            <wp:docPr id="7169" name="图片 716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69" name="图片 7169"/>
                    <pic:cNvPicPr>
                      <a:picLocks noChangeAspect="true" noChangeArrowheads="true"/>
                    </pic:cNvPicPr>
                  </pic:nvPicPr>
                  <pic:blipFill>
                    <a:blip r:embed="rId46">
                      <a:extLst>
                        <a:ext uri="{28A0092B-C50C-407E-A947-70E740481C1C}">
                          <a14:useLocalDpi xmlns:a14="http://schemas.microsoft.com/office/drawing/2010/main" val="false"/>
                        </a:ext>
                      </a:extLst>
                    </a:blip>
                    <a:srcRect r="953" b="10404"/>
                    <a:stretch>
                      <a:fillRect/>
                    </a:stretch>
                  </pic:blipFill>
                  <pic:spPr>
                    <a:xfrm>
                      <a:off x="0" y="0"/>
                      <a:ext cx="5193724" cy="2651934"/>
                    </a:xfrm>
                    <a:prstGeom prst="rect">
                      <a:avLst/>
                    </a:prstGeom>
                    <a:noFill/>
                    <a:ln>
                      <a:noFill/>
                    </a:ln>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t>光储充一体化充电站</w:t>
      </w:r>
    </w:p>
    <w:p>
      <w:pPr>
        <w:pStyle w:val="3"/>
        <w:adjustRightInd w:val="0"/>
        <w:rPr>
          <w:rFonts w:eastAsia="仿宋_GB2312" w:cs="Times New Roman"/>
        </w:rPr>
      </w:pPr>
      <w:bookmarkStart w:id="77" w:name="_Toc117243192"/>
      <w:r>
        <w:rPr>
          <w:rFonts w:eastAsia="仿宋_GB2312" w:cs="Times New Roman"/>
        </w:rPr>
        <w:t>充电设施预测思路及方法</w:t>
      </w:r>
      <w:bookmarkEnd w:id="77"/>
    </w:p>
    <w:p>
      <w:pPr>
        <w:pStyle w:val="4"/>
        <w:spacing w:before="156"/>
        <w:rPr>
          <w:rFonts w:eastAsia="仿宋_GB2312"/>
        </w:rPr>
      </w:pPr>
      <w:bookmarkStart w:id="78" w:name="_Toc117243193"/>
      <w:r>
        <w:rPr>
          <w:rFonts w:eastAsia="仿宋_GB2312"/>
        </w:rPr>
        <w:t>预测思路</w:t>
      </w:r>
      <w:bookmarkEnd w:id="78"/>
    </w:p>
    <w:p>
      <w:pPr>
        <w:pStyle w:val="581"/>
        <w:ind w:firstLine="560"/>
        <w:rPr>
          <w:rFonts w:eastAsia="仿宋_GB2312"/>
        </w:rPr>
      </w:pPr>
      <w:bookmarkStart w:id="79" w:name="_Toc61257718"/>
      <w:r>
        <w:rPr>
          <w:rFonts w:eastAsia="仿宋_GB2312"/>
        </w:rPr>
        <w:t>通过对咸宁市现状社会经济、人口、交通、车辆的调研，结合城市总体规划和综合交通规划以及相关政策，</w:t>
      </w:r>
      <w:r>
        <w:rPr>
          <w:rFonts w:hint="eastAsia" w:eastAsia="仿宋_GB2312"/>
        </w:rPr>
        <w:t>首先对汽车保有量进行预测；然后结合新能源汽车相关产业政策，</w:t>
      </w:r>
      <w:r>
        <w:rPr>
          <w:rFonts w:eastAsia="仿宋_GB2312"/>
        </w:rPr>
        <w:t>对新能源汽车保有量进行预测</w:t>
      </w:r>
      <w:r>
        <w:rPr>
          <w:rFonts w:hint="eastAsia" w:eastAsia="仿宋_GB2312"/>
        </w:rPr>
        <w:t>；最后再</w:t>
      </w:r>
      <w:r>
        <w:rPr>
          <w:rFonts w:eastAsia="仿宋_GB2312"/>
        </w:rPr>
        <w:t>结合国内新能源汽车充电设施发展趋势，对新能源汽车充电设施需求进行分析预测。</w:t>
      </w:r>
    </w:p>
    <w:p>
      <w:pPr>
        <w:pStyle w:val="581"/>
        <w:ind w:firstLine="0" w:firstLineChars="0"/>
        <w:jc w:val="center"/>
        <w:rPr>
          <w:rFonts w:eastAsia="仿宋_GB2312"/>
        </w:rPr>
      </w:pPr>
      <w:r>
        <w:rPr>
          <w:rFonts w:eastAsia="仿宋_GB2312"/>
        </w:rPr>
        <w:drawing>
          <wp:inline distT="0" distB="0" distL="0" distR="0">
            <wp:extent cx="5086985" cy="2340610"/>
            <wp:effectExtent l="0" t="0" r="3175" b="6350"/>
            <wp:docPr id="7225" name="图片 72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25" name="图片 7225"/>
                    <pic:cNvPicPr>
                      <a:picLocks noChangeAspect="true" noChangeArrowheads="true"/>
                    </pic:cNvPicPr>
                  </pic:nvPicPr>
                  <pic:blipFill>
                    <a:blip r:embed="rId47" cstate="print">
                      <a:extLst>
                        <a:ext uri="{28A0092B-C50C-407E-A947-70E740481C1C}">
                          <a14:useLocalDpi xmlns:a14="http://schemas.microsoft.com/office/drawing/2010/main" val="false"/>
                        </a:ext>
                      </a:extLst>
                    </a:blip>
                    <a:srcRect/>
                    <a:stretch>
                      <a:fillRect/>
                    </a:stretch>
                  </pic:blipFill>
                  <pic:spPr>
                    <a:xfrm>
                      <a:off x="0" y="0"/>
                      <a:ext cx="5134600" cy="2362507"/>
                    </a:xfrm>
                    <a:prstGeom prst="rect">
                      <a:avLst/>
                    </a:prstGeom>
                    <a:noFill/>
                  </pic:spPr>
                </pic:pic>
              </a:graphicData>
            </a:graphic>
          </wp:inline>
        </w:drawing>
      </w:r>
    </w:p>
    <w:p>
      <w:pPr>
        <w:pStyle w:val="19"/>
        <w:adjustRightInd w:val="0"/>
        <w:snapToGrid w:val="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7</w:t>
      </w:r>
      <w:r>
        <w:rPr>
          <w:rFonts w:eastAsia="仿宋_GB2312" w:cs="Times New Roman"/>
        </w:rPr>
        <w:fldChar w:fldCharType="end"/>
      </w:r>
      <w:r>
        <w:rPr>
          <w:rFonts w:eastAsia="仿宋_GB2312" w:cs="Times New Roman"/>
        </w:rPr>
        <w:tab/>
      </w:r>
      <w:r>
        <w:rPr>
          <w:rFonts w:eastAsia="仿宋_GB2312" w:cs="Times New Roman"/>
        </w:rPr>
        <w:t>总体预测思路</w:t>
      </w:r>
    </w:p>
    <w:p>
      <w:pPr>
        <w:pStyle w:val="4"/>
        <w:spacing w:before="156" w:after="156"/>
        <w:rPr>
          <w:rFonts w:eastAsia="仿宋_GB2312"/>
        </w:rPr>
      </w:pPr>
      <w:bookmarkStart w:id="80" w:name="_Toc117243194"/>
      <w:r>
        <w:rPr>
          <w:rFonts w:hint="eastAsia" w:eastAsia="仿宋_GB2312"/>
        </w:rPr>
        <w:t>新能源</w:t>
      </w:r>
      <w:r>
        <w:rPr>
          <w:rFonts w:eastAsia="仿宋_GB2312"/>
        </w:rPr>
        <w:t>汽车保有量预测方法</w:t>
      </w:r>
      <w:bookmarkEnd w:id="80"/>
    </w:p>
    <w:p>
      <w:pPr>
        <w:pStyle w:val="106"/>
        <w:autoSpaceDE w:val="0"/>
        <w:autoSpaceDN w:val="0"/>
        <w:adjustRightInd w:val="0"/>
        <w:snapToGrid w:val="0"/>
        <w:ind w:firstLine="562"/>
        <w:jc w:val="left"/>
        <w:rPr>
          <w:rFonts w:eastAsia="仿宋_GB2312" w:cs="Times New Roman"/>
          <w:b/>
          <w:bCs/>
          <w:color w:val="000000"/>
          <w:kern w:val="0"/>
        </w:rPr>
      </w:pPr>
      <w:r>
        <w:rPr>
          <w:rFonts w:eastAsia="仿宋_GB2312" w:cs="Times New Roman"/>
          <w:b/>
          <w:bCs/>
          <w:color w:val="000000"/>
          <w:kern w:val="0"/>
        </w:rPr>
        <w:t>1.私人汽车</w:t>
      </w:r>
    </w:p>
    <w:p>
      <w:pPr>
        <w:adjustRightInd w:val="0"/>
        <w:snapToGrid w:val="0"/>
        <w:ind w:firstLine="560"/>
        <w:rPr>
          <w:rFonts w:eastAsia="仿宋_GB2312" w:cs="Times New Roman"/>
        </w:rPr>
      </w:pPr>
      <w:r>
        <w:rPr>
          <w:rFonts w:hint="eastAsia" w:eastAsia="仿宋_GB2312" w:cs="Times New Roman"/>
        </w:rPr>
        <w:t>采用年均增长率法、回归模型法、人均汽车保有量法进行预测，加权后取中间值得出私人汽车保有量，再考虑影响因子（如政府惠民政策等因素）预测新能源私家车保有量，预测</w:t>
      </w:r>
      <w:r>
        <w:rPr>
          <w:rFonts w:eastAsia="仿宋_GB2312" w:cs="Times New Roman"/>
        </w:rPr>
        <w:t>思路及方法如下</w:t>
      </w:r>
      <w:r>
        <w:rPr>
          <w:rFonts w:eastAsia="仿宋_GB2312" w:cs="Times New Roman"/>
        </w:rPr>
        <w:fldChar w:fldCharType="begin"/>
      </w:r>
      <w:r>
        <w:rPr>
          <w:rFonts w:eastAsia="仿宋_GB2312" w:cs="Times New Roman"/>
        </w:rPr>
        <w:instrText xml:space="preserve"> REF _Ref99627219 \h  \* MERGEFORMAT </w:instrText>
      </w:r>
      <w:r>
        <w:rPr>
          <w:rFonts w:eastAsia="仿宋_GB2312" w:cs="Times New Roman"/>
        </w:rPr>
        <w:fldChar w:fldCharType="separate"/>
      </w:r>
      <w:r>
        <w:rPr>
          <w:rFonts w:eastAsia="仿宋_GB2312" w:cs="Times New Roman"/>
        </w:rPr>
        <w:t>图 3</w:t>
      </w:r>
      <w:r>
        <w:rPr>
          <w:rFonts w:eastAsia="仿宋_GB2312" w:cs="Times New Roman"/>
        </w:rPr>
        <w:noBreakHyphen/>
      </w:r>
      <w:r>
        <w:rPr>
          <w:rFonts w:eastAsia="仿宋_GB2312" w:cs="Times New Roman"/>
        </w:rPr>
        <w:t>8</w:t>
      </w:r>
      <w:r>
        <w:rPr>
          <w:rFonts w:eastAsia="仿宋_GB2312" w:cs="Times New Roman"/>
        </w:rPr>
        <w:fldChar w:fldCharType="end"/>
      </w:r>
      <w:r>
        <w:rPr>
          <w:rFonts w:eastAsia="仿宋_GB2312" w:cs="Times New Roman"/>
        </w:rPr>
        <w:t>所示。</w:t>
      </w:r>
    </w:p>
    <w:p>
      <w:pPr>
        <w:adjustRightInd w:val="0"/>
        <w:snapToGrid w:val="0"/>
        <w:ind w:firstLine="0" w:firstLineChars="0"/>
        <w:jc w:val="center"/>
        <w:rPr>
          <w:rFonts w:eastAsia="仿宋_GB2312" w:cs="Times New Roman"/>
        </w:rPr>
      </w:pPr>
      <w:r>
        <w:rPr>
          <w:rFonts w:eastAsia="仿宋_GB2312" w:cs="Times New Roman"/>
        </w:rPr>
        <w:drawing>
          <wp:inline distT="0" distB="0" distL="0" distR="0">
            <wp:extent cx="4064000" cy="2302510"/>
            <wp:effectExtent l="0" t="0" r="5080" b="0"/>
            <wp:docPr id="7227" name="图片 72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27" name="图片 7227"/>
                    <pic:cNvPicPr>
                      <a:picLocks noChangeAspect="true" noChangeArrowheads="true"/>
                    </pic:cNvPicPr>
                  </pic:nvPicPr>
                  <pic:blipFill>
                    <a:blip r:embed="rId48">
                      <a:extLst>
                        <a:ext uri="{28A0092B-C50C-407E-A947-70E740481C1C}">
                          <a14:useLocalDpi xmlns:a14="http://schemas.microsoft.com/office/drawing/2010/main" val="false"/>
                        </a:ext>
                      </a:extLst>
                    </a:blip>
                    <a:srcRect/>
                    <a:stretch>
                      <a:fillRect/>
                    </a:stretch>
                  </pic:blipFill>
                  <pic:spPr>
                    <a:xfrm>
                      <a:off x="0" y="0"/>
                      <a:ext cx="4093615" cy="2319505"/>
                    </a:xfrm>
                    <a:prstGeom prst="rect">
                      <a:avLst/>
                    </a:prstGeom>
                    <a:noFill/>
                  </pic:spPr>
                </pic:pic>
              </a:graphicData>
            </a:graphic>
          </wp:inline>
        </w:drawing>
      </w:r>
    </w:p>
    <w:p>
      <w:pPr>
        <w:pStyle w:val="19"/>
        <w:rPr>
          <w:rFonts w:eastAsia="仿宋_GB2312" w:cs="Times New Roman"/>
          <w:b w:val="0"/>
          <w:bCs/>
          <w:szCs w:val="24"/>
        </w:rPr>
      </w:pPr>
      <w:bookmarkStart w:id="81" w:name="_Ref99627219"/>
      <w:bookmarkStart w:id="82" w:name="_Ref99627174"/>
      <w:r>
        <w:rPr>
          <w:rFonts w:eastAsia="仿宋_GB2312" w:cs="Times New Roman"/>
          <w:bCs/>
          <w:szCs w:val="24"/>
        </w:rPr>
        <w:t xml:space="preserve">图 </w:t>
      </w:r>
      <w:r>
        <w:rPr>
          <w:rFonts w:eastAsia="仿宋_GB2312" w:cs="Times New Roman"/>
          <w:bCs/>
          <w:szCs w:val="24"/>
        </w:rPr>
        <w:fldChar w:fldCharType="begin"/>
      </w:r>
      <w:r>
        <w:rPr>
          <w:rFonts w:eastAsia="仿宋_GB2312" w:cs="Times New Roman"/>
          <w:bCs/>
          <w:szCs w:val="24"/>
        </w:rPr>
        <w:instrText xml:space="preserve"> STYLEREF 1 \s </w:instrText>
      </w:r>
      <w:r>
        <w:rPr>
          <w:rFonts w:eastAsia="仿宋_GB2312" w:cs="Times New Roman"/>
          <w:bCs/>
          <w:szCs w:val="24"/>
        </w:rPr>
        <w:fldChar w:fldCharType="separate"/>
      </w:r>
      <w:r>
        <w:rPr>
          <w:rFonts w:eastAsia="仿宋_GB2312" w:cs="Times New Roman"/>
          <w:bCs/>
          <w:szCs w:val="24"/>
        </w:rPr>
        <w:t>3</w:t>
      </w:r>
      <w:r>
        <w:rPr>
          <w:rFonts w:eastAsia="仿宋_GB2312" w:cs="Times New Roman"/>
          <w:bCs/>
          <w:szCs w:val="24"/>
        </w:rPr>
        <w:fldChar w:fldCharType="end"/>
      </w:r>
      <w:r>
        <w:rPr>
          <w:rFonts w:eastAsia="仿宋_GB2312" w:cs="Times New Roman"/>
          <w:bCs/>
          <w:szCs w:val="24"/>
        </w:rPr>
        <w:noBreakHyphen/>
      </w:r>
      <w:r>
        <w:rPr>
          <w:rFonts w:eastAsia="仿宋_GB2312" w:cs="Times New Roman"/>
          <w:bCs/>
          <w:szCs w:val="24"/>
        </w:rPr>
        <w:fldChar w:fldCharType="begin"/>
      </w:r>
      <w:r>
        <w:rPr>
          <w:rFonts w:eastAsia="仿宋_GB2312" w:cs="Times New Roman"/>
          <w:bCs/>
          <w:szCs w:val="24"/>
        </w:rPr>
        <w:instrText xml:space="preserve"> SEQ 图 \* ARABIC \s 1 </w:instrText>
      </w:r>
      <w:r>
        <w:rPr>
          <w:rFonts w:eastAsia="仿宋_GB2312" w:cs="Times New Roman"/>
          <w:bCs/>
          <w:szCs w:val="24"/>
        </w:rPr>
        <w:fldChar w:fldCharType="separate"/>
      </w:r>
      <w:r>
        <w:rPr>
          <w:rFonts w:eastAsia="仿宋_GB2312" w:cs="Times New Roman"/>
          <w:bCs/>
          <w:szCs w:val="24"/>
        </w:rPr>
        <w:t>8</w:t>
      </w:r>
      <w:r>
        <w:rPr>
          <w:rFonts w:eastAsia="仿宋_GB2312" w:cs="Times New Roman"/>
          <w:bCs/>
          <w:szCs w:val="24"/>
        </w:rPr>
        <w:fldChar w:fldCharType="end"/>
      </w:r>
      <w:bookmarkEnd w:id="81"/>
      <w:r>
        <w:rPr>
          <w:rFonts w:eastAsia="仿宋_GB2312" w:cs="Times New Roman"/>
          <w:bCs/>
          <w:szCs w:val="24"/>
        </w:rPr>
        <w:t>私人汽车保有量预测思路及方法</w:t>
      </w:r>
      <w:bookmarkEnd w:id="82"/>
    </w:p>
    <w:p>
      <w:pPr>
        <w:pStyle w:val="106"/>
        <w:autoSpaceDE w:val="0"/>
        <w:autoSpaceDN w:val="0"/>
        <w:adjustRightInd w:val="0"/>
        <w:snapToGrid w:val="0"/>
        <w:ind w:firstLine="562"/>
        <w:jc w:val="left"/>
        <w:rPr>
          <w:rFonts w:eastAsia="仿宋_GB2312" w:cs="Times New Roman"/>
          <w:b/>
          <w:bCs/>
          <w:color w:val="000000"/>
          <w:kern w:val="0"/>
        </w:rPr>
      </w:pPr>
      <w:r>
        <w:rPr>
          <w:rFonts w:eastAsia="仿宋_GB2312" w:cs="Times New Roman"/>
          <w:b/>
          <w:bCs/>
          <w:color w:val="000000"/>
          <w:kern w:val="0"/>
        </w:rPr>
        <w:t>2.其他汽车</w:t>
      </w:r>
    </w:p>
    <w:p>
      <w:pPr>
        <w:adjustRightInd w:val="0"/>
        <w:snapToGrid w:val="0"/>
        <w:ind w:firstLine="560"/>
        <w:rPr>
          <w:rFonts w:eastAsia="仿宋_GB2312" w:cs="Times New Roman"/>
        </w:rPr>
      </w:pPr>
      <w:r>
        <w:rPr>
          <w:rFonts w:hint="eastAsia" w:eastAsia="仿宋_GB2312" w:cs="Times New Roman"/>
        </w:rPr>
        <w:t>公交、出租、环卫等其他车辆，以地区人口为导向，预测汽车保有量，再参考国家及地方政府制定的目标，结合本地电动汽车发展现状，预测本地区的各种类型车辆的新能源汽车保有量数据，</w:t>
      </w:r>
      <w:r>
        <w:rPr>
          <w:rFonts w:eastAsia="仿宋_GB2312" w:cs="Times New Roman"/>
        </w:rPr>
        <w:t>预测方法及思路如</w:t>
      </w:r>
      <w:r>
        <w:rPr>
          <w:rFonts w:eastAsia="仿宋_GB2312" w:cs="Times New Roman"/>
        </w:rPr>
        <w:fldChar w:fldCharType="begin"/>
      </w:r>
      <w:r>
        <w:rPr>
          <w:rFonts w:eastAsia="仿宋_GB2312" w:cs="Times New Roman"/>
        </w:rPr>
        <w:instrText xml:space="preserve"> REF _Ref99627345 \h  \* MERGEFORMAT </w:instrText>
      </w:r>
      <w:r>
        <w:rPr>
          <w:rFonts w:eastAsia="仿宋_GB2312" w:cs="Times New Roman"/>
        </w:rPr>
        <w:fldChar w:fldCharType="separate"/>
      </w:r>
      <w:r>
        <w:rPr>
          <w:rFonts w:eastAsia="仿宋_GB2312" w:cs="Times New Roman"/>
        </w:rPr>
        <w:t>图 3</w:t>
      </w:r>
      <w:r>
        <w:rPr>
          <w:rFonts w:eastAsia="仿宋_GB2312" w:cs="Times New Roman"/>
        </w:rPr>
        <w:noBreakHyphen/>
      </w:r>
      <w:r>
        <w:rPr>
          <w:rFonts w:eastAsia="仿宋_GB2312" w:cs="Times New Roman"/>
        </w:rPr>
        <w:t>9</w:t>
      </w:r>
      <w:r>
        <w:rPr>
          <w:rFonts w:eastAsia="仿宋_GB2312" w:cs="Times New Roman"/>
        </w:rPr>
        <w:fldChar w:fldCharType="end"/>
      </w:r>
      <w:r>
        <w:rPr>
          <w:rFonts w:eastAsia="仿宋_GB2312" w:cs="Times New Roman"/>
        </w:rPr>
        <w:t>所示。</w:t>
      </w:r>
    </w:p>
    <w:p>
      <w:pPr>
        <w:pStyle w:val="581"/>
        <w:ind w:firstLine="0" w:firstLineChars="0"/>
        <w:jc w:val="center"/>
        <w:rPr>
          <w:rFonts w:eastAsia="仿宋_GB2312"/>
        </w:rPr>
      </w:pPr>
      <w:r>
        <w:rPr>
          <w:rFonts w:eastAsia="仿宋_GB2312"/>
        </w:rPr>
        <w:drawing>
          <wp:inline distT="0" distB="0" distL="0" distR="0">
            <wp:extent cx="4053840" cy="2661920"/>
            <wp:effectExtent l="0" t="0" r="0" b="0"/>
            <wp:docPr id="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true" noChangeArrowheads="true"/>
                    </pic:cNvPicPr>
                  </pic:nvPicPr>
                  <pic:blipFill>
                    <a:blip r:embed="rId49" cstate="print">
                      <a:extLst>
                        <a:ext uri="{28A0092B-C50C-407E-A947-70E740481C1C}">
                          <a14:useLocalDpi xmlns:a14="http://schemas.microsoft.com/office/drawing/2010/main" val="false"/>
                        </a:ext>
                      </a:extLst>
                    </a:blip>
                    <a:srcRect/>
                    <a:stretch>
                      <a:fillRect/>
                    </a:stretch>
                  </pic:blipFill>
                  <pic:spPr>
                    <a:xfrm>
                      <a:off x="0" y="0"/>
                      <a:ext cx="4072377" cy="2674542"/>
                    </a:xfrm>
                    <a:prstGeom prst="rect">
                      <a:avLst/>
                    </a:prstGeom>
                    <a:noFill/>
                  </pic:spPr>
                </pic:pic>
              </a:graphicData>
            </a:graphic>
          </wp:inline>
        </w:drawing>
      </w:r>
    </w:p>
    <w:p>
      <w:pPr>
        <w:pStyle w:val="19"/>
        <w:rPr>
          <w:rFonts w:eastAsia="仿宋_GB2312" w:cs="Times New Roman"/>
        </w:rPr>
      </w:pPr>
      <w:bookmarkStart w:id="83" w:name="_Ref99627345"/>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9</w:t>
      </w:r>
      <w:r>
        <w:rPr>
          <w:rFonts w:eastAsia="仿宋_GB2312" w:cs="Times New Roman"/>
        </w:rPr>
        <w:fldChar w:fldCharType="end"/>
      </w:r>
      <w:bookmarkEnd w:id="83"/>
      <w:r>
        <w:rPr>
          <w:rFonts w:eastAsia="仿宋_GB2312" w:cs="Times New Roman"/>
        </w:rPr>
        <w:t>其他车辆预测思路及方法</w:t>
      </w:r>
    </w:p>
    <w:p>
      <w:pPr>
        <w:pStyle w:val="4"/>
        <w:spacing w:before="156" w:after="156"/>
        <w:rPr>
          <w:rFonts w:eastAsia="仿宋_GB2312"/>
        </w:rPr>
      </w:pPr>
      <w:bookmarkStart w:id="84" w:name="_Toc117243195"/>
      <w:bookmarkStart w:id="85" w:name="_Toc63016648"/>
      <w:r>
        <w:rPr>
          <w:rFonts w:eastAsia="仿宋_GB2312"/>
        </w:rPr>
        <w:t>充电设施需求预测方法</w:t>
      </w:r>
      <w:bookmarkEnd w:id="84"/>
    </w:p>
    <w:p>
      <w:pPr>
        <w:adjustRightInd w:val="0"/>
        <w:snapToGrid w:val="0"/>
        <w:ind w:firstLine="560"/>
        <w:rPr>
          <w:rFonts w:eastAsia="仿宋_GB2312" w:cs="Times New Roman"/>
        </w:rPr>
      </w:pPr>
      <w:r>
        <w:rPr>
          <w:rFonts w:eastAsia="仿宋_GB2312" w:cs="Times New Roman"/>
        </w:rPr>
        <w:t>采用分类预测法，依据湖北省能源局关于印发《湖北省新能源汽车充电基础设施建设运营管理暂行办法》（鄂能源建设[2021]28号）</w:t>
      </w:r>
      <w:r>
        <w:rPr>
          <w:rFonts w:hint="eastAsia" w:eastAsia="仿宋_GB2312" w:cs="Times New Roman"/>
        </w:rPr>
        <w:t>，</w:t>
      </w:r>
      <w:r>
        <w:rPr>
          <w:rFonts w:eastAsia="仿宋_GB2312" w:cs="Times New Roman"/>
        </w:rPr>
        <w:t>根据</w:t>
      </w:r>
      <w:bookmarkStart w:id="86" w:name="_Hlk99635093"/>
      <w:r>
        <w:rPr>
          <w:rFonts w:eastAsia="仿宋_GB2312" w:cs="Times New Roman"/>
        </w:rPr>
        <w:t>充电设施服务对象和场地属性的不同，将充电设施分成</w:t>
      </w:r>
      <w:bookmarkEnd w:id="86"/>
      <w:r>
        <w:rPr>
          <w:rFonts w:eastAsia="仿宋_GB2312" w:cs="Times New Roman"/>
        </w:rPr>
        <w:t>专用充电基础设施、公用充电基础设施和自用充电基础设施三大类。</w:t>
      </w:r>
      <w:bookmarkStart w:id="87" w:name="_Hlk99635131"/>
    </w:p>
    <w:p>
      <w:pPr>
        <w:adjustRightInd w:val="0"/>
        <w:snapToGrid w:val="0"/>
        <w:ind w:firstLine="560"/>
        <w:rPr>
          <w:rFonts w:eastAsia="仿宋_GB2312" w:cs="Times New Roman"/>
        </w:rPr>
      </w:pPr>
      <w:r>
        <w:rPr>
          <w:rFonts w:eastAsia="仿宋_GB2312" w:cs="Times New Roman"/>
        </w:rPr>
        <w:t>（</w:t>
      </w:r>
      <w:r>
        <w:rPr>
          <w:rFonts w:hint="eastAsia" w:eastAsia="仿宋_GB2312" w:cs="Times New Roman"/>
        </w:rPr>
        <w:t>一</w:t>
      </w:r>
      <w:r>
        <w:rPr>
          <w:rFonts w:eastAsia="仿宋_GB2312" w:cs="Times New Roman"/>
        </w:rPr>
        <w:t>）自用充电基础设施，指在个人用户所有或长期租赁的固定停车位建设，专门为其新能源汽车提供充电服务的充电设施。</w:t>
      </w:r>
    </w:p>
    <w:p>
      <w:pPr>
        <w:adjustRightInd w:val="0"/>
        <w:snapToGrid w:val="0"/>
        <w:ind w:firstLine="560"/>
        <w:rPr>
          <w:rFonts w:eastAsia="仿宋_GB2312" w:cs="Times New Roman"/>
        </w:rPr>
      </w:pPr>
      <w:r>
        <w:rPr>
          <w:rFonts w:eastAsia="仿宋_GB2312" w:cs="Times New Roman"/>
        </w:rPr>
        <w:t>（二）专用充电基础设施，指在公共机构（包括机关、事业单位、团体组织）、企业等内部停车场建设，为本机构的公务及其职工的新能源汽车提供充电服务的充电设施，以及在公交、环卫、通勤、出租、物流、警务等专用停车站场建设，为相应专用新能源汽车提供充换电服务的充换电设施。</w:t>
      </w:r>
    </w:p>
    <w:p>
      <w:pPr>
        <w:adjustRightInd w:val="0"/>
        <w:snapToGrid w:val="0"/>
        <w:ind w:firstLine="560"/>
        <w:rPr>
          <w:rFonts w:eastAsia="仿宋_GB2312" w:cs="Times New Roman"/>
        </w:rPr>
      </w:pPr>
      <w:r>
        <w:rPr>
          <w:rFonts w:eastAsia="仿宋_GB2312" w:cs="Times New Roman"/>
        </w:rPr>
        <w:t>（三）公用充电基础设施，在独立地块、社会公共停车场、住宅小区公共停车场、商业建筑物配建停车场、加油（气 ）站、高速公路和普通国省干道服务区、交通枢纽等区域规划建设，向社会开放、为各类新能源汽车提供充换电服务的经营性充换电设施。</w:t>
      </w:r>
    </w:p>
    <w:bookmarkEnd w:id="87"/>
    <w:p>
      <w:pPr>
        <w:pStyle w:val="581"/>
        <w:ind w:firstLine="0" w:firstLineChars="0"/>
        <w:jc w:val="center"/>
        <w:rPr>
          <w:rFonts w:eastAsia="仿宋_GB2312"/>
        </w:rPr>
      </w:pPr>
      <w:r>
        <w:rPr>
          <w:rFonts w:eastAsia="仿宋_GB2312"/>
        </w:rPr>
        <w:drawing>
          <wp:inline distT="0" distB="0" distL="0" distR="0">
            <wp:extent cx="5022850" cy="2109470"/>
            <wp:effectExtent l="0" t="0" r="6350" b="0"/>
            <wp:docPr id="7224" name="图片 72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24" name="图片 7224"/>
                    <pic:cNvPicPr>
                      <a:picLocks noChangeAspect="true" noChangeArrowheads="true"/>
                    </pic:cNvPicPr>
                  </pic:nvPicPr>
                  <pic:blipFill>
                    <a:blip r:embed="rId50" cstate="print">
                      <a:extLst>
                        <a:ext uri="{28A0092B-C50C-407E-A947-70E740481C1C}">
                          <a14:useLocalDpi xmlns:a14="http://schemas.microsoft.com/office/drawing/2010/main" val="false"/>
                        </a:ext>
                      </a:extLst>
                    </a:blip>
                    <a:srcRect/>
                    <a:stretch>
                      <a:fillRect/>
                    </a:stretch>
                  </pic:blipFill>
                  <pic:spPr>
                    <a:xfrm>
                      <a:off x="0" y="0"/>
                      <a:ext cx="5066076" cy="2128014"/>
                    </a:xfrm>
                    <a:prstGeom prst="rect">
                      <a:avLst/>
                    </a:prstGeom>
                    <a:noFill/>
                  </pic:spPr>
                </pic:pic>
              </a:graphicData>
            </a:graphic>
          </wp:inline>
        </w:drawing>
      </w:r>
    </w:p>
    <w:p>
      <w:pPr>
        <w:pStyle w:val="19"/>
        <w:rPr>
          <w:rFonts w:eastAsia="仿宋_GB2312" w:cs="Times New Roman"/>
          <w:bCs/>
          <w:sz w:val="24"/>
          <w:szCs w:val="24"/>
        </w:rPr>
      </w:pPr>
      <w:r>
        <w:rPr>
          <w:rFonts w:eastAsia="仿宋_GB2312" w:cs="Times New Roman"/>
          <w:bCs/>
          <w:sz w:val="24"/>
          <w:szCs w:val="24"/>
        </w:rPr>
        <w:t xml:space="preserve">图 </w:t>
      </w:r>
      <w:r>
        <w:rPr>
          <w:rFonts w:eastAsia="仿宋_GB2312" w:cs="Times New Roman"/>
          <w:bCs/>
          <w:sz w:val="24"/>
          <w:szCs w:val="24"/>
        </w:rPr>
        <w:fldChar w:fldCharType="begin"/>
      </w:r>
      <w:r>
        <w:rPr>
          <w:rFonts w:eastAsia="仿宋_GB2312" w:cs="Times New Roman"/>
          <w:bCs/>
          <w:sz w:val="24"/>
          <w:szCs w:val="24"/>
        </w:rPr>
        <w:instrText xml:space="preserve"> STYLEREF 1 \s </w:instrText>
      </w:r>
      <w:r>
        <w:rPr>
          <w:rFonts w:eastAsia="仿宋_GB2312" w:cs="Times New Roman"/>
          <w:bCs/>
          <w:sz w:val="24"/>
          <w:szCs w:val="24"/>
        </w:rPr>
        <w:fldChar w:fldCharType="separate"/>
      </w:r>
      <w:r>
        <w:rPr>
          <w:rFonts w:eastAsia="仿宋_GB2312" w:cs="Times New Roman"/>
          <w:bCs/>
          <w:sz w:val="24"/>
          <w:szCs w:val="24"/>
        </w:rPr>
        <w:t>3</w:t>
      </w:r>
      <w:r>
        <w:rPr>
          <w:rFonts w:eastAsia="仿宋_GB2312" w:cs="Times New Roman"/>
          <w:bCs/>
          <w:sz w:val="24"/>
          <w:szCs w:val="24"/>
        </w:rPr>
        <w:fldChar w:fldCharType="end"/>
      </w:r>
      <w:r>
        <w:rPr>
          <w:rFonts w:eastAsia="仿宋_GB2312" w:cs="Times New Roman"/>
          <w:bCs/>
          <w:sz w:val="24"/>
          <w:szCs w:val="24"/>
        </w:rPr>
        <w:noBreakHyphen/>
      </w:r>
      <w:r>
        <w:rPr>
          <w:rFonts w:eastAsia="仿宋_GB2312" w:cs="Times New Roman"/>
          <w:bCs/>
          <w:sz w:val="24"/>
          <w:szCs w:val="24"/>
        </w:rPr>
        <w:fldChar w:fldCharType="begin"/>
      </w:r>
      <w:r>
        <w:rPr>
          <w:rFonts w:eastAsia="仿宋_GB2312" w:cs="Times New Roman"/>
          <w:bCs/>
          <w:sz w:val="24"/>
          <w:szCs w:val="24"/>
        </w:rPr>
        <w:instrText xml:space="preserve"> SEQ 图 \* ARABIC \s 1 </w:instrText>
      </w:r>
      <w:r>
        <w:rPr>
          <w:rFonts w:eastAsia="仿宋_GB2312" w:cs="Times New Roman"/>
          <w:bCs/>
          <w:sz w:val="24"/>
          <w:szCs w:val="24"/>
        </w:rPr>
        <w:fldChar w:fldCharType="separate"/>
      </w:r>
      <w:r>
        <w:rPr>
          <w:rFonts w:eastAsia="仿宋_GB2312" w:cs="Times New Roman"/>
          <w:bCs/>
          <w:sz w:val="24"/>
          <w:szCs w:val="24"/>
        </w:rPr>
        <w:t>10</w:t>
      </w:r>
      <w:r>
        <w:rPr>
          <w:rFonts w:eastAsia="仿宋_GB2312" w:cs="Times New Roman"/>
          <w:bCs/>
          <w:sz w:val="24"/>
          <w:szCs w:val="24"/>
        </w:rPr>
        <w:fldChar w:fldCharType="end"/>
      </w:r>
      <w:r>
        <w:rPr>
          <w:rFonts w:eastAsia="仿宋_GB2312" w:cs="Times New Roman"/>
          <w:bCs/>
          <w:sz w:val="24"/>
          <w:szCs w:val="24"/>
        </w:rPr>
        <w:t>充电设施需求预测方法</w:t>
      </w:r>
    </w:p>
    <w:p>
      <w:pPr>
        <w:pStyle w:val="3"/>
        <w:adjustRightInd w:val="0"/>
        <w:rPr>
          <w:rFonts w:eastAsia="仿宋_GB2312" w:cs="Times New Roman"/>
        </w:rPr>
      </w:pPr>
      <w:bookmarkStart w:id="88" w:name="_Toc117243196"/>
      <w:r>
        <w:rPr>
          <w:rFonts w:eastAsia="仿宋_GB2312" w:cs="Times New Roman"/>
        </w:rPr>
        <w:t>新能源汽车保有量预测</w:t>
      </w:r>
      <w:bookmarkEnd w:id="85"/>
      <w:bookmarkEnd w:id="88"/>
    </w:p>
    <w:p>
      <w:pPr>
        <w:pStyle w:val="4"/>
        <w:spacing w:before="156" w:after="156"/>
        <w:rPr>
          <w:rFonts w:eastAsia="仿宋_GB2312"/>
        </w:rPr>
      </w:pPr>
      <w:bookmarkStart w:id="89" w:name="_Toc117243197"/>
      <w:r>
        <w:rPr>
          <w:rFonts w:eastAsia="仿宋_GB2312"/>
        </w:rPr>
        <w:t>新能源公交车</w:t>
      </w:r>
      <w:bookmarkEnd w:id="89"/>
    </w:p>
    <w:p>
      <w:pPr>
        <w:pStyle w:val="583"/>
        <w:ind w:firstLine="560"/>
        <w:rPr>
          <w:rFonts w:eastAsia="仿宋_GB2312"/>
        </w:rPr>
      </w:pPr>
      <w:r>
        <w:rPr>
          <w:rFonts w:eastAsia="仿宋_GB2312"/>
        </w:rPr>
        <w:t>新能源公交车的规模预测主要考虑三个因素，一是采取“万人保有量”的方法计算出中间年及远期的公交车车辆规模；二是根据相关政策对公交车电动化率的要求得出新能源公交车占有比例；三是考虑传统燃油汽车的报废和更新。</w:t>
      </w:r>
    </w:p>
    <w:p>
      <w:pPr>
        <w:pStyle w:val="583"/>
        <w:ind w:firstLine="560"/>
        <w:rPr>
          <w:rFonts w:eastAsia="仿宋_GB2312"/>
        </w:rPr>
      </w:pPr>
      <w:r>
        <w:rPr>
          <w:rFonts w:eastAsia="仿宋_GB2312"/>
        </w:rPr>
        <w:t>截至2021年底，咸宁市</w:t>
      </w:r>
      <w:r>
        <w:rPr>
          <w:rFonts w:eastAsia="仿宋_GB2312"/>
          <w:color w:val="000000" w:themeColor="text1"/>
          <w14:textFill>
            <w14:solidFill>
              <w14:schemeClr w14:val="tx1"/>
            </w14:solidFill>
          </w14:textFill>
        </w:rPr>
        <w:t>全市共计有1074辆公交车，其中新能源公交车1064辆，占全市公交车总量的99.07%。</w:t>
      </w:r>
    </w:p>
    <w:p>
      <w:pPr>
        <w:pStyle w:val="583"/>
        <w:ind w:firstLine="560"/>
        <w:rPr>
          <w:rFonts w:eastAsia="仿宋_GB2312"/>
        </w:rPr>
      </w:pPr>
      <w:r>
        <w:rPr>
          <w:rFonts w:eastAsia="仿宋_GB2312"/>
        </w:rPr>
        <w:t>《城市道路交通规划设计规范》规定，城市公共汽车和电车的规划拥有量，大城市应每800～1000人一辆标准车（万人保有量10-12.5辆），中、小城市应每1200～1500人一辆标准车（万人保有量6.7-8.3辆），咸宁属于</w:t>
      </w:r>
      <w:r>
        <w:rPr>
          <w:rFonts w:hint="eastAsia" w:eastAsia="仿宋_GB2312"/>
        </w:rPr>
        <w:t>中小</w:t>
      </w:r>
      <w:r>
        <w:rPr>
          <w:rFonts w:eastAsia="仿宋_GB2312"/>
        </w:rPr>
        <w:t>城市，万人保有量</w:t>
      </w:r>
      <w:r>
        <w:rPr>
          <w:rFonts w:hint="eastAsia" w:eastAsia="仿宋_GB2312"/>
        </w:rPr>
        <w:t>选取</w:t>
      </w:r>
      <w:r>
        <w:rPr>
          <w:rFonts w:eastAsia="仿宋_GB2312"/>
        </w:rPr>
        <w:t>7-7.5辆较为合理</w:t>
      </w:r>
      <w:r>
        <w:rPr>
          <w:rFonts w:hint="eastAsia" w:eastAsia="仿宋_GB2312"/>
        </w:rPr>
        <w:t>。</w:t>
      </w:r>
      <w:r>
        <w:rPr>
          <w:rFonts w:eastAsia="仿宋_GB2312"/>
        </w:rPr>
        <w:t>结合咸宁市实际情况和人口</w:t>
      </w:r>
      <w:r>
        <w:rPr>
          <w:rFonts w:hint="eastAsia" w:eastAsia="仿宋_GB2312"/>
        </w:rPr>
        <w:t>发展</w:t>
      </w:r>
      <w:r>
        <w:rPr>
          <w:rFonts w:eastAsia="仿宋_GB2312"/>
        </w:rPr>
        <w:t>规模，预测2025年、2030年咸安区公交车分别按照城镇人口（城镇人口按近五年自然增长率预测）每万人7辆、7.5辆进行预测。咸宁现状公交车电动化率为99.07%，预计2025年可实现100%新能源公交车，按十四五期间新增部分均为新能源公交车为前提进行预测，至2025年，公交车保有量为1209辆，全部为新能源公交车；2030年，公交车保有量为1545辆。预测结果如</w:t>
      </w:r>
      <w:r>
        <w:rPr>
          <w:rFonts w:eastAsia="仿宋_GB2312"/>
        </w:rPr>
        <w:fldChar w:fldCharType="begin"/>
      </w:r>
      <w:r>
        <w:rPr>
          <w:rFonts w:eastAsia="仿宋_GB2312"/>
        </w:rPr>
        <w:instrText xml:space="preserve"> REF _Ref114149612 \h  \* MERGEFORMAT </w:instrText>
      </w:r>
      <w:r>
        <w:rPr>
          <w:rFonts w:eastAsia="仿宋_GB2312"/>
        </w:rPr>
        <w:fldChar w:fldCharType="separate"/>
      </w:r>
      <w:r>
        <w:rPr>
          <w:rFonts w:eastAsia="仿宋_GB2312"/>
        </w:rPr>
        <w:t>表 3</w:t>
      </w:r>
      <w:r>
        <w:rPr>
          <w:rFonts w:eastAsia="仿宋_GB2312"/>
        </w:rPr>
        <w:noBreakHyphen/>
      </w:r>
      <w:r>
        <w:rPr>
          <w:rFonts w:eastAsia="仿宋_GB2312"/>
        </w:rPr>
        <w:t>1</w:t>
      </w:r>
      <w:r>
        <w:rPr>
          <w:rFonts w:eastAsia="仿宋_GB2312"/>
        </w:rPr>
        <w:fldChar w:fldCharType="end"/>
      </w:r>
      <w:r>
        <w:rPr>
          <w:rFonts w:eastAsia="仿宋_GB2312"/>
        </w:rPr>
        <w:t>、</w:t>
      </w:r>
      <w:r>
        <w:rPr>
          <w:rFonts w:eastAsia="仿宋_GB2312"/>
        </w:rPr>
        <w:fldChar w:fldCharType="begin"/>
      </w:r>
      <w:r>
        <w:rPr>
          <w:rFonts w:eastAsia="仿宋_GB2312"/>
        </w:rPr>
        <w:instrText xml:space="preserve"> REF _Ref114149622 \h  \* MERGEFORMAT </w:instrText>
      </w:r>
      <w:r>
        <w:rPr>
          <w:rFonts w:eastAsia="仿宋_GB2312"/>
        </w:rPr>
        <w:fldChar w:fldCharType="separate"/>
      </w:r>
      <w:r>
        <w:rPr>
          <w:rFonts w:eastAsia="仿宋_GB2312"/>
        </w:rPr>
        <w:t>表 3</w:t>
      </w:r>
      <w:r>
        <w:rPr>
          <w:rFonts w:eastAsia="仿宋_GB2312"/>
        </w:rPr>
        <w:noBreakHyphen/>
      </w:r>
      <w:r>
        <w:rPr>
          <w:rFonts w:eastAsia="仿宋_GB2312"/>
        </w:rPr>
        <w:t>2</w:t>
      </w:r>
      <w:r>
        <w:rPr>
          <w:rFonts w:eastAsia="仿宋_GB2312"/>
        </w:rPr>
        <w:fldChar w:fldCharType="end"/>
      </w:r>
      <w:r>
        <w:rPr>
          <w:rFonts w:eastAsia="仿宋_GB2312"/>
        </w:rPr>
        <w:t>所示。</w:t>
      </w:r>
    </w:p>
    <w:p>
      <w:pPr>
        <w:pStyle w:val="19"/>
        <w:rPr>
          <w:rFonts w:eastAsia="仿宋_GB2312" w:cs="Times New Roman"/>
        </w:rPr>
      </w:pPr>
      <w:bookmarkStart w:id="90" w:name="_Ref114149612"/>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bookmarkEnd w:id="90"/>
      <w:r>
        <w:rPr>
          <w:rFonts w:eastAsia="仿宋_GB2312" w:cs="Times New Roman"/>
        </w:rPr>
        <w:t xml:space="preserve">咸宁市公交车车辆规模预测表          </w:t>
      </w:r>
    </w:p>
    <w:tbl>
      <w:tblPr>
        <w:tblStyle w:val="76"/>
        <w:tblW w:w="5034" w:type="pct"/>
        <w:tblInd w:w="5" w:type="dxa"/>
        <w:tblLayout w:type="autofit"/>
        <w:tblCellMar>
          <w:top w:w="0" w:type="dxa"/>
          <w:left w:w="108" w:type="dxa"/>
          <w:bottom w:w="0" w:type="dxa"/>
          <w:right w:w="108" w:type="dxa"/>
        </w:tblCellMar>
      </w:tblPr>
      <w:tblGrid>
        <w:gridCol w:w="2167"/>
        <w:gridCol w:w="923"/>
        <w:gridCol w:w="923"/>
        <w:gridCol w:w="923"/>
        <w:gridCol w:w="923"/>
        <w:gridCol w:w="923"/>
        <w:gridCol w:w="924"/>
        <w:gridCol w:w="874"/>
      </w:tblGrid>
      <w:tr>
        <w:tblPrEx>
          <w:tblCellMar>
            <w:top w:w="0" w:type="dxa"/>
            <w:left w:w="108" w:type="dxa"/>
            <w:bottom w:w="0" w:type="dxa"/>
            <w:right w:w="108" w:type="dxa"/>
          </w:tblCellMar>
        </w:tblPrEx>
        <w:trPr>
          <w:trHeight w:val="46" w:hRule="atLeast"/>
        </w:trPr>
        <w:tc>
          <w:tcPr>
            <w:tcW w:w="126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3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3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53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53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53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53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511"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年均增长率</w:t>
            </w:r>
            <w:r>
              <w:rPr>
                <w:rFonts w:hint="eastAsia" w:eastAsia="仿宋_GB2312" w:cs="Times New Roman"/>
                <w:b/>
                <w:bCs/>
                <w:color w:val="000000"/>
                <w:kern w:val="0"/>
                <w:sz w:val="21"/>
                <w:szCs w:val="21"/>
              </w:rPr>
              <w:t>（%）</w:t>
            </w:r>
          </w:p>
        </w:tc>
      </w:tr>
      <w:tr>
        <w:tblPrEx>
          <w:tblCellMar>
            <w:top w:w="0" w:type="dxa"/>
            <w:left w:w="108" w:type="dxa"/>
            <w:bottom w:w="0" w:type="dxa"/>
            <w:right w:w="108" w:type="dxa"/>
          </w:tblCellMar>
        </w:tblPrEx>
        <w:trPr>
          <w:trHeight w:val="22" w:hRule="atLeast"/>
        </w:trPr>
        <w:tc>
          <w:tcPr>
            <w:tcW w:w="1263"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人口(万人)</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265.8</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269.62</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272.57</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275.55</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278.56</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294.11</w:t>
            </w:r>
          </w:p>
        </w:tc>
        <w:tc>
          <w:tcPr>
            <w:tcW w:w="51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1.09</w:t>
            </w:r>
          </w:p>
        </w:tc>
      </w:tr>
      <w:tr>
        <w:tblPrEx>
          <w:tblCellMar>
            <w:top w:w="0" w:type="dxa"/>
            <w:left w:w="108" w:type="dxa"/>
            <w:bottom w:w="0" w:type="dxa"/>
            <w:right w:w="108" w:type="dxa"/>
          </w:tblCellMar>
        </w:tblPrEx>
        <w:trPr>
          <w:trHeight w:val="22" w:hRule="atLeast"/>
        </w:trPr>
        <w:tc>
          <w:tcPr>
            <w:tcW w:w="1263"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城镇化率(%)</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57</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58</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59</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60</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62</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70</w:t>
            </w:r>
          </w:p>
        </w:tc>
        <w:tc>
          <w:tcPr>
            <w:tcW w:w="51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2.12</w:t>
            </w:r>
          </w:p>
        </w:tc>
      </w:tr>
      <w:tr>
        <w:trPr>
          <w:trHeight w:val="22" w:hRule="atLeast"/>
        </w:trPr>
        <w:tc>
          <w:tcPr>
            <w:tcW w:w="1263"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城镇人口（万人）</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hint="eastAsia" w:eastAsia="仿宋_GB2312" w:cs="Times New Roman"/>
                <w:color w:val="000000"/>
                <w:kern w:val="0"/>
                <w:sz w:val="21"/>
                <w:szCs w:val="21"/>
              </w:rPr>
              <w:t>149.84</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156.38</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160.82</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165.33</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172.71</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205.88</w:t>
            </w:r>
          </w:p>
        </w:tc>
        <w:tc>
          <w:tcPr>
            <w:tcW w:w="51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3.24</w:t>
            </w:r>
          </w:p>
        </w:tc>
      </w:tr>
      <w:tr>
        <w:tblPrEx>
          <w:tblCellMar>
            <w:top w:w="0" w:type="dxa"/>
            <w:left w:w="108" w:type="dxa"/>
            <w:bottom w:w="0" w:type="dxa"/>
            <w:right w:w="108" w:type="dxa"/>
          </w:tblCellMar>
        </w:tblPrEx>
        <w:trPr>
          <w:trHeight w:val="22" w:hRule="atLeast"/>
        </w:trPr>
        <w:tc>
          <w:tcPr>
            <w:tcW w:w="1263"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公交车需求(辆)</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1074</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1095</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1126</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1158</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1209</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1545</w:t>
            </w:r>
          </w:p>
        </w:tc>
        <w:tc>
          <w:tcPr>
            <w:tcW w:w="51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3.00</w:t>
            </w:r>
          </w:p>
        </w:tc>
      </w:tr>
      <w:tr>
        <w:tblPrEx>
          <w:tblCellMar>
            <w:top w:w="0" w:type="dxa"/>
            <w:left w:w="108" w:type="dxa"/>
            <w:bottom w:w="0" w:type="dxa"/>
            <w:right w:w="108" w:type="dxa"/>
          </w:tblCellMar>
        </w:tblPrEx>
        <w:trPr>
          <w:trHeight w:val="22" w:hRule="atLeast"/>
        </w:trPr>
        <w:tc>
          <w:tcPr>
            <w:tcW w:w="1263"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万人保有量(辆/万人)</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7.06</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7.00</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7.0</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7.0</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7.0</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7.5</w:t>
            </w:r>
          </w:p>
        </w:tc>
        <w:tc>
          <w:tcPr>
            <w:tcW w:w="51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pStyle w:val="19"/>
        <w:rPr>
          <w:rFonts w:eastAsia="仿宋_GB2312" w:cs="Times New Roman"/>
        </w:rPr>
      </w:pPr>
      <w:bookmarkStart w:id="91" w:name="_Ref114149622"/>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w:t>
      </w:r>
      <w:r>
        <w:rPr>
          <w:rFonts w:eastAsia="仿宋_GB2312" w:cs="Times New Roman"/>
        </w:rPr>
        <w:fldChar w:fldCharType="end"/>
      </w:r>
      <w:bookmarkEnd w:id="91"/>
      <w:r>
        <w:rPr>
          <w:rFonts w:eastAsia="仿宋_GB2312" w:cs="Times New Roman"/>
        </w:rPr>
        <w:t xml:space="preserve">咸宁市新能源公交车车辆规模预测表          </w:t>
      </w:r>
    </w:p>
    <w:tbl>
      <w:tblPr>
        <w:tblStyle w:val="76"/>
        <w:tblW w:w="5038" w:type="pct"/>
        <w:tblInd w:w="0" w:type="dxa"/>
        <w:tblLayout w:type="autofit"/>
        <w:tblCellMar>
          <w:top w:w="0" w:type="dxa"/>
          <w:left w:w="108" w:type="dxa"/>
          <w:bottom w:w="0" w:type="dxa"/>
          <w:right w:w="108" w:type="dxa"/>
        </w:tblCellMar>
      </w:tblPr>
      <w:tblGrid>
        <w:gridCol w:w="1876"/>
        <w:gridCol w:w="924"/>
        <w:gridCol w:w="924"/>
        <w:gridCol w:w="924"/>
        <w:gridCol w:w="924"/>
        <w:gridCol w:w="924"/>
        <w:gridCol w:w="925"/>
        <w:gridCol w:w="1166"/>
      </w:tblGrid>
      <w:tr>
        <w:tblPrEx>
          <w:tblCellMar>
            <w:top w:w="0" w:type="dxa"/>
            <w:left w:w="108" w:type="dxa"/>
            <w:bottom w:w="0" w:type="dxa"/>
            <w:right w:w="108" w:type="dxa"/>
          </w:tblCellMar>
        </w:tblPrEx>
        <w:trPr>
          <w:trHeight w:val="501" w:hRule="atLeast"/>
        </w:trPr>
        <w:tc>
          <w:tcPr>
            <w:tcW w:w="109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3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3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53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53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53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53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678"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年均增长率</w:t>
            </w:r>
            <w:r>
              <w:rPr>
                <w:rFonts w:hint="eastAsia" w:eastAsia="仿宋_GB2312" w:cs="Times New Roman"/>
                <w:b/>
                <w:bCs/>
                <w:color w:val="000000"/>
                <w:kern w:val="0"/>
                <w:sz w:val="21"/>
                <w:szCs w:val="21"/>
              </w:rPr>
              <w:t>（%）</w:t>
            </w:r>
          </w:p>
        </w:tc>
      </w:tr>
      <w:tr>
        <w:tblPrEx>
          <w:tblCellMar>
            <w:top w:w="0" w:type="dxa"/>
            <w:left w:w="108" w:type="dxa"/>
            <w:bottom w:w="0" w:type="dxa"/>
            <w:right w:w="108" w:type="dxa"/>
          </w:tblCellMar>
        </w:tblPrEx>
        <w:trPr>
          <w:trHeight w:val="250" w:hRule="atLeast"/>
        </w:trPr>
        <w:tc>
          <w:tcPr>
            <w:tcW w:w="109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公交车(台)</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1074</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1095</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1126</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1158</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1209</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1545</w:t>
            </w:r>
          </w:p>
        </w:tc>
        <w:tc>
          <w:tcPr>
            <w:tcW w:w="67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3.00</w:t>
            </w:r>
          </w:p>
        </w:tc>
      </w:tr>
      <w:tr>
        <w:tblPrEx>
          <w:tblCellMar>
            <w:top w:w="0" w:type="dxa"/>
            <w:left w:w="108" w:type="dxa"/>
            <w:bottom w:w="0" w:type="dxa"/>
            <w:right w:w="108" w:type="dxa"/>
          </w:tblCellMar>
        </w:tblPrEx>
        <w:trPr>
          <w:trHeight w:val="250" w:hRule="atLeast"/>
        </w:trPr>
        <w:tc>
          <w:tcPr>
            <w:tcW w:w="109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新能源公交车(台)</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1064</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1095</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1126</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1158</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1209</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1545</w:t>
            </w:r>
          </w:p>
        </w:tc>
        <w:tc>
          <w:tcPr>
            <w:tcW w:w="67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3.25</w:t>
            </w:r>
          </w:p>
        </w:tc>
      </w:tr>
      <w:tr>
        <w:tblPrEx>
          <w:tblCellMar>
            <w:top w:w="0" w:type="dxa"/>
            <w:left w:w="108" w:type="dxa"/>
            <w:bottom w:w="0" w:type="dxa"/>
            <w:right w:w="108" w:type="dxa"/>
          </w:tblCellMar>
        </w:tblPrEx>
        <w:trPr>
          <w:trHeight w:val="250" w:hRule="atLeast"/>
        </w:trPr>
        <w:tc>
          <w:tcPr>
            <w:tcW w:w="109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新能源车占比(%)</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99.07</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100.00</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100.00</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100.00</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100.00</w:t>
            </w:r>
          </w:p>
        </w:tc>
        <w:tc>
          <w:tcPr>
            <w:tcW w:w="53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100.00</w:t>
            </w:r>
          </w:p>
        </w:tc>
        <w:tc>
          <w:tcPr>
            <w:tcW w:w="67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pStyle w:val="4"/>
        <w:spacing w:before="156" w:after="120"/>
        <w:rPr>
          <w:rFonts w:eastAsia="仿宋_GB2312"/>
          <w:color w:val="000000" w:themeColor="text1"/>
          <w14:textFill>
            <w14:solidFill>
              <w14:schemeClr w14:val="tx1"/>
            </w14:solidFill>
          </w14:textFill>
        </w:rPr>
      </w:pPr>
      <w:bookmarkStart w:id="92" w:name="_Toc117243198"/>
      <w:r>
        <w:rPr>
          <w:rFonts w:eastAsia="仿宋_GB2312"/>
          <w:color w:val="000000" w:themeColor="text1"/>
          <w14:textFill>
            <w14:solidFill>
              <w14:schemeClr w14:val="tx1"/>
            </w14:solidFill>
          </w14:textFill>
        </w:rPr>
        <w:t>新能源物流车</w:t>
      </w:r>
      <w:bookmarkEnd w:id="92"/>
    </w:p>
    <w:p>
      <w:pPr>
        <w:adjustRightInd w:val="0"/>
        <w:snapToGrid w:val="0"/>
        <w:ind w:firstLine="560"/>
        <w:rPr>
          <w:rFonts w:eastAsia="仿宋_GB2312" w:cs="Times New Roman"/>
        </w:rPr>
      </w:pPr>
      <w:r>
        <w:rPr>
          <w:rFonts w:eastAsia="仿宋_GB2312" w:cs="Times New Roman"/>
        </w:rPr>
        <w:t>截至2021年底，咸宁物流车4808辆，其中新能源物流车256辆，占全市物流车总量的5.32%。《新能源汽车产业发展规划（2021-2035年）》指出：自2021年起，国家生态文明试验区、大气污染防治重点区域的公共领域“新增或更新公交、出租、物流配送等车辆中新能源汽车比例不低于80%”。按照适度超前的思路，规划期间内，咸宁市新能源物流车新增或更新的比例按100%考虑。</w:t>
      </w:r>
    </w:p>
    <w:p>
      <w:pPr>
        <w:adjustRightInd w:val="0"/>
        <w:snapToGrid w:val="0"/>
        <w:ind w:firstLine="560"/>
        <w:rPr>
          <w:rFonts w:eastAsia="仿宋_GB2312" w:cs="Times New Roman"/>
        </w:rPr>
      </w:pPr>
      <w:r>
        <w:rPr>
          <w:rFonts w:eastAsia="仿宋_GB2312" w:cs="Times New Roman"/>
        </w:rPr>
        <w:t>本次规划考虑咸宁市的发展特点，十四五期间物流行业发展缓慢，因此选取年均增长率1%的低方案进行考虑，新增部分均为新能源物流车辆，同步考虑每年2%燃油车更新为新能源车。预测至2025年物流车保有量为5006辆，新能源车810辆，新能源车占比16.18%；至2030年</w:t>
      </w:r>
      <w:r>
        <w:rPr>
          <w:rFonts w:hint="eastAsia" w:eastAsia="仿宋_GB2312" w:cs="Times New Roman"/>
        </w:rPr>
        <w:t>物流车保有量</w:t>
      </w:r>
      <w:r>
        <w:rPr>
          <w:rFonts w:eastAsia="仿宋_GB2312" w:cs="Times New Roman"/>
        </w:rPr>
        <w:t>为5262辆，</w:t>
      </w:r>
      <w:r>
        <w:rPr>
          <w:rFonts w:hint="eastAsia" w:eastAsia="仿宋_GB2312" w:cs="Times New Roman"/>
        </w:rPr>
        <w:t>其中</w:t>
      </w:r>
      <w:r>
        <w:rPr>
          <w:rFonts w:eastAsia="仿宋_GB2312" w:cs="Times New Roman"/>
        </w:rPr>
        <w:t>新能源</w:t>
      </w:r>
      <w:r>
        <w:rPr>
          <w:rFonts w:hint="eastAsia" w:eastAsia="仿宋_GB2312" w:cs="Times New Roman"/>
        </w:rPr>
        <w:t>物流车</w:t>
      </w:r>
      <w:r>
        <w:rPr>
          <w:rFonts w:eastAsia="仿宋_GB2312" w:cs="Times New Roman"/>
        </w:rPr>
        <w:t>1486辆，新能源车占比</w:t>
      </w:r>
      <w:r>
        <w:rPr>
          <w:rFonts w:hint="eastAsia" w:eastAsia="仿宋_GB2312" w:cs="Times New Roman"/>
        </w:rPr>
        <w:t>2</w:t>
      </w:r>
      <w:r>
        <w:rPr>
          <w:rFonts w:eastAsia="仿宋_GB2312" w:cs="Times New Roman"/>
        </w:rPr>
        <w:t>8.24%。咸宁市新能源物流车规模预测</w:t>
      </w:r>
      <w:r>
        <w:rPr>
          <w:rFonts w:eastAsia="仿宋_GB2312" w:cs="Times New Roman"/>
        </w:rPr>
        <w:tab/>
      </w:r>
      <w:r>
        <w:rPr>
          <w:rFonts w:eastAsia="仿宋_GB2312" w:cs="Times New Roman"/>
        </w:rPr>
        <w:t>如</w:t>
      </w:r>
      <w:bookmarkStart w:id="93" w:name="_Ref114149656"/>
      <w:r>
        <w:rPr>
          <w:rFonts w:eastAsia="仿宋_GB2312" w:cs="Times New Roman"/>
        </w:rPr>
        <w:fldChar w:fldCharType="begin"/>
      </w:r>
      <w:r>
        <w:rPr>
          <w:rFonts w:eastAsia="仿宋_GB2312" w:cs="Times New Roman"/>
        </w:rPr>
        <w:instrText xml:space="preserve"> REF _Ref116721288 \h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3</w:t>
      </w:r>
      <w:r>
        <w:rPr>
          <w:rFonts w:eastAsia="仿宋_GB2312" w:cs="Times New Roman"/>
        </w:rPr>
        <w:fldChar w:fldCharType="end"/>
      </w:r>
      <w:r>
        <w:rPr>
          <w:rFonts w:hint="eastAsia" w:eastAsia="仿宋_GB2312" w:cs="Times New Roman"/>
        </w:rPr>
        <w:t>所示。</w:t>
      </w:r>
    </w:p>
    <w:p>
      <w:pPr>
        <w:adjustRightInd w:val="0"/>
        <w:snapToGrid w:val="0"/>
        <w:ind w:firstLine="560"/>
        <w:rPr>
          <w:rFonts w:eastAsia="仿宋_GB2312" w:cs="Times New Roman"/>
        </w:rPr>
      </w:pPr>
    </w:p>
    <w:p>
      <w:pPr>
        <w:adjustRightInd w:val="0"/>
        <w:snapToGrid w:val="0"/>
        <w:ind w:firstLine="560"/>
        <w:rPr>
          <w:rFonts w:eastAsia="仿宋_GB2312" w:cs="Times New Roman"/>
        </w:rPr>
      </w:pPr>
    </w:p>
    <w:p>
      <w:pPr>
        <w:pStyle w:val="19"/>
        <w:rPr>
          <w:rFonts w:eastAsia="仿宋_GB2312" w:cs="Times New Roman"/>
        </w:rPr>
      </w:pPr>
      <w:bookmarkStart w:id="94" w:name="_Ref116721288"/>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w:t>
      </w:r>
      <w:r>
        <w:rPr>
          <w:rFonts w:eastAsia="仿宋_GB2312" w:cs="Times New Roman"/>
        </w:rPr>
        <w:fldChar w:fldCharType="end"/>
      </w:r>
      <w:bookmarkEnd w:id="93"/>
      <w:bookmarkEnd w:id="94"/>
      <w:r>
        <w:rPr>
          <w:rFonts w:eastAsia="仿宋_GB2312" w:cs="Times New Roman"/>
        </w:rPr>
        <w:t>新能源物流车车辆规模预测表          单位：辆</w:t>
      </w:r>
    </w:p>
    <w:tbl>
      <w:tblPr>
        <w:tblStyle w:val="76"/>
        <w:tblW w:w="4996" w:type="pct"/>
        <w:jc w:val="center"/>
        <w:tblLayout w:type="autofit"/>
        <w:tblCellMar>
          <w:top w:w="0" w:type="dxa"/>
          <w:left w:w="0" w:type="dxa"/>
          <w:bottom w:w="0" w:type="dxa"/>
          <w:right w:w="0" w:type="dxa"/>
        </w:tblCellMar>
      </w:tblPr>
      <w:tblGrid>
        <w:gridCol w:w="1120"/>
        <w:gridCol w:w="951"/>
        <w:gridCol w:w="856"/>
        <w:gridCol w:w="1047"/>
        <w:gridCol w:w="931"/>
        <w:gridCol w:w="1047"/>
        <w:gridCol w:w="1048"/>
        <w:gridCol w:w="1309"/>
      </w:tblGrid>
      <w:tr>
        <w:tblPrEx>
          <w:tblCellMar>
            <w:top w:w="0" w:type="dxa"/>
            <w:left w:w="0" w:type="dxa"/>
            <w:bottom w:w="0" w:type="dxa"/>
            <w:right w:w="0" w:type="dxa"/>
          </w:tblCellMar>
        </w:tblPrEx>
        <w:trPr>
          <w:trHeight w:val="283" w:hRule="atLeast"/>
          <w:tblHeader/>
          <w:jc w:val="center"/>
        </w:trPr>
        <w:tc>
          <w:tcPr>
            <w:tcW w:w="67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车辆类型</w:t>
            </w:r>
          </w:p>
        </w:tc>
        <w:tc>
          <w:tcPr>
            <w:tcW w:w="572"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2021年</w:t>
            </w:r>
          </w:p>
        </w:tc>
        <w:tc>
          <w:tcPr>
            <w:tcW w:w="515"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2022年</w:t>
            </w:r>
          </w:p>
        </w:tc>
        <w:tc>
          <w:tcPr>
            <w:tcW w:w="630"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2023年</w:t>
            </w:r>
          </w:p>
        </w:tc>
        <w:tc>
          <w:tcPr>
            <w:tcW w:w="560"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2024年</w:t>
            </w:r>
          </w:p>
        </w:tc>
        <w:tc>
          <w:tcPr>
            <w:tcW w:w="630"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2025年</w:t>
            </w:r>
          </w:p>
        </w:tc>
        <w:tc>
          <w:tcPr>
            <w:tcW w:w="630"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2030年</w:t>
            </w:r>
          </w:p>
        </w:tc>
        <w:tc>
          <w:tcPr>
            <w:tcW w:w="787" w:type="pct"/>
            <w:tcBorders>
              <w:top w:val="single" w:color="auto" w:sz="4" w:space="0"/>
              <w:left w:val="nil"/>
              <w:bottom w:val="single" w:color="auto" w:sz="4" w:space="0"/>
              <w:right w:val="single" w:color="auto" w:sz="4" w:space="0"/>
            </w:tcBorders>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十四五期间年均增长率(%)</w:t>
            </w:r>
          </w:p>
        </w:tc>
      </w:tr>
      <w:tr>
        <w:tblPrEx>
          <w:tblCellMar>
            <w:top w:w="0" w:type="dxa"/>
            <w:left w:w="0" w:type="dxa"/>
            <w:bottom w:w="0" w:type="dxa"/>
            <w:right w:w="0" w:type="dxa"/>
          </w:tblCellMar>
        </w:tblPrEx>
        <w:trPr>
          <w:trHeight w:val="283" w:hRule="atLeast"/>
          <w:jc w:val="center"/>
        </w:trPr>
        <w:tc>
          <w:tcPr>
            <w:tcW w:w="674"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物流车</w:t>
            </w:r>
          </w:p>
        </w:tc>
        <w:tc>
          <w:tcPr>
            <w:tcW w:w="572"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4808</w:t>
            </w:r>
          </w:p>
        </w:tc>
        <w:tc>
          <w:tcPr>
            <w:tcW w:w="515"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4857</w:t>
            </w:r>
          </w:p>
        </w:tc>
        <w:tc>
          <w:tcPr>
            <w:tcW w:w="630"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4906</w:t>
            </w:r>
          </w:p>
        </w:tc>
        <w:tc>
          <w:tcPr>
            <w:tcW w:w="560"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4956</w:t>
            </w:r>
          </w:p>
        </w:tc>
        <w:tc>
          <w:tcPr>
            <w:tcW w:w="630"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5006</w:t>
            </w:r>
          </w:p>
        </w:tc>
        <w:tc>
          <w:tcPr>
            <w:tcW w:w="630"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5262</w:t>
            </w:r>
          </w:p>
        </w:tc>
        <w:tc>
          <w:tcPr>
            <w:tcW w:w="787" w:type="pct"/>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1.00</w:t>
            </w:r>
          </w:p>
        </w:tc>
      </w:tr>
      <w:tr>
        <w:tblPrEx>
          <w:tblCellMar>
            <w:top w:w="0" w:type="dxa"/>
            <w:left w:w="0" w:type="dxa"/>
            <w:bottom w:w="0" w:type="dxa"/>
            <w:right w:w="0" w:type="dxa"/>
          </w:tblCellMar>
        </w:tblPrEx>
        <w:trPr>
          <w:trHeight w:val="283" w:hRule="atLeast"/>
          <w:jc w:val="center"/>
        </w:trPr>
        <w:tc>
          <w:tcPr>
            <w:tcW w:w="674"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其中新能源物流车</w:t>
            </w:r>
          </w:p>
        </w:tc>
        <w:tc>
          <w:tcPr>
            <w:tcW w:w="572"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256</w:t>
            </w:r>
          </w:p>
        </w:tc>
        <w:tc>
          <w:tcPr>
            <w:tcW w:w="515"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397</w:t>
            </w:r>
          </w:p>
        </w:tc>
        <w:tc>
          <w:tcPr>
            <w:tcW w:w="630"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536</w:t>
            </w:r>
          </w:p>
        </w:tc>
        <w:tc>
          <w:tcPr>
            <w:tcW w:w="560"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674</w:t>
            </w:r>
          </w:p>
        </w:tc>
        <w:tc>
          <w:tcPr>
            <w:tcW w:w="630"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810</w:t>
            </w:r>
          </w:p>
        </w:tc>
        <w:tc>
          <w:tcPr>
            <w:tcW w:w="630"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1486</w:t>
            </w:r>
          </w:p>
        </w:tc>
        <w:tc>
          <w:tcPr>
            <w:tcW w:w="787" w:type="pct"/>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15.40</w:t>
            </w:r>
          </w:p>
        </w:tc>
      </w:tr>
      <w:tr>
        <w:tblPrEx>
          <w:tblCellMar>
            <w:top w:w="0" w:type="dxa"/>
            <w:left w:w="0" w:type="dxa"/>
            <w:bottom w:w="0" w:type="dxa"/>
            <w:right w:w="0" w:type="dxa"/>
          </w:tblCellMar>
        </w:tblPrEx>
        <w:trPr>
          <w:trHeight w:val="283" w:hRule="atLeast"/>
          <w:jc w:val="center"/>
        </w:trPr>
        <w:tc>
          <w:tcPr>
            <w:tcW w:w="674"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新能源物流车占比(%)</w:t>
            </w:r>
          </w:p>
        </w:tc>
        <w:tc>
          <w:tcPr>
            <w:tcW w:w="572"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5.32</w:t>
            </w:r>
          </w:p>
        </w:tc>
        <w:tc>
          <w:tcPr>
            <w:tcW w:w="515"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7.00</w:t>
            </w:r>
          </w:p>
        </w:tc>
        <w:tc>
          <w:tcPr>
            <w:tcW w:w="630"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10.93</w:t>
            </w:r>
          </w:p>
        </w:tc>
        <w:tc>
          <w:tcPr>
            <w:tcW w:w="560"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13.60</w:t>
            </w:r>
          </w:p>
        </w:tc>
        <w:tc>
          <w:tcPr>
            <w:tcW w:w="630"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16.18</w:t>
            </w:r>
          </w:p>
        </w:tc>
        <w:tc>
          <w:tcPr>
            <w:tcW w:w="630"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28.24</w:t>
            </w:r>
          </w:p>
        </w:tc>
        <w:tc>
          <w:tcPr>
            <w:tcW w:w="787" w:type="pct"/>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14.24</w:t>
            </w:r>
          </w:p>
        </w:tc>
      </w:tr>
    </w:tbl>
    <w:p>
      <w:pPr>
        <w:pStyle w:val="4"/>
        <w:spacing w:before="156" w:after="156"/>
        <w:rPr>
          <w:rFonts w:eastAsia="仿宋_GB2312"/>
        </w:rPr>
      </w:pPr>
      <w:bookmarkStart w:id="95" w:name="_Toc117243199"/>
      <w:r>
        <w:rPr>
          <w:rFonts w:eastAsia="仿宋_GB2312"/>
        </w:rPr>
        <w:t>新能源环卫车</w:t>
      </w:r>
      <w:bookmarkEnd w:id="95"/>
    </w:p>
    <w:p>
      <w:pPr>
        <w:adjustRightInd w:val="0"/>
        <w:snapToGrid w:val="0"/>
        <w:ind w:firstLine="560"/>
        <w:rPr>
          <w:rFonts w:eastAsia="仿宋_GB2312" w:cs="Times New Roman"/>
        </w:rPr>
      </w:pPr>
      <w:r>
        <w:rPr>
          <w:rFonts w:eastAsia="仿宋_GB2312" w:cs="Times New Roman"/>
        </w:rPr>
        <w:t xml:space="preserve">截至2021年底，咸宁市环卫车644辆，其中新能源环卫车60辆，占比9.32%。 </w:t>
      </w:r>
    </w:p>
    <w:p>
      <w:pPr>
        <w:adjustRightInd w:val="0"/>
        <w:snapToGrid w:val="0"/>
        <w:ind w:firstLine="560"/>
        <w:rPr>
          <w:rFonts w:eastAsia="仿宋_GB2312" w:cs="Times New Roman"/>
        </w:rPr>
      </w:pPr>
      <w:r>
        <w:rPr>
          <w:rFonts w:eastAsia="仿宋_GB2312" w:cs="Times New Roman"/>
        </w:rPr>
        <w:t>新能源环卫车的规模预测主要考虑三个因素，一是近期考虑咸宁市城管委针对环卫车的购买计划；二是中远期利用</w:t>
      </w:r>
      <w:r>
        <w:rPr>
          <w:rFonts w:hint="eastAsia" w:eastAsia="仿宋_GB2312" w:cs="Times New Roman"/>
        </w:rPr>
        <w:t>“</w:t>
      </w:r>
      <w:r>
        <w:rPr>
          <w:rFonts w:eastAsia="仿宋_GB2312" w:cs="Times New Roman"/>
        </w:rPr>
        <w:t>万人保有量</w:t>
      </w:r>
      <w:r>
        <w:rPr>
          <w:rFonts w:hint="eastAsia" w:eastAsia="仿宋_GB2312" w:cs="Times New Roman"/>
        </w:rPr>
        <w:t>”</w:t>
      </w:r>
      <w:r>
        <w:rPr>
          <w:rFonts w:eastAsia="仿宋_GB2312" w:cs="Times New Roman"/>
        </w:rPr>
        <w:t>的方法计算出环卫车发展规模；三是结合咸宁市实际发展的情况，新能源车中需考虑一定比例的新能源环卫车，新增或更新环卫车辆中新能源汽车比例不低于80%。</w:t>
      </w:r>
    </w:p>
    <w:p>
      <w:pPr>
        <w:adjustRightInd w:val="0"/>
        <w:snapToGrid w:val="0"/>
        <w:ind w:firstLine="560"/>
        <w:rPr>
          <w:rFonts w:eastAsia="仿宋_GB2312" w:cs="Times New Roman"/>
        </w:rPr>
      </w:pPr>
      <w:r>
        <w:rPr>
          <w:rFonts w:eastAsia="仿宋_GB2312" w:cs="Times New Roman"/>
        </w:rPr>
        <w:t>根据2018年11月城乡建设部发布修订后的《城市环境卫生实施规划标准》（GB/T 50337-2018）标准，城市环境卫生车辆需达2.5 -5辆/万人的标准。2021年咸宁市环卫车约每万人（城镇人口，以下均按城镇人口）2.4辆，未达到标准中的最低要求。根据以上约束性条件结合咸宁市现状实际情况， 2022年咸宁达到规范标准最低要求2.5辆/万人，2025年达到2.8辆/万人、2030年达到3辆/万人的标准进行预测较为合理。</w:t>
      </w:r>
    </w:p>
    <w:p>
      <w:pPr>
        <w:adjustRightInd w:val="0"/>
        <w:snapToGrid w:val="0"/>
        <w:ind w:firstLine="560"/>
        <w:rPr>
          <w:rFonts w:eastAsia="仿宋_GB2312" w:cs="Times New Roman"/>
        </w:rPr>
      </w:pPr>
      <w:r>
        <w:rPr>
          <w:rFonts w:eastAsia="仿宋_GB2312" w:cs="Times New Roman"/>
        </w:rPr>
        <w:t>本次新增和更新环卫车按新能源车比例按100%考虑。为鼓励新能源车发展，2025年与2030年新能源环卫车比例宜达40%和100%，预测至2025年环卫车达到780辆，其中新能源环卫车312辆，新能源环卫车占比40%；2030年达到883辆，全部为新能源环卫车。全市新能源环卫车规模预测表如</w:t>
      </w:r>
      <w:r>
        <w:rPr>
          <w:rFonts w:eastAsia="仿宋_GB2312" w:cs="Times New Roman"/>
        </w:rPr>
        <w:fldChar w:fldCharType="begin"/>
      </w:r>
      <w:r>
        <w:rPr>
          <w:rFonts w:eastAsia="仿宋_GB2312" w:cs="Times New Roman"/>
        </w:rPr>
        <w:instrText xml:space="preserve"> REF _Ref99627159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4</w:t>
      </w:r>
      <w:r>
        <w:rPr>
          <w:rFonts w:eastAsia="仿宋_GB2312" w:cs="Times New Roman"/>
        </w:rPr>
        <w:fldChar w:fldCharType="end"/>
      </w:r>
      <w:r>
        <w:rPr>
          <w:rFonts w:eastAsia="仿宋_GB2312" w:cs="Times New Roman"/>
        </w:rPr>
        <w:t>、</w:t>
      </w:r>
      <w:r>
        <w:rPr>
          <w:rFonts w:eastAsia="仿宋_GB2312" w:cs="Times New Roman"/>
        </w:rPr>
        <w:fldChar w:fldCharType="begin"/>
      </w:r>
      <w:r>
        <w:rPr>
          <w:rFonts w:eastAsia="仿宋_GB2312" w:cs="Times New Roman"/>
        </w:rPr>
        <w:instrText xml:space="preserve"> REF _Ref114149679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5</w:t>
      </w:r>
      <w:r>
        <w:rPr>
          <w:rFonts w:eastAsia="仿宋_GB2312" w:cs="Times New Roman"/>
        </w:rPr>
        <w:fldChar w:fldCharType="end"/>
      </w:r>
      <w:r>
        <w:rPr>
          <w:rFonts w:eastAsia="仿宋_GB2312" w:cs="Times New Roman"/>
        </w:rPr>
        <w:t>所示。</w:t>
      </w:r>
    </w:p>
    <w:p>
      <w:pPr>
        <w:adjustRightInd w:val="0"/>
        <w:snapToGrid w:val="0"/>
        <w:ind w:firstLine="560"/>
        <w:rPr>
          <w:rFonts w:eastAsia="仿宋_GB2312" w:cs="Times New Roman"/>
        </w:rPr>
      </w:pPr>
    </w:p>
    <w:p>
      <w:pPr>
        <w:pStyle w:val="19"/>
        <w:keepNext/>
        <w:adjustRightInd w:val="0"/>
        <w:snapToGrid w:val="0"/>
        <w:ind w:firstLine="560"/>
        <w:rPr>
          <w:rFonts w:eastAsia="仿宋_GB2312" w:cs="Times New Roman"/>
        </w:rPr>
      </w:pPr>
      <w:bookmarkStart w:id="96" w:name="_Ref99627159"/>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4</w:t>
      </w:r>
      <w:r>
        <w:rPr>
          <w:rFonts w:eastAsia="仿宋_GB2312" w:cs="Times New Roman"/>
        </w:rPr>
        <w:fldChar w:fldCharType="end"/>
      </w:r>
      <w:bookmarkEnd w:id="96"/>
      <w:r>
        <w:rPr>
          <w:rFonts w:eastAsia="仿宋_GB2312" w:cs="Times New Roman"/>
        </w:rPr>
        <w:t>环卫车车辆规模预测表          单位：辆</w:t>
      </w:r>
    </w:p>
    <w:tbl>
      <w:tblPr>
        <w:tblStyle w:val="76"/>
        <w:tblW w:w="8445" w:type="dxa"/>
        <w:tblInd w:w="0" w:type="dxa"/>
        <w:tblLayout w:type="fixed"/>
        <w:tblCellMar>
          <w:top w:w="0" w:type="dxa"/>
          <w:left w:w="0" w:type="dxa"/>
          <w:bottom w:w="0" w:type="dxa"/>
          <w:right w:w="0" w:type="dxa"/>
        </w:tblCellMar>
      </w:tblPr>
      <w:tblGrid>
        <w:gridCol w:w="1812"/>
        <w:gridCol w:w="947"/>
        <w:gridCol w:w="947"/>
        <w:gridCol w:w="947"/>
        <w:gridCol w:w="947"/>
        <w:gridCol w:w="947"/>
        <w:gridCol w:w="947"/>
        <w:gridCol w:w="951"/>
      </w:tblGrid>
      <w:tr>
        <w:tblPrEx>
          <w:tblCellMar>
            <w:top w:w="0" w:type="dxa"/>
            <w:left w:w="0" w:type="dxa"/>
            <w:bottom w:w="0" w:type="dxa"/>
            <w:right w:w="0" w:type="dxa"/>
          </w:tblCellMar>
        </w:tblPrEx>
        <w:trPr>
          <w:trHeight w:val="283" w:hRule="atLeast"/>
        </w:trPr>
        <w:tc>
          <w:tcPr>
            <w:tcW w:w="1812"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947"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947"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947"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947"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947"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947"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951"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年均增长率</w:t>
            </w:r>
            <w:r>
              <w:rPr>
                <w:rFonts w:hint="eastAsia" w:eastAsia="仿宋_GB2312" w:cs="Times New Roman"/>
                <w:b/>
                <w:bCs/>
                <w:color w:val="000000"/>
                <w:kern w:val="0"/>
                <w:sz w:val="21"/>
                <w:szCs w:val="21"/>
              </w:rPr>
              <w:t>（%）</w:t>
            </w:r>
          </w:p>
        </w:tc>
      </w:tr>
      <w:tr>
        <w:tblPrEx>
          <w:tblCellMar>
            <w:top w:w="0" w:type="dxa"/>
            <w:left w:w="0" w:type="dxa"/>
            <w:bottom w:w="0" w:type="dxa"/>
            <w:right w:w="0" w:type="dxa"/>
          </w:tblCellMar>
        </w:tblPrEx>
        <w:trPr>
          <w:trHeight w:val="283" w:hRule="atLeast"/>
        </w:trPr>
        <w:tc>
          <w:tcPr>
            <w:tcW w:w="1812"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人口(万人)</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265.8</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269.62</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272.57</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275.55</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278.56</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294.11</w:t>
            </w:r>
          </w:p>
        </w:tc>
        <w:tc>
          <w:tcPr>
            <w:tcW w:w="95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1.09</w:t>
            </w:r>
          </w:p>
        </w:tc>
      </w:tr>
      <w:tr>
        <w:tblPrEx>
          <w:tblCellMar>
            <w:top w:w="0" w:type="dxa"/>
            <w:left w:w="0" w:type="dxa"/>
            <w:bottom w:w="0" w:type="dxa"/>
            <w:right w:w="0" w:type="dxa"/>
          </w:tblCellMar>
        </w:tblPrEx>
        <w:trPr>
          <w:trHeight w:val="283" w:hRule="atLeast"/>
        </w:trPr>
        <w:tc>
          <w:tcPr>
            <w:tcW w:w="1812"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城镇化率(%)</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57</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58</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59</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60</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62</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70</w:t>
            </w:r>
          </w:p>
        </w:tc>
        <w:tc>
          <w:tcPr>
            <w:tcW w:w="95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2.12</w:t>
            </w:r>
          </w:p>
        </w:tc>
      </w:tr>
      <w:tr>
        <w:tblPrEx>
          <w:tblCellMar>
            <w:top w:w="0" w:type="dxa"/>
            <w:left w:w="0" w:type="dxa"/>
            <w:bottom w:w="0" w:type="dxa"/>
            <w:right w:w="0" w:type="dxa"/>
          </w:tblCellMar>
        </w:tblPrEx>
        <w:trPr>
          <w:trHeight w:val="283" w:hRule="atLeast"/>
        </w:trPr>
        <w:tc>
          <w:tcPr>
            <w:tcW w:w="1812"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城镇人口(万人)</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hint="eastAsia" w:eastAsia="仿宋_GB2312" w:cs="Times New Roman"/>
                <w:color w:val="000000"/>
                <w:kern w:val="0"/>
                <w:sz w:val="21"/>
                <w:szCs w:val="21"/>
              </w:rPr>
              <w:t>149.84</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156.38</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160.82</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165.33</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172.71</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205.88</w:t>
            </w:r>
          </w:p>
        </w:tc>
        <w:tc>
          <w:tcPr>
            <w:tcW w:w="95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3.24</w:t>
            </w:r>
          </w:p>
        </w:tc>
      </w:tr>
      <w:tr>
        <w:tblPrEx>
          <w:tblCellMar>
            <w:top w:w="0" w:type="dxa"/>
            <w:left w:w="0" w:type="dxa"/>
            <w:bottom w:w="0" w:type="dxa"/>
            <w:right w:w="0" w:type="dxa"/>
          </w:tblCellMar>
        </w:tblPrEx>
        <w:trPr>
          <w:trHeight w:val="283" w:hRule="atLeast"/>
        </w:trPr>
        <w:tc>
          <w:tcPr>
            <w:tcW w:w="1812"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环卫车需求(辆)</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644</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675</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682</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717</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780</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883</w:t>
            </w:r>
          </w:p>
        </w:tc>
        <w:tc>
          <w:tcPr>
            <w:tcW w:w="95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4.91</w:t>
            </w:r>
          </w:p>
        </w:tc>
      </w:tr>
      <w:tr>
        <w:tblPrEx>
          <w:tblCellMar>
            <w:top w:w="0" w:type="dxa"/>
            <w:left w:w="0" w:type="dxa"/>
            <w:bottom w:w="0" w:type="dxa"/>
            <w:right w:w="0" w:type="dxa"/>
          </w:tblCellMar>
        </w:tblPrEx>
        <w:trPr>
          <w:trHeight w:val="283" w:hRule="atLeast"/>
        </w:trPr>
        <w:tc>
          <w:tcPr>
            <w:tcW w:w="1812"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万人保有量(辆/万人)</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2.4</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2.8</w:t>
            </w:r>
          </w:p>
        </w:tc>
        <w:tc>
          <w:tcPr>
            <w:tcW w:w="947"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w:t>
            </w:r>
          </w:p>
        </w:tc>
        <w:tc>
          <w:tcPr>
            <w:tcW w:w="95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pStyle w:val="19"/>
        <w:rPr>
          <w:rFonts w:eastAsia="仿宋_GB2312" w:cs="Times New Roman"/>
        </w:rPr>
      </w:pPr>
      <w:bookmarkStart w:id="97" w:name="_Ref114149679"/>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5</w:t>
      </w:r>
      <w:r>
        <w:rPr>
          <w:rFonts w:eastAsia="仿宋_GB2312" w:cs="Times New Roman"/>
        </w:rPr>
        <w:fldChar w:fldCharType="end"/>
      </w:r>
      <w:bookmarkEnd w:id="97"/>
      <w:r>
        <w:rPr>
          <w:rFonts w:eastAsia="仿宋_GB2312" w:cs="Times New Roman"/>
        </w:rPr>
        <w:t>新能源环卫车车辆规模预测表          单位：辆</w:t>
      </w:r>
    </w:p>
    <w:tbl>
      <w:tblPr>
        <w:tblStyle w:val="76"/>
        <w:tblW w:w="8489" w:type="dxa"/>
        <w:tblInd w:w="0" w:type="dxa"/>
        <w:tblLayout w:type="autofit"/>
        <w:tblCellMar>
          <w:top w:w="0" w:type="dxa"/>
          <w:left w:w="0" w:type="dxa"/>
          <w:bottom w:w="0" w:type="dxa"/>
          <w:right w:w="0" w:type="dxa"/>
        </w:tblCellMar>
      </w:tblPr>
      <w:tblGrid>
        <w:gridCol w:w="1974"/>
        <w:gridCol w:w="912"/>
        <w:gridCol w:w="912"/>
        <w:gridCol w:w="912"/>
        <w:gridCol w:w="912"/>
        <w:gridCol w:w="912"/>
        <w:gridCol w:w="912"/>
        <w:gridCol w:w="1043"/>
      </w:tblGrid>
      <w:tr>
        <w:tblPrEx>
          <w:tblCellMar>
            <w:top w:w="0" w:type="dxa"/>
            <w:left w:w="0" w:type="dxa"/>
            <w:bottom w:w="0" w:type="dxa"/>
            <w:right w:w="0" w:type="dxa"/>
          </w:tblCellMar>
        </w:tblPrEx>
        <w:trPr>
          <w:trHeight w:val="283" w:hRule="atLeast"/>
        </w:trPr>
        <w:tc>
          <w:tcPr>
            <w:tcW w:w="197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912"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912"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912"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912"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912"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912"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1043"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年均增长率</w:t>
            </w:r>
            <w:r>
              <w:rPr>
                <w:rFonts w:hint="eastAsia" w:eastAsia="仿宋_GB2312" w:cs="Times New Roman"/>
                <w:b/>
                <w:bCs/>
                <w:color w:val="000000"/>
                <w:kern w:val="0"/>
                <w:sz w:val="21"/>
                <w:szCs w:val="21"/>
              </w:rPr>
              <w:t>（%）</w:t>
            </w:r>
          </w:p>
        </w:tc>
      </w:tr>
      <w:tr>
        <w:tblPrEx>
          <w:tblCellMar>
            <w:top w:w="0" w:type="dxa"/>
            <w:left w:w="0" w:type="dxa"/>
            <w:bottom w:w="0" w:type="dxa"/>
            <w:right w:w="0" w:type="dxa"/>
          </w:tblCellMar>
        </w:tblPrEx>
        <w:trPr>
          <w:trHeight w:val="283" w:hRule="atLeast"/>
        </w:trPr>
        <w:tc>
          <w:tcPr>
            <w:tcW w:w="1974"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环卫车(台)</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644</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675</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682</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717</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780</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883</w:t>
            </w:r>
          </w:p>
        </w:tc>
        <w:tc>
          <w:tcPr>
            <w:tcW w:w="104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4.91</w:t>
            </w:r>
          </w:p>
        </w:tc>
      </w:tr>
      <w:tr>
        <w:tblPrEx>
          <w:tblCellMar>
            <w:top w:w="0" w:type="dxa"/>
            <w:left w:w="0" w:type="dxa"/>
            <w:bottom w:w="0" w:type="dxa"/>
            <w:right w:w="0" w:type="dxa"/>
          </w:tblCellMar>
        </w:tblPrEx>
        <w:trPr>
          <w:trHeight w:val="283" w:hRule="atLeast"/>
        </w:trPr>
        <w:tc>
          <w:tcPr>
            <w:tcW w:w="1974"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新能源环卫车(台)</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60</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102</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137</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180</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312</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883</w:t>
            </w:r>
          </w:p>
        </w:tc>
        <w:tc>
          <w:tcPr>
            <w:tcW w:w="104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51.01</w:t>
            </w:r>
          </w:p>
        </w:tc>
      </w:tr>
      <w:tr>
        <w:tblPrEx>
          <w:tblCellMar>
            <w:top w:w="0" w:type="dxa"/>
            <w:left w:w="0" w:type="dxa"/>
            <w:bottom w:w="0" w:type="dxa"/>
            <w:right w:w="0" w:type="dxa"/>
          </w:tblCellMar>
        </w:tblPrEx>
        <w:trPr>
          <w:trHeight w:val="283" w:hRule="atLeast"/>
        </w:trPr>
        <w:tc>
          <w:tcPr>
            <w:tcW w:w="1974"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新能源车占比(%)</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9.32</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15.00</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20.00</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25.00</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40.00</w:t>
            </w:r>
          </w:p>
        </w:tc>
        <w:tc>
          <w:tcPr>
            <w:tcW w:w="912"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100.00</w:t>
            </w:r>
          </w:p>
        </w:tc>
        <w:tc>
          <w:tcPr>
            <w:tcW w:w="1043"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pStyle w:val="4"/>
        <w:spacing w:before="156"/>
        <w:rPr>
          <w:rFonts w:eastAsia="仿宋_GB2312"/>
        </w:rPr>
      </w:pPr>
      <w:bookmarkStart w:id="98" w:name="_Toc117243200"/>
      <w:r>
        <w:rPr>
          <w:rFonts w:eastAsia="仿宋_GB2312"/>
        </w:rPr>
        <w:t>新能源出租车</w:t>
      </w:r>
      <w:bookmarkEnd w:id="98"/>
    </w:p>
    <w:p>
      <w:pPr>
        <w:adjustRightInd w:val="0"/>
        <w:snapToGrid w:val="0"/>
        <w:ind w:firstLine="560"/>
        <w:rPr>
          <w:rFonts w:eastAsia="仿宋_GB2312" w:cs="Times New Roman"/>
        </w:rPr>
      </w:pPr>
      <w:r>
        <w:rPr>
          <w:rFonts w:eastAsia="仿宋_GB2312" w:cs="Times New Roman"/>
        </w:rPr>
        <w:t>截至2021年底，咸宁市出租车1693辆，其中新能源出租车23辆，占全市出租车总量的1.36%。</w:t>
      </w:r>
    </w:p>
    <w:p>
      <w:pPr>
        <w:adjustRightInd w:val="0"/>
        <w:snapToGrid w:val="0"/>
        <w:ind w:firstLine="560"/>
        <w:rPr>
          <w:rFonts w:eastAsia="仿宋_GB2312" w:cs="Times New Roman"/>
        </w:rPr>
      </w:pPr>
      <w:r>
        <w:rPr>
          <w:rFonts w:eastAsia="仿宋_GB2312" w:cs="Times New Roman"/>
        </w:rPr>
        <w:t>从咸宁市的出租车发展情况来看，随着市场需求逐步趋向稳定，出租车的增长越来越受限，本次十四五期间出租车采用万人保有量法进行预测。</w:t>
      </w:r>
    </w:p>
    <w:p>
      <w:pPr>
        <w:adjustRightInd w:val="0"/>
        <w:snapToGrid w:val="0"/>
        <w:ind w:firstLine="560"/>
        <w:rPr>
          <w:rFonts w:eastAsia="仿宋_GB2312" w:cs="Times New Roman"/>
        </w:rPr>
      </w:pPr>
      <w:r>
        <w:rPr>
          <w:rFonts w:eastAsia="仿宋_GB2312" w:cs="Times New Roman"/>
        </w:rPr>
        <w:t>《城市道路交通规划设计规范》（GB50220-95）规定，城市出租汽车规划拥有量根据实际情况确定，大城市每千人不宜少于2辆，小城市每千人不宜少于0.5 辆；中等城市可在其间取值。</w:t>
      </w:r>
    </w:p>
    <w:p>
      <w:pPr>
        <w:adjustRightInd w:val="0"/>
        <w:snapToGrid w:val="0"/>
        <w:ind w:firstLine="560"/>
        <w:rPr>
          <w:rFonts w:eastAsia="仿宋_GB2312" w:cs="Times New Roman"/>
        </w:rPr>
      </w:pPr>
      <w:r>
        <w:rPr>
          <w:rFonts w:eastAsia="仿宋_GB2312" w:cs="Times New Roman"/>
        </w:rPr>
        <w:t>按规范</w:t>
      </w:r>
      <w:r>
        <w:rPr>
          <w:rFonts w:hint="eastAsia" w:eastAsia="仿宋_GB2312" w:cs="Times New Roman"/>
        </w:rPr>
        <w:t>要求，</w:t>
      </w:r>
      <w:r>
        <w:rPr>
          <w:rFonts w:eastAsia="仿宋_GB2312" w:cs="Times New Roman"/>
        </w:rPr>
        <w:t>考虑</w:t>
      </w:r>
      <w:r>
        <w:rPr>
          <w:rFonts w:hint="eastAsia" w:eastAsia="仿宋_GB2312" w:cs="Times New Roman"/>
        </w:rPr>
        <w:t>咸宁</w:t>
      </w:r>
      <w:r>
        <w:rPr>
          <w:rFonts w:eastAsia="仿宋_GB2312" w:cs="Times New Roman"/>
        </w:rPr>
        <w:t>属于中等城市，</w:t>
      </w:r>
      <w:r>
        <w:rPr>
          <w:rFonts w:hint="eastAsia" w:eastAsia="仿宋_GB2312" w:cs="Times New Roman"/>
        </w:rPr>
        <w:t>结合</w:t>
      </w:r>
      <w:r>
        <w:rPr>
          <w:rFonts w:eastAsia="仿宋_GB2312" w:cs="Times New Roman"/>
        </w:rPr>
        <w:t>现状出租车保有量，以全市城镇人口万人保有量取12为边界条件，同时考虑网约车（咸宁网约车均为私家车）对出租车行业影响，咸宁有接近20%的打车乘客乘坐网约车，出租车万人保有量取12×0.8=9.6辆较为合理，2030年万人保有量适当提高到10进行预测，出租车车辆规模预测表如</w:t>
      </w:r>
      <w:r>
        <w:rPr>
          <w:rFonts w:eastAsia="仿宋_GB2312" w:cs="Times New Roman"/>
        </w:rPr>
        <w:fldChar w:fldCharType="begin"/>
      </w:r>
      <w:r>
        <w:rPr>
          <w:rFonts w:eastAsia="仿宋_GB2312" w:cs="Times New Roman"/>
        </w:rPr>
        <w:instrText xml:space="preserve"> REF _Ref114149742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6</w:t>
      </w:r>
      <w:r>
        <w:rPr>
          <w:rFonts w:eastAsia="仿宋_GB2312" w:cs="Times New Roman"/>
        </w:rPr>
        <w:fldChar w:fldCharType="end"/>
      </w:r>
      <w:r>
        <w:rPr>
          <w:rFonts w:eastAsia="仿宋_GB2312" w:cs="Times New Roman"/>
        </w:rPr>
        <w:t>所示。</w:t>
      </w:r>
    </w:p>
    <w:p>
      <w:pPr>
        <w:pStyle w:val="19"/>
        <w:rPr>
          <w:rFonts w:eastAsia="仿宋_GB2312" w:cs="Times New Roman"/>
        </w:rPr>
      </w:pPr>
      <w:bookmarkStart w:id="99" w:name="_Ref114149742"/>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6</w:t>
      </w:r>
      <w:r>
        <w:rPr>
          <w:rFonts w:eastAsia="仿宋_GB2312" w:cs="Times New Roman"/>
        </w:rPr>
        <w:fldChar w:fldCharType="end"/>
      </w:r>
      <w:bookmarkEnd w:id="99"/>
      <w:r>
        <w:rPr>
          <w:rFonts w:eastAsia="仿宋_GB2312" w:cs="Times New Roman"/>
        </w:rPr>
        <w:t>出租车车辆规模预测表          单位：辆</w:t>
      </w:r>
    </w:p>
    <w:tbl>
      <w:tblPr>
        <w:tblStyle w:val="76"/>
        <w:tblW w:w="4998" w:type="pct"/>
        <w:tblInd w:w="0" w:type="dxa"/>
        <w:tblLayout w:type="autofit"/>
        <w:tblCellMar>
          <w:top w:w="0" w:type="dxa"/>
          <w:left w:w="0" w:type="dxa"/>
          <w:bottom w:w="0" w:type="dxa"/>
          <w:right w:w="0" w:type="dxa"/>
        </w:tblCellMar>
      </w:tblPr>
      <w:tblGrid>
        <w:gridCol w:w="1889"/>
        <w:gridCol w:w="916"/>
        <w:gridCol w:w="917"/>
        <w:gridCol w:w="917"/>
        <w:gridCol w:w="917"/>
        <w:gridCol w:w="917"/>
        <w:gridCol w:w="917"/>
        <w:gridCol w:w="923"/>
      </w:tblGrid>
      <w:tr>
        <w:tblPrEx>
          <w:tblCellMar>
            <w:top w:w="0" w:type="dxa"/>
            <w:left w:w="0" w:type="dxa"/>
            <w:bottom w:w="0" w:type="dxa"/>
            <w:right w:w="0" w:type="dxa"/>
          </w:tblCellMar>
        </w:tblPrEx>
        <w:trPr>
          <w:trHeight w:val="283" w:hRule="atLeast"/>
          <w:tblHeader/>
        </w:trPr>
        <w:tc>
          <w:tcPr>
            <w:tcW w:w="100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7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7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57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57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57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57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574"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年均增长率</w:t>
            </w:r>
            <w:r>
              <w:rPr>
                <w:rFonts w:eastAsia="仿宋_GB2312" w:cs="Times New Roman"/>
                <w:color w:val="000000"/>
                <w:kern w:val="0"/>
                <w:sz w:val="21"/>
                <w:szCs w:val="21"/>
              </w:rPr>
              <w:t>(%)</w:t>
            </w:r>
          </w:p>
        </w:tc>
      </w:tr>
      <w:tr>
        <w:tblPrEx>
          <w:tblCellMar>
            <w:top w:w="0" w:type="dxa"/>
            <w:left w:w="0" w:type="dxa"/>
            <w:bottom w:w="0" w:type="dxa"/>
            <w:right w:w="0" w:type="dxa"/>
          </w:tblCellMar>
        </w:tblPrEx>
        <w:trPr>
          <w:trHeight w:val="283" w:hRule="atLeast"/>
        </w:trPr>
        <w:tc>
          <w:tcPr>
            <w:tcW w:w="1000"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人口(万人)</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265.8</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269.62</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272.57</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275.55</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278.56</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294.11</w:t>
            </w:r>
          </w:p>
        </w:tc>
        <w:tc>
          <w:tcPr>
            <w:tcW w:w="5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1.09</w:t>
            </w:r>
          </w:p>
        </w:tc>
      </w:tr>
      <w:tr>
        <w:tblPrEx>
          <w:tblCellMar>
            <w:top w:w="0" w:type="dxa"/>
            <w:left w:w="0" w:type="dxa"/>
            <w:bottom w:w="0" w:type="dxa"/>
            <w:right w:w="0" w:type="dxa"/>
          </w:tblCellMar>
        </w:tblPrEx>
        <w:trPr>
          <w:trHeight w:val="283" w:hRule="atLeast"/>
        </w:trPr>
        <w:tc>
          <w:tcPr>
            <w:tcW w:w="1000"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城镇化率(%)</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57</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58</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59</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60</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62</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70</w:t>
            </w:r>
          </w:p>
        </w:tc>
        <w:tc>
          <w:tcPr>
            <w:tcW w:w="5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2.12</w:t>
            </w:r>
          </w:p>
        </w:tc>
      </w:tr>
      <w:tr>
        <w:tblPrEx>
          <w:tblCellMar>
            <w:top w:w="0" w:type="dxa"/>
            <w:left w:w="0" w:type="dxa"/>
            <w:bottom w:w="0" w:type="dxa"/>
            <w:right w:w="0" w:type="dxa"/>
          </w:tblCellMar>
        </w:tblPrEx>
        <w:trPr>
          <w:trHeight w:val="283" w:hRule="atLeast"/>
        </w:trPr>
        <w:tc>
          <w:tcPr>
            <w:tcW w:w="1000"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城镇人口(万人)</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hint="eastAsia" w:eastAsia="仿宋_GB2312" w:cs="Times New Roman"/>
                <w:color w:val="000000"/>
                <w:kern w:val="0"/>
                <w:sz w:val="21"/>
                <w:szCs w:val="21"/>
              </w:rPr>
              <w:t>149.84</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156.38</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160.82</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165.33</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172.71</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205.88</w:t>
            </w:r>
          </w:p>
        </w:tc>
        <w:tc>
          <w:tcPr>
            <w:tcW w:w="5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3.24</w:t>
            </w:r>
          </w:p>
        </w:tc>
      </w:tr>
      <w:tr>
        <w:tblPrEx>
          <w:tblCellMar>
            <w:top w:w="0" w:type="dxa"/>
            <w:left w:w="0" w:type="dxa"/>
            <w:bottom w:w="0" w:type="dxa"/>
            <w:right w:w="0" w:type="dxa"/>
          </w:tblCellMar>
        </w:tblPrEx>
        <w:trPr>
          <w:trHeight w:val="283" w:hRule="atLeast"/>
        </w:trPr>
        <w:tc>
          <w:tcPr>
            <w:tcW w:w="1000"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出租车需求(台)</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1693</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1502</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1544</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1588</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1659</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2059</w:t>
            </w:r>
          </w:p>
        </w:tc>
        <w:tc>
          <w:tcPr>
            <w:tcW w:w="5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-0.51</w:t>
            </w:r>
          </w:p>
        </w:tc>
      </w:tr>
      <w:tr>
        <w:tblPrEx>
          <w:tblCellMar>
            <w:top w:w="0" w:type="dxa"/>
            <w:left w:w="0" w:type="dxa"/>
            <w:bottom w:w="0" w:type="dxa"/>
            <w:right w:w="0" w:type="dxa"/>
          </w:tblCellMar>
        </w:tblPrEx>
        <w:trPr>
          <w:trHeight w:val="283" w:hRule="atLeast"/>
        </w:trPr>
        <w:tc>
          <w:tcPr>
            <w:tcW w:w="1000"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万人保有量(台/万人)</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11.14</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9.60</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9.60</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9.60</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9.60</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10.00</w:t>
            </w:r>
          </w:p>
        </w:tc>
        <w:tc>
          <w:tcPr>
            <w:tcW w:w="5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adjustRightInd w:val="0"/>
        <w:snapToGrid w:val="0"/>
        <w:spacing w:before="156" w:beforeLines="50"/>
        <w:ind w:firstLine="560"/>
        <w:rPr>
          <w:rFonts w:eastAsia="仿宋_GB2312" w:cs="Times New Roman"/>
        </w:rPr>
      </w:pPr>
      <w:r>
        <w:rPr>
          <w:rFonts w:eastAsia="仿宋_GB2312" w:cs="Times New Roman"/>
        </w:rPr>
        <w:t>再结合《咸宁市十四五综合交通运输规划》中提出的要求，推广应用新能源，逐步优化用能结构。积极在公共汽车、出租汽车、公务车等领域优先开展新能源和清洁能源车辆的试点应用，逐步提高城市纯电动车辆、混合动力车辆的比重。</w:t>
      </w:r>
    </w:p>
    <w:p>
      <w:pPr>
        <w:adjustRightInd w:val="0"/>
        <w:snapToGrid w:val="0"/>
        <w:ind w:firstLine="560"/>
        <w:rPr>
          <w:rFonts w:eastAsia="仿宋_GB2312" w:cs="Times New Roman"/>
        </w:rPr>
      </w:pPr>
      <w:r>
        <w:rPr>
          <w:rFonts w:eastAsia="仿宋_GB2312" w:cs="Times New Roman"/>
        </w:rPr>
        <w:t>同时，根据《新能源汽车产业发展规划（2021-2035年）》中“2021年起，国家生态文明试验区、大气污染防治重点区域的公共领域新增或更新公交、出租、物流配送等车辆中新能源汽车比例不低于80%”的要求，按照“适度超前”原则进行规划，出租车作为公共领域车辆，宜起到示范作用，2025年和2030年新能源</w:t>
      </w:r>
      <w:r>
        <w:rPr>
          <w:rFonts w:hint="eastAsia" w:eastAsia="仿宋_GB2312" w:cs="Times New Roman"/>
        </w:rPr>
        <w:t>车占比</w:t>
      </w:r>
      <w:r>
        <w:rPr>
          <w:rFonts w:eastAsia="仿宋_GB2312" w:cs="Times New Roman"/>
        </w:rPr>
        <w:t>宜达40%和100%。</w:t>
      </w:r>
    </w:p>
    <w:p>
      <w:pPr>
        <w:adjustRightInd w:val="0"/>
        <w:snapToGrid w:val="0"/>
        <w:ind w:firstLine="560"/>
        <w:rPr>
          <w:rFonts w:eastAsia="仿宋_GB2312" w:cs="Times New Roman"/>
        </w:rPr>
      </w:pPr>
      <w:r>
        <w:rPr>
          <w:rFonts w:eastAsia="仿宋_GB2312" w:cs="Times New Roman"/>
        </w:rPr>
        <w:t>至2025年咸宁市出租车数量达1693辆，其中新能源出租车数量将达到678辆，占比为40%，至2030年出租车数量达2059辆，全部为新能源出租车。咸宁市新能源出租车规模预测</w:t>
      </w:r>
      <w:r>
        <w:rPr>
          <w:rFonts w:eastAsia="仿宋_GB2312" w:cs="Times New Roman"/>
        </w:rPr>
        <w:tab/>
      </w:r>
      <w:r>
        <w:rPr>
          <w:rFonts w:eastAsia="仿宋_GB2312" w:cs="Times New Roman"/>
        </w:rPr>
        <w:t>如</w:t>
      </w:r>
      <w:r>
        <w:rPr>
          <w:rFonts w:eastAsia="仿宋_GB2312" w:cs="Times New Roman"/>
        </w:rPr>
        <w:fldChar w:fldCharType="begin"/>
      </w:r>
      <w:r>
        <w:rPr>
          <w:rFonts w:eastAsia="仿宋_GB2312" w:cs="Times New Roman"/>
        </w:rPr>
        <w:instrText xml:space="preserve"> REF _Ref114149748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7</w:t>
      </w:r>
      <w:r>
        <w:rPr>
          <w:rFonts w:eastAsia="仿宋_GB2312" w:cs="Times New Roman"/>
        </w:rPr>
        <w:fldChar w:fldCharType="end"/>
      </w:r>
      <w:r>
        <w:rPr>
          <w:rFonts w:eastAsia="仿宋_GB2312" w:cs="Times New Roman"/>
        </w:rPr>
        <w:t>所示。</w:t>
      </w:r>
    </w:p>
    <w:p>
      <w:pPr>
        <w:pStyle w:val="19"/>
        <w:rPr>
          <w:rFonts w:eastAsia="仿宋_GB2312" w:cs="Times New Roman"/>
        </w:rPr>
      </w:pPr>
      <w:bookmarkStart w:id="100" w:name="_Ref114149748"/>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7</w:t>
      </w:r>
      <w:r>
        <w:rPr>
          <w:rFonts w:eastAsia="仿宋_GB2312" w:cs="Times New Roman"/>
        </w:rPr>
        <w:fldChar w:fldCharType="end"/>
      </w:r>
      <w:bookmarkEnd w:id="100"/>
      <w:r>
        <w:rPr>
          <w:rFonts w:eastAsia="仿宋_GB2312" w:cs="Times New Roman"/>
        </w:rPr>
        <w:t>新能源出租车车辆规模预测表          单位：辆</w:t>
      </w:r>
    </w:p>
    <w:tbl>
      <w:tblPr>
        <w:tblStyle w:val="76"/>
        <w:tblW w:w="5006" w:type="pct"/>
        <w:tblInd w:w="0" w:type="dxa"/>
        <w:tblLayout w:type="fixed"/>
        <w:tblCellMar>
          <w:top w:w="0" w:type="dxa"/>
          <w:left w:w="0" w:type="dxa"/>
          <w:bottom w:w="0" w:type="dxa"/>
          <w:right w:w="0" w:type="dxa"/>
        </w:tblCellMar>
      </w:tblPr>
      <w:tblGrid>
        <w:gridCol w:w="1711"/>
        <w:gridCol w:w="943"/>
        <w:gridCol w:w="943"/>
        <w:gridCol w:w="944"/>
        <w:gridCol w:w="944"/>
        <w:gridCol w:w="944"/>
        <w:gridCol w:w="944"/>
        <w:gridCol w:w="951"/>
      </w:tblGrid>
      <w:tr>
        <w:tblPrEx>
          <w:tblCellMar>
            <w:top w:w="0" w:type="dxa"/>
            <w:left w:w="0" w:type="dxa"/>
            <w:bottom w:w="0" w:type="dxa"/>
            <w:right w:w="0" w:type="dxa"/>
          </w:tblCellMar>
        </w:tblPrEx>
        <w:trPr>
          <w:trHeight w:val="283" w:hRule="atLeast"/>
          <w:tblHeader/>
        </w:trPr>
        <w:tc>
          <w:tcPr>
            <w:tcW w:w="102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570"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年均增长率</w:t>
            </w:r>
            <w:r>
              <w:rPr>
                <w:rFonts w:eastAsia="仿宋_GB2312" w:cs="Times New Roman"/>
                <w:color w:val="000000"/>
                <w:kern w:val="0"/>
                <w:sz w:val="21"/>
                <w:szCs w:val="21"/>
              </w:rPr>
              <w:t>(%)</w:t>
            </w:r>
          </w:p>
        </w:tc>
      </w:tr>
      <w:tr>
        <w:tblPrEx>
          <w:tblCellMar>
            <w:top w:w="0" w:type="dxa"/>
            <w:left w:w="0" w:type="dxa"/>
            <w:bottom w:w="0" w:type="dxa"/>
            <w:right w:w="0" w:type="dxa"/>
          </w:tblCellMar>
        </w:tblPrEx>
        <w:trPr>
          <w:trHeight w:val="283" w:hRule="atLeast"/>
        </w:trPr>
        <w:tc>
          <w:tcPr>
            <w:tcW w:w="102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出租车(台)</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1693</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1693</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1693</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1693</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1693</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2059</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0.00</w:t>
            </w:r>
          </w:p>
        </w:tc>
      </w:tr>
      <w:tr>
        <w:tblPrEx>
          <w:tblCellMar>
            <w:top w:w="0" w:type="dxa"/>
            <w:left w:w="0" w:type="dxa"/>
            <w:bottom w:w="0" w:type="dxa"/>
            <w:right w:w="0" w:type="dxa"/>
          </w:tblCellMar>
        </w:tblPrEx>
        <w:trPr>
          <w:trHeight w:val="283" w:hRule="atLeast"/>
        </w:trPr>
        <w:tc>
          <w:tcPr>
            <w:tcW w:w="102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新能源出租车(台)</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23</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85</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254</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424</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678</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2059</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133.01</w:t>
            </w:r>
          </w:p>
        </w:tc>
      </w:tr>
      <w:tr>
        <w:trPr>
          <w:trHeight w:val="283" w:hRule="atLeast"/>
        </w:trPr>
        <w:tc>
          <w:tcPr>
            <w:tcW w:w="102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新能源车占比(%)</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1.36</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5.00</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15.00</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25.00</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40.00</w:t>
            </w:r>
          </w:p>
        </w:tc>
        <w:tc>
          <w:tcPr>
            <w:tcW w:w="56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100.00</w:t>
            </w:r>
          </w:p>
        </w:tc>
        <w:tc>
          <w:tcPr>
            <w:tcW w:w="57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pStyle w:val="4"/>
        <w:spacing w:before="156"/>
        <w:rPr>
          <w:rFonts w:eastAsia="仿宋_GB2312"/>
        </w:rPr>
      </w:pPr>
      <w:bookmarkStart w:id="101" w:name="_Toc117243201"/>
      <w:r>
        <w:rPr>
          <w:rFonts w:eastAsia="仿宋_GB2312"/>
        </w:rPr>
        <w:t>新能源公务车</w:t>
      </w:r>
      <w:bookmarkEnd w:id="101"/>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截至2021年底，咸宁市公务车2726辆，其中新能源公务车21辆，占比0.77%。</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rPr>
        <w:t>公务车辆为特殊用车，增长速度受国家严格把控，“十三五”期间，公务车保有量为负增长，年均增长率为-1.24%，目前公务车保有量基本饱和，因此“十四五”期间公务车按不增长进行预测。</w:t>
      </w:r>
      <w:r>
        <w:rPr>
          <w:rFonts w:eastAsia="仿宋_GB2312" w:cs="Times New Roman"/>
          <w:color w:val="000000" w:themeColor="text1"/>
          <w14:textFill>
            <w14:solidFill>
              <w14:schemeClr w14:val="tx1"/>
            </w14:solidFill>
          </w14:textFill>
        </w:rPr>
        <w:t>根据《政府机关及公共机构购买新能源汽车实施方案》中“政府机关及公共机构购买的新能源汽车占当年配备更新总量的比例不低于一定比例（2016年为30%），以后逐年提高”的相关规定，政府新增公务车应有一定比例的新能源车辆，并且传统燃油公务车的更新替换比例将呈现逐年上升的趋势。本次规划适度超前，</w:t>
      </w:r>
      <w:r>
        <w:rPr>
          <w:rFonts w:eastAsia="仿宋_GB2312" w:cs="Times New Roman"/>
        </w:rPr>
        <w:t>以2025年和2030年新能源车占比分别达40%和100%作为前提条件进行预测。至2025咸宁市年</w:t>
      </w:r>
      <w:r>
        <w:rPr>
          <w:rFonts w:eastAsia="仿宋_GB2312" w:cs="Times New Roman"/>
          <w:color w:val="000000" w:themeColor="text1"/>
          <w14:textFill>
            <w14:solidFill>
              <w14:schemeClr w14:val="tx1"/>
            </w14:solidFill>
          </w14:textFill>
        </w:rPr>
        <w:t>公务</w:t>
      </w:r>
      <w:r>
        <w:rPr>
          <w:rFonts w:eastAsia="仿宋_GB2312" w:cs="Times New Roman"/>
        </w:rPr>
        <w:t>车数量保持在2726辆，其中新能源公务车为1091辆，至2030年咸宁市全部为新能源公务车。新能源公务车规模预测如</w:t>
      </w:r>
      <w:r>
        <w:rPr>
          <w:rFonts w:eastAsia="仿宋_GB2312" w:cs="Times New Roman"/>
        </w:rPr>
        <w:fldChar w:fldCharType="begin"/>
      </w:r>
      <w:r>
        <w:rPr>
          <w:rFonts w:eastAsia="仿宋_GB2312" w:cs="Times New Roman"/>
        </w:rPr>
        <w:instrText xml:space="preserve"> REF _Ref114149783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8</w:t>
      </w:r>
      <w:r>
        <w:rPr>
          <w:rFonts w:eastAsia="仿宋_GB2312" w:cs="Times New Roman"/>
        </w:rPr>
        <w:fldChar w:fldCharType="end"/>
      </w:r>
      <w:r>
        <w:rPr>
          <w:rFonts w:eastAsia="仿宋_GB2312" w:cs="Times New Roman"/>
        </w:rPr>
        <w:t>所示。</w:t>
      </w:r>
    </w:p>
    <w:p>
      <w:pPr>
        <w:pStyle w:val="19"/>
        <w:rPr>
          <w:rFonts w:eastAsia="仿宋_GB2312" w:cs="Times New Roman"/>
        </w:rPr>
      </w:pPr>
      <w:bookmarkStart w:id="102" w:name="_Ref114149783"/>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8</w:t>
      </w:r>
      <w:r>
        <w:rPr>
          <w:rFonts w:eastAsia="仿宋_GB2312" w:cs="Times New Roman"/>
        </w:rPr>
        <w:fldChar w:fldCharType="end"/>
      </w:r>
      <w:bookmarkEnd w:id="102"/>
      <w:r>
        <w:rPr>
          <w:rFonts w:eastAsia="仿宋_GB2312" w:cs="Times New Roman"/>
        </w:rPr>
        <w:t>新能源公务车车辆规模预测表          单位：辆</w:t>
      </w:r>
    </w:p>
    <w:tbl>
      <w:tblPr>
        <w:tblStyle w:val="76"/>
        <w:tblW w:w="5013" w:type="pct"/>
        <w:jc w:val="center"/>
        <w:tblLayout w:type="autofit"/>
        <w:tblCellMar>
          <w:top w:w="0" w:type="dxa"/>
          <w:left w:w="0" w:type="dxa"/>
          <w:bottom w:w="0" w:type="dxa"/>
          <w:right w:w="0" w:type="dxa"/>
        </w:tblCellMar>
      </w:tblPr>
      <w:tblGrid>
        <w:gridCol w:w="1721"/>
        <w:gridCol w:w="945"/>
        <w:gridCol w:w="945"/>
        <w:gridCol w:w="945"/>
        <w:gridCol w:w="945"/>
        <w:gridCol w:w="945"/>
        <w:gridCol w:w="945"/>
        <w:gridCol w:w="947"/>
      </w:tblGrid>
      <w:tr>
        <w:tblPrEx>
          <w:tblCellMar>
            <w:top w:w="0" w:type="dxa"/>
            <w:left w:w="0" w:type="dxa"/>
            <w:bottom w:w="0" w:type="dxa"/>
            <w:right w:w="0" w:type="dxa"/>
          </w:tblCellMar>
        </w:tblPrEx>
        <w:trPr>
          <w:trHeight w:val="283" w:hRule="atLeast"/>
          <w:jc w:val="center"/>
        </w:trPr>
        <w:tc>
          <w:tcPr>
            <w:tcW w:w="1031"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567"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年均增长率</w:t>
            </w:r>
            <w:r>
              <w:rPr>
                <w:rFonts w:eastAsia="仿宋_GB2312" w:cs="Times New Roman"/>
                <w:color w:val="000000"/>
                <w:kern w:val="0"/>
                <w:sz w:val="21"/>
                <w:szCs w:val="21"/>
              </w:rPr>
              <w:t>(%)</w:t>
            </w:r>
          </w:p>
        </w:tc>
      </w:tr>
      <w:tr>
        <w:tblPrEx>
          <w:tblCellMar>
            <w:top w:w="0" w:type="dxa"/>
            <w:left w:w="0" w:type="dxa"/>
            <w:bottom w:w="0" w:type="dxa"/>
            <w:right w:w="0" w:type="dxa"/>
          </w:tblCellMar>
        </w:tblPrEx>
        <w:trPr>
          <w:trHeight w:val="283" w:hRule="atLeast"/>
          <w:jc w:val="center"/>
        </w:trPr>
        <w:tc>
          <w:tcPr>
            <w:tcW w:w="1031"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公务车(辆)</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2726</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2726</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2726</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2726</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2726</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2726</w:t>
            </w:r>
          </w:p>
        </w:tc>
        <w:tc>
          <w:tcPr>
            <w:tcW w:w="56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r>
        <w:tblPrEx>
          <w:tblCellMar>
            <w:top w:w="0" w:type="dxa"/>
            <w:left w:w="0" w:type="dxa"/>
            <w:bottom w:w="0" w:type="dxa"/>
            <w:right w:w="0" w:type="dxa"/>
          </w:tblCellMar>
        </w:tblPrEx>
        <w:trPr>
          <w:trHeight w:val="283" w:hRule="atLeast"/>
          <w:jc w:val="center"/>
        </w:trPr>
        <w:tc>
          <w:tcPr>
            <w:tcW w:w="1031"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新能源公务车(辆)</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21</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273</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409</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682</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1091</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2726</w:t>
            </w:r>
          </w:p>
        </w:tc>
        <w:tc>
          <w:tcPr>
            <w:tcW w:w="56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168.47</w:t>
            </w:r>
          </w:p>
        </w:tc>
      </w:tr>
      <w:tr>
        <w:tblPrEx>
          <w:tblCellMar>
            <w:top w:w="0" w:type="dxa"/>
            <w:left w:w="0" w:type="dxa"/>
            <w:bottom w:w="0" w:type="dxa"/>
            <w:right w:w="0" w:type="dxa"/>
          </w:tblCellMar>
        </w:tblPrEx>
        <w:trPr>
          <w:trHeight w:val="283" w:hRule="atLeast"/>
          <w:jc w:val="center"/>
        </w:trPr>
        <w:tc>
          <w:tcPr>
            <w:tcW w:w="1031"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新能源车占比(%)</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0.77</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10.00</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15.00</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25.00</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40.00</w:t>
            </w:r>
          </w:p>
        </w:tc>
        <w:tc>
          <w:tcPr>
            <w:tcW w:w="56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100.00</w:t>
            </w:r>
          </w:p>
        </w:tc>
        <w:tc>
          <w:tcPr>
            <w:tcW w:w="56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168.44</w:t>
            </w:r>
          </w:p>
        </w:tc>
      </w:tr>
    </w:tbl>
    <w:p>
      <w:pPr>
        <w:pStyle w:val="4"/>
        <w:spacing w:before="156"/>
        <w:rPr>
          <w:rFonts w:eastAsia="仿宋_GB2312"/>
        </w:rPr>
      </w:pPr>
      <w:bookmarkStart w:id="103" w:name="_Toc117243202"/>
      <w:r>
        <w:rPr>
          <w:rFonts w:eastAsia="仿宋_GB2312"/>
        </w:rPr>
        <w:t>新能源私家车</w:t>
      </w:r>
      <w:bookmarkEnd w:id="103"/>
    </w:p>
    <w:p>
      <w:pPr>
        <w:adjustRightInd w:val="0"/>
        <w:snapToGrid w:val="0"/>
        <w:ind w:firstLine="560"/>
        <w:rPr>
          <w:rFonts w:eastAsia="仿宋_GB2312" w:cs="Times New Roman"/>
        </w:rPr>
      </w:pPr>
      <w:r>
        <w:rPr>
          <w:rFonts w:hint="eastAsia" w:eastAsia="仿宋_GB2312" w:cs="Times New Roman"/>
        </w:rPr>
        <w:t>随着经济水平的发展，私人汽车数量将以一定的趋势逐步增长。本次以咸宁历年私人乘用车原始资料为基础数据，采用年均增长率法、回归模型法、情景因子法，对咸宁近期年与远期年的汽车保有量进行综合预测，再通过数据分析和专家干预，取三种方法的中方案作为私人汽车保有量的预测结果</w:t>
      </w:r>
      <w:r>
        <w:rPr>
          <w:rFonts w:eastAsia="仿宋_GB2312" w:cs="Times New Roman"/>
        </w:rPr>
        <w:t>。</w:t>
      </w:r>
    </w:p>
    <w:p>
      <w:pPr>
        <w:adjustRightInd w:val="0"/>
        <w:snapToGrid w:val="0"/>
        <w:ind w:firstLine="560"/>
        <w:rPr>
          <w:rFonts w:eastAsia="仿宋_GB2312" w:cs="Times New Roman"/>
        </w:rPr>
      </w:pPr>
      <w:r>
        <w:rPr>
          <w:rFonts w:eastAsia="仿宋_GB2312" w:cs="Times New Roman"/>
        </w:rPr>
        <w:t>（1）年均增长率法</w:t>
      </w:r>
    </w:p>
    <w:p>
      <w:pPr>
        <w:adjustRightInd w:val="0"/>
        <w:snapToGrid w:val="0"/>
        <w:ind w:firstLine="560"/>
        <w:rPr>
          <w:rFonts w:eastAsia="仿宋_GB2312" w:cs="Times New Roman"/>
        </w:rPr>
      </w:pPr>
      <w:r>
        <w:rPr>
          <w:rFonts w:eastAsia="仿宋_GB2312" w:cs="Times New Roman"/>
        </w:rPr>
        <w:t>截至2021年底，咸宁市私人汽车保有量308018辆，近五年汽车保有量年均增长率为11.37%。根据用户购车情况及咸宁市城市发展规划，预计“十四五”期间私人汽车保有量年均增长率为5%-15%，2025-2030年私人汽车保有量年均增长率为3%-7%。根据汽车保有量历史数据，利用年均增长率法对规划年咸宁市私人汽车保有量进行预测，预测结果详见</w:t>
      </w:r>
      <w:r>
        <w:rPr>
          <w:rFonts w:eastAsia="仿宋_GB2312" w:cs="Times New Roman"/>
        </w:rPr>
        <w:fldChar w:fldCharType="begin"/>
      </w:r>
      <w:r>
        <w:rPr>
          <w:rFonts w:eastAsia="仿宋_GB2312" w:cs="Times New Roman"/>
        </w:rPr>
        <w:instrText xml:space="preserve"> REF _Ref114149829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9</w:t>
      </w:r>
      <w:r>
        <w:rPr>
          <w:rFonts w:eastAsia="仿宋_GB2312" w:cs="Times New Roman"/>
        </w:rPr>
        <w:fldChar w:fldCharType="end"/>
      </w:r>
      <w:r>
        <w:rPr>
          <w:rFonts w:eastAsia="仿宋_GB2312" w:cs="Times New Roman"/>
        </w:rPr>
        <w:t>所示。</w:t>
      </w:r>
    </w:p>
    <w:p>
      <w:pPr>
        <w:pStyle w:val="19"/>
        <w:keepNext/>
        <w:adjustRightInd w:val="0"/>
        <w:snapToGrid w:val="0"/>
        <w:ind w:firstLine="560"/>
        <w:rPr>
          <w:rFonts w:eastAsia="仿宋_GB2312" w:cs="Times New Roman"/>
        </w:rPr>
      </w:pPr>
      <w:bookmarkStart w:id="104" w:name="_Ref114149829"/>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9</w:t>
      </w:r>
      <w:r>
        <w:rPr>
          <w:rFonts w:eastAsia="仿宋_GB2312" w:cs="Times New Roman"/>
        </w:rPr>
        <w:fldChar w:fldCharType="end"/>
      </w:r>
      <w:bookmarkEnd w:id="104"/>
      <w:r>
        <w:rPr>
          <w:rFonts w:eastAsia="仿宋_GB2312" w:cs="Times New Roman"/>
        </w:rPr>
        <w:t>私家车车辆规模预测表          单位：辆</w:t>
      </w:r>
    </w:p>
    <w:tbl>
      <w:tblPr>
        <w:tblStyle w:val="76"/>
        <w:tblW w:w="495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29"/>
        <w:gridCol w:w="1030"/>
        <w:gridCol w:w="1030"/>
        <w:gridCol w:w="1030"/>
        <w:gridCol w:w="1030"/>
        <w:gridCol w:w="1030"/>
        <w:gridCol w:w="1030"/>
        <w:gridCol w:w="10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trPr>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0"/>
                <w:szCs w:val="20"/>
              </w:rPr>
            </w:pPr>
            <w:r>
              <w:rPr>
                <w:rFonts w:eastAsia="仿宋_GB2312" w:cs="Times New Roman"/>
                <w:b/>
                <w:bCs/>
                <w:color w:val="000000"/>
                <w:kern w:val="0"/>
                <w:sz w:val="20"/>
                <w:szCs w:val="20"/>
              </w:rPr>
              <w:t>车辆类型</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0"/>
                <w:szCs w:val="20"/>
              </w:rPr>
            </w:pPr>
            <w:r>
              <w:rPr>
                <w:rFonts w:eastAsia="仿宋_GB2312" w:cs="Times New Roman"/>
                <w:b/>
                <w:bCs/>
                <w:color w:val="000000"/>
                <w:kern w:val="0"/>
                <w:sz w:val="20"/>
                <w:szCs w:val="20"/>
              </w:rPr>
              <w:t>2021年</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0"/>
                <w:szCs w:val="20"/>
              </w:rPr>
            </w:pPr>
            <w:r>
              <w:rPr>
                <w:rFonts w:eastAsia="仿宋_GB2312" w:cs="Times New Roman"/>
                <w:b/>
                <w:bCs/>
                <w:color w:val="000000"/>
                <w:kern w:val="0"/>
                <w:sz w:val="20"/>
                <w:szCs w:val="20"/>
              </w:rPr>
              <w:t>2022年</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0"/>
                <w:szCs w:val="20"/>
              </w:rPr>
            </w:pPr>
            <w:r>
              <w:rPr>
                <w:rFonts w:eastAsia="仿宋_GB2312" w:cs="Times New Roman"/>
                <w:b/>
                <w:bCs/>
                <w:color w:val="000000"/>
                <w:kern w:val="0"/>
                <w:sz w:val="20"/>
                <w:szCs w:val="20"/>
              </w:rPr>
              <w:t>2023年</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0"/>
                <w:szCs w:val="20"/>
              </w:rPr>
            </w:pPr>
            <w:r>
              <w:rPr>
                <w:rFonts w:eastAsia="仿宋_GB2312" w:cs="Times New Roman"/>
                <w:b/>
                <w:bCs/>
                <w:color w:val="000000"/>
                <w:kern w:val="0"/>
                <w:sz w:val="20"/>
                <w:szCs w:val="20"/>
              </w:rPr>
              <w:t>2024年</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0"/>
                <w:szCs w:val="20"/>
              </w:rPr>
            </w:pPr>
            <w:r>
              <w:rPr>
                <w:rFonts w:eastAsia="仿宋_GB2312" w:cs="Times New Roman"/>
                <w:b/>
                <w:bCs/>
                <w:color w:val="000000"/>
                <w:kern w:val="0"/>
                <w:sz w:val="20"/>
                <w:szCs w:val="20"/>
              </w:rPr>
              <w:t>2025年</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0"/>
                <w:szCs w:val="20"/>
              </w:rPr>
            </w:pPr>
            <w:r>
              <w:rPr>
                <w:rFonts w:eastAsia="仿宋_GB2312" w:cs="Times New Roman"/>
                <w:b/>
                <w:bCs/>
                <w:color w:val="000000"/>
                <w:kern w:val="0"/>
                <w:sz w:val="20"/>
                <w:szCs w:val="20"/>
              </w:rPr>
              <w:t>2030年</w:t>
            </w:r>
          </w:p>
        </w:tc>
        <w:tc>
          <w:tcPr>
            <w:tcW w:w="627" w:type="pct"/>
          </w:tcPr>
          <w:p>
            <w:pPr>
              <w:widowControl/>
              <w:adjustRightInd w:val="0"/>
              <w:snapToGrid w:val="0"/>
              <w:spacing w:line="240" w:lineRule="auto"/>
              <w:ind w:firstLine="0" w:firstLineChars="0"/>
              <w:jc w:val="center"/>
              <w:rPr>
                <w:rFonts w:eastAsia="仿宋_GB2312" w:cs="Times New Roman"/>
                <w:b/>
                <w:bCs/>
                <w:color w:val="000000"/>
                <w:kern w:val="0"/>
                <w:sz w:val="20"/>
                <w:szCs w:val="20"/>
              </w:rPr>
            </w:pPr>
            <w:r>
              <w:rPr>
                <w:rFonts w:eastAsia="仿宋_GB2312" w:cs="Times New Roman"/>
                <w:b/>
                <w:bCs/>
                <w:color w:val="000000"/>
                <w:kern w:val="0"/>
                <w:sz w:val="20"/>
                <w:szCs w:val="20"/>
              </w:rPr>
              <w:t>十四五增长率(%)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高方案</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308018</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354221</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407355</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468459</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538728</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755594</w:t>
            </w:r>
          </w:p>
        </w:tc>
        <w:tc>
          <w:tcPr>
            <w:tcW w:w="627" w:type="pct"/>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中方案</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308018</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338820</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372702</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409973</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450971</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575566</w:t>
            </w:r>
          </w:p>
        </w:tc>
        <w:tc>
          <w:tcPr>
            <w:tcW w:w="627" w:type="pct"/>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低方案</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308018</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323419</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339590</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356570</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374399</w:t>
            </w:r>
          </w:p>
        </w:tc>
        <w:tc>
          <w:tcPr>
            <w:tcW w:w="624"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434032</w:t>
            </w:r>
          </w:p>
        </w:tc>
        <w:tc>
          <w:tcPr>
            <w:tcW w:w="627" w:type="pct"/>
            <w:vAlign w:val="center"/>
          </w:tcPr>
          <w:p>
            <w:pPr>
              <w:widowControl/>
              <w:adjustRightInd w:val="0"/>
              <w:snapToGrid w:val="0"/>
              <w:spacing w:line="240" w:lineRule="auto"/>
              <w:ind w:firstLine="0" w:firstLineChars="0"/>
              <w:jc w:val="center"/>
              <w:rPr>
                <w:rFonts w:eastAsia="仿宋_GB2312" w:cs="Times New Roman"/>
                <w:color w:val="000000"/>
                <w:kern w:val="0"/>
                <w:sz w:val="20"/>
                <w:szCs w:val="20"/>
              </w:rPr>
            </w:pPr>
            <w:r>
              <w:rPr>
                <w:rFonts w:eastAsia="仿宋_GB2312" w:cs="Times New Roman"/>
                <w:color w:val="000000"/>
                <w:kern w:val="0"/>
                <w:sz w:val="20"/>
                <w:szCs w:val="20"/>
              </w:rPr>
              <w:t>5.00</w:t>
            </w:r>
          </w:p>
        </w:tc>
      </w:tr>
    </w:tbl>
    <w:p>
      <w:pPr>
        <w:autoSpaceDE w:val="0"/>
        <w:autoSpaceDN w:val="0"/>
        <w:adjustRightInd w:val="0"/>
        <w:snapToGrid w:val="0"/>
        <w:spacing w:before="156" w:beforeLines="50"/>
        <w:ind w:firstLine="560"/>
        <w:jc w:val="left"/>
        <w:rPr>
          <w:rFonts w:eastAsia="仿宋_GB2312" w:cs="Times New Roman"/>
          <w:color w:val="000000"/>
          <w:kern w:val="0"/>
        </w:rPr>
      </w:pPr>
      <w:r>
        <w:rPr>
          <w:rFonts w:eastAsia="仿宋_GB2312" w:cs="Times New Roman"/>
          <w:color w:val="000000"/>
          <w:kern w:val="0"/>
        </w:rPr>
        <w:t>（2）回归模型法</w:t>
      </w:r>
    </w:p>
    <w:p>
      <w:pPr>
        <w:adjustRightInd w:val="0"/>
        <w:snapToGrid w:val="0"/>
        <w:ind w:firstLine="560"/>
        <w:rPr>
          <w:rFonts w:eastAsia="仿宋_GB2312" w:cs="Times New Roman"/>
        </w:rPr>
      </w:pPr>
      <w:r>
        <w:rPr>
          <w:rFonts w:eastAsia="仿宋_GB2312" w:cs="Times New Roman"/>
        </w:rPr>
        <w:t xml:space="preserve">回归模型法是根据汽车保有量的历史数据，建立可以进行数学分析的数学模型，对未来的汽车保有量进行预测的一种方法。从数学上看，就是用数理统计中的回归分析方法，即通过对变量的观测数据进行统计分析，确定变量之间的相互关系，从而实现预测的目的。 </w:t>
      </w:r>
    </w:p>
    <w:p>
      <w:pPr>
        <w:adjustRightInd w:val="0"/>
        <w:snapToGrid w:val="0"/>
        <w:ind w:firstLine="560"/>
        <w:rPr>
          <w:rFonts w:eastAsia="仿宋_GB2312" w:cs="Times New Roman"/>
        </w:rPr>
      </w:pPr>
      <w:r>
        <w:rPr>
          <w:rFonts w:eastAsia="仿宋_GB2312" w:cs="Times New Roman"/>
        </w:rPr>
        <w:t>通过采用多种回归曲线模型对咸宁市汽车保有量的历史数据曲线进行拟合，回归曲线图如下</w:t>
      </w:r>
      <w:r>
        <w:rPr>
          <w:rFonts w:eastAsia="仿宋_GB2312" w:cs="Times New Roman"/>
        </w:rPr>
        <w:fldChar w:fldCharType="begin"/>
      </w:r>
      <w:r>
        <w:rPr>
          <w:rFonts w:eastAsia="仿宋_GB2312" w:cs="Times New Roman"/>
        </w:rPr>
        <w:instrText xml:space="preserve"> REF _Ref99095975 \h  \* MERGEFORMAT </w:instrText>
      </w:r>
      <w:r>
        <w:rPr>
          <w:rFonts w:eastAsia="仿宋_GB2312" w:cs="Times New Roman"/>
        </w:rPr>
        <w:fldChar w:fldCharType="separate"/>
      </w:r>
      <w:r>
        <w:rPr>
          <w:rFonts w:eastAsia="仿宋_GB2312" w:cs="Times New Roman"/>
        </w:rPr>
        <w:t>图 3</w:t>
      </w:r>
      <w:r>
        <w:rPr>
          <w:rFonts w:eastAsia="仿宋_GB2312" w:cs="Times New Roman"/>
        </w:rPr>
        <w:noBreakHyphen/>
      </w:r>
      <w:r>
        <w:rPr>
          <w:rFonts w:eastAsia="仿宋_GB2312" w:cs="Times New Roman"/>
        </w:rPr>
        <w:t>11</w:t>
      </w:r>
      <w:r>
        <w:rPr>
          <w:rFonts w:eastAsia="仿宋_GB2312" w:cs="Times New Roman"/>
        </w:rPr>
        <w:fldChar w:fldCharType="end"/>
      </w:r>
      <w:r>
        <w:rPr>
          <w:rFonts w:eastAsia="仿宋_GB2312" w:cs="Times New Roman"/>
        </w:rPr>
        <w:t>所示。</w:t>
      </w:r>
    </w:p>
    <w:p>
      <w:pPr>
        <w:pStyle w:val="583"/>
        <w:ind w:firstLine="0" w:firstLineChars="0"/>
        <w:jc w:val="center"/>
        <w:rPr>
          <w:rFonts w:eastAsia="仿宋_GB2312"/>
        </w:rPr>
      </w:pPr>
      <w:r>
        <w:rPr>
          <w:rFonts w:eastAsia="仿宋_GB2312"/>
        </w:rPr>
        <w:drawing>
          <wp:inline distT="0" distB="0" distL="114300" distR="114300">
            <wp:extent cx="5271770" cy="2593340"/>
            <wp:effectExtent l="0" t="0" r="5080" b="16510"/>
            <wp:docPr id="13"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pPr>
        <w:pStyle w:val="19"/>
        <w:rPr>
          <w:rFonts w:eastAsia="仿宋_GB2312" w:cs="Times New Roman"/>
        </w:rPr>
      </w:pPr>
      <w:bookmarkStart w:id="105" w:name="_Ref99095975"/>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11</w:t>
      </w:r>
      <w:r>
        <w:rPr>
          <w:rFonts w:eastAsia="仿宋_GB2312" w:cs="Times New Roman"/>
        </w:rPr>
        <w:fldChar w:fldCharType="end"/>
      </w:r>
      <w:bookmarkEnd w:id="105"/>
      <w:r>
        <w:rPr>
          <w:rFonts w:eastAsia="仿宋_GB2312" w:cs="Times New Roman"/>
        </w:rPr>
        <w:t>回归曲线图</w:t>
      </w:r>
    </w:p>
    <w:p>
      <w:pPr>
        <w:adjustRightInd w:val="0"/>
        <w:snapToGrid w:val="0"/>
        <w:ind w:firstLine="560"/>
        <w:rPr>
          <w:rFonts w:eastAsia="仿宋_GB2312" w:cs="Times New Roman"/>
        </w:rPr>
      </w:pPr>
      <w:r>
        <w:rPr>
          <w:rFonts w:eastAsia="仿宋_GB2312" w:cs="Times New Roman"/>
        </w:rPr>
        <w:t>根据模型参数，通过回归曲线模型预测咸安区规划年的汽车保有量，结果如</w:t>
      </w:r>
      <w:r>
        <w:rPr>
          <w:rFonts w:eastAsia="仿宋_GB2312" w:cs="Times New Roman"/>
        </w:rPr>
        <w:fldChar w:fldCharType="begin"/>
      </w:r>
      <w:r>
        <w:rPr>
          <w:rFonts w:eastAsia="仿宋_GB2312" w:cs="Times New Roman"/>
        </w:rPr>
        <w:instrText xml:space="preserve"> REF _Ref114149845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10</w:t>
      </w:r>
      <w:r>
        <w:rPr>
          <w:rFonts w:eastAsia="仿宋_GB2312" w:cs="Times New Roman"/>
        </w:rPr>
        <w:fldChar w:fldCharType="end"/>
      </w:r>
      <w:r>
        <w:rPr>
          <w:rFonts w:eastAsia="仿宋_GB2312" w:cs="Times New Roman"/>
        </w:rPr>
        <w:t>所示。</w:t>
      </w:r>
    </w:p>
    <w:p>
      <w:pPr>
        <w:pStyle w:val="19"/>
        <w:rPr>
          <w:rFonts w:eastAsia="仿宋_GB2312" w:cs="Times New Roman"/>
        </w:rPr>
      </w:pPr>
      <w:bookmarkStart w:id="106" w:name="_Ref114149845"/>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10</w:t>
      </w:r>
      <w:r>
        <w:rPr>
          <w:rFonts w:eastAsia="仿宋_GB2312" w:cs="Times New Roman"/>
        </w:rPr>
        <w:fldChar w:fldCharType="end"/>
      </w:r>
      <w:bookmarkEnd w:id="106"/>
      <w:r>
        <w:rPr>
          <w:rFonts w:eastAsia="仿宋_GB2312" w:cs="Times New Roman"/>
        </w:rPr>
        <w:t>新能源私家车车辆规模预测表          单位：辆</w:t>
      </w:r>
    </w:p>
    <w:tbl>
      <w:tblPr>
        <w:tblStyle w:val="76"/>
        <w:tblW w:w="5001" w:type="pct"/>
        <w:jc w:val="center"/>
        <w:tblLayout w:type="autofit"/>
        <w:tblCellMar>
          <w:top w:w="0" w:type="dxa"/>
          <w:left w:w="0" w:type="dxa"/>
          <w:bottom w:w="0" w:type="dxa"/>
          <w:right w:w="0" w:type="dxa"/>
        </w:tblCellMar>
      </w:tblPr>
      <w:tblGrid>
        <w:gridCol w:w="1259"/>
        <w:gridCol w:w="1008"/>
        <w:gridCol w:w="1008"/>
        <w:gridCol w:w="1008"/>
        <w:gridCol w:w="1008"/>
        <w:gridCol w:w="1008"/>
        <w:gridCol w:w="1008"/>
        <w:gridCol w:w="1011"/>
      </w:tblGrid>
      <w:tr>
        <w:tblPrEx>
          <w:tblCellMar>
            <w:top w:w="0" w:type="dxa"/>
            <w:left w:w="0" w:type="dxa"/>
            <w:bottom w:w="0" w:type="dxa"/>
            <w:right w:w="0" w:type="dxa"/>
          </w:tblCellMar>
        </w:tblPrEx>
        <w:trPr>
          <w:trHeight w:val="283" w:hRule="atLeast"/>
          <w:tblHeader/>
          <w:jc w:val="center"/>
        </w:trPr>
        <w:tc>
          <w:tcPr>
            <w:tcW w:w="75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车辆类型</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60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年均增长率</w:t>
            </w:r>
            <w:r>
              <w:rPr>
                <w:rFonts w:eastAsia="仿宋_GB2312" w:cs="Times New Roman"/>
                <w:color w:val="000000"/>
                <w:kern w:val="0"/>
                <w:sz w:val="21"/>
                <w:szCs w:val="21"/>
              </w:rPr>
              <w:t>(%)</w:t>
            </w:r>
          </w:p>
        </w:tc>
      </w:tr>
      <w:tr>
        <w:tblPrEx>
          <w:tblCellMar>
            <w:top w:w="0" w:type="dxa"/>
            <w:left w:w="0" w:type="dxa"/>
            <w:bottom w:w="0" w:type="dxa"/>
            <w:right w:w="0" w:type="dxa"/>
          </w:tblCellMar>
        </w:tblPrEx>
        <w:trPr>
          <w:trHeight w:val="283" w:hRule="atLeast"/>
          <w:jc w:val="center"/>
        </w:trPr>
        <w:tc>
          <w:tcPr>
            <w:tcW w:w="75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指数(辆)</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308018</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355298</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396254</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441932</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492875</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850442</w:t>
            </w:r>
          </w:p>
        </w:tc>
        <w:tc>
          <w:tcPr>
            <w:tcW w:w="60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12.47</w:t>
            </w:r>
          </w:p>
        </w:tc>
      </w:tr>
      <w:tr>
        <w:tblPrEx>
          <w:tblCellMar>
            <w:top w:w="0" w:type="dxa"/>
            <w:left w:w="0" w:type="dxa"/>
            <w:bottom w:w="0" w:type="dxa"/>
            <w:right w:w="0" w:type="dxa"/>
          </w:tblCellMar>
        </w:tblPrEx>
        <w:trPr>
          <w:trHeight w:val="283" w:hRule="atLeast"/>
          <w:jc w:val="center"/>
        </w:trPr>
        <w:tc>
          <w:tcPr>
            <w:tcW w:w="75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多项式(辆)</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308018</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327677</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344793</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359655</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372263</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401491</w:t>
            </w:r>
          </w:p>
        </w:tc>
        <w:tc>
          <w:tcPr>
            <w:tcW w:w="60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4.85</w:t>
            </w:r>
          </w:p>
        </w:tc>
      </w:tr>
      <w:tr>
        <w:tblPrEx>
          <w:tblCellMar>
            <w:top w:w="0" w:type="dxa"/>
            <w:left w:w="0" w:type="dxa"/>
            <w:bottom w:w="0" w:type="dxa"/>
            <w:right w:w="0" w:type="dxa"/>
          </w:tblCellMar>
        </w:tblPrEx>
        <w:trPr>
          <w:trHeight w:val="283" w:hRule="atLeast"/>
          <w:jc w:val="center"/>
        </w:trPr>
        <w:tc>
          <w:tcPr>
            <w:tcW w:w="75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线性(辆)</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308018</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338200</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364334</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390468</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416602</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547272</w:t>
            </w:r>
          </w:p>
        </w:tc>
        <w:tc>
          <w:tcPr>
            <w:tcW w:w="60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7.84</w:t>
            </w:r>
          </w:p>
        </w:tc>
      </w:tr>
    </w:tbl>
    <w:p>
      <w:pPr>
        <w:adjustRightInd w:val="0"/>
        <w:snapToGrid w:val="0"/>
        <w:spacing w:before="156" w:beforeLines="50"/>
        <w:ind w:firstLine="560"/>
        <w:rPr>
          <w:rFonts w:eastAsia="仿宋_GB2312" w:cs="Times New Roman"/>
        </w:rPr>
      </w:pPr>
      <w:r>
        <w:rPr>
          <w:rFonts w:eastAsia="仿宋_GB2312" w:cs="Times New Roman"/>
        </w:rPr>
        <w:t>（3）万人汽车保有量法（情景因子法）</w:t>
      </w:r>
    </w:p>
    <w:p>
      <w:pPr>
        <w:adjustRightInd w:val="0"/>
        <w:snapToGrid w:val="0"/>
        <w:ind w:firstLine="560"/>
        <w:rPr>
          <w:rFonts w:eastAsia="仿宋_GB2312" w:cs="Times New Roman"/>
        </w:rPr>
      </w:pPr>
      <w:r>
        <w:rPr>
          <w:rFonts w:eastAsia="仿宋_GB2312" w:cs="Times New Roman"/>
        </w:rPr>
        <w:t>2016-2021年咸宁市私家车万人保有量由706辆增加至1162辆，人均汽车拥有量年均增长率12.57%。</w:t>
      </w:r>
    </w:p>
    <w:p>
      <w:pPr>
        <w:pStyle w:val="19"/>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11</w:t>
      </w:r>
      <w:r>
        <w:rPr>
          <w:rFonts w:eastAsia="仿宋_GB2312" w:cs="Times New Roman"/>
        </w:rPr>
        <w:fldChar w:fldCharType="end"/>
      </w:r>
      <w:r>
        <w:rPr>
          <w:rFonts w:eastAsia="仿宋_GB2312" w:cs="Times New Roman"/>
        </w:rPr>
        <w:t xml:space="preserve">  2016-2021年咸宁市万人汽车保有量  </w:t>
      </w:r>
    </w:p>
    <w:tbl>
      <w:tblPr>
        <w:tblStyle w:val="76"/>
        <w:tblW w:w="4998" w:type="pct"/>
        <w:tblInd w:w="0" w:type="dxa"/>
        <w:tblLayout w:type="autofit"/>
        <w:tblCellMar>
          <w:top w:w="0" w:type="dxa"/>
          <w:left w:w="108" w:type="dxa"/>
          <w:bottom w:w="0" w:type="dxa"/>
          <w:right w:w="108" w:type="dxa"/>
        </w:tblCellMar>
      </w:tblPr>
      <w:tblGrid>
        <w:gridCol w:w="1764"/>
        <w:gridCol w:w="965"/>
        <w:gridCol w:w="965"/>
        <w:gridCol w:w="965"/>
        <w:gridCol w:w="965"/>
        <w:gridCol w:w="965"/>
        <w:gridCol w:w="965"/>
        <w:gridCol w:w="965"/>
      </w:tblGrid>
      <w:tr>
        <w:tblPrEx>
          <w:tblCellMar>
            <w:top w:w="0" w:type="dxa"/>
            <w:left w:w="108" w:type="dxa"/>
            <w:bottom w:w="0" w:type="dxa"/>
            <w:right w:w="108" w:type="dxa"/>
          </w:tblCellMar>
        </w:tblPrEx>
        <w:trPr>
          <w:trHeight w:val="283" w:hRule="atLeast"/>
        </w:trPr>
        <w:tc>
          <w:tcPr>
            <w:tcW w:w="103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2016年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2017年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2018年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2019年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2020年</w:t>
            </w:r>
          </w:p>
        </w:tc>
        <w:tc>
          <w:tcPr>
            <w:tcW w:w="56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66"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年均增长率</w:t>
            </w:r>
            <w:r>
              <w:rPr>
                <w:rFonts w:eastAsia="仿宋_GB2312" w:cs="Times New Roman"/>
                <w:color w:val="000000"/>
                <w:kern w:val="0"/>
                <w:sz w:val="21"/>
                <w:szCs w:val="21"/>
              </w:rPr>
              <w:t>(%)</w:t>
            </w:r>
          </w:p>
        </w:tc>
      </w:tr>
      <w:tr>
        <w:tblPrEx>
          <w:tblCellMar>
            <w:top w:w="0" w:type="dxa"/>
            <w:left w:w="108" w:type="dxa"/>
            <w:bottom w:w="0" w:type="dxa"/>
            <w:right w:w="108" w:type="dxa"/>
          </w:tblCellMar>
        </w:tblPrEx>
        <w:trPr>
          <w:trHeight w:val="283" w:hRule="atLeast"/>
        </w:trPr>
        <w:tc>
          <w:tcPr>
            <w:tcW w:w="1035"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私家车(辆)</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178433</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206969</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236134</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264345</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286485</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308018</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12.57</w:t>
            </w:r>
          </w:p>
        </w:tc>
      </w:tr>
      <w:tr>
        <w:tblPrEx>
          <w:tblCellMar>
            <w:top w:w="0" w:type="dxa"/>
            <w:left w:w="108" w:type="dxa"/>
            <w:bottom w:w="0" w:type="dxa"/>
            <w:right w:w="108" w:type="dxa"/>
          </w:tblCellMar>
        </w:tblPrEx>
        <w:trPr>
          <w:trHeight w:val="283" w:hRule="atLeast"/>
        </w:trPr>
        <w:tc>
          <w:tcPr>
            <w:tcW w:w="1035"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人口(万人)</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252.6</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253.5</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254.3</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254.8</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260.4</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265.8</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1.28</w:t>
            </w:r>
          </w:p>
        </w:tc>
      </w:tr>
      <w:tr>
        <w:trPr>
          <w:trHeight w:val="283" w:hRule="atLeast"/>
        </w:trPr>
        <w:tc>
          <w:tcPr>
            <w:tcW w:w="1035"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保有量(辆/万人)</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706</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816</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928</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1037</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1078</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1162</w:t>
            </w:r>
          </w:p>
        </w:tc>
        <w:tc>
          <w:tcPr>
            <w:tcW w:w="965"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11.14</w:t>
            </w:r>
          </w:p>
        </w:tc>
      </w:tr>
    </w:tbl>
    <w:p>
      <w:pPr>
        <w:adjustRightInd w:val="0"/>
        <w:snapToGrid w:val="0"/>
        <w:ind w:firstLine="0" w:firstLineChars="0"/>
        <w:rPr>
          <w:rFonts w:eastAsia="仿宋_GB2312" w:cs="Times New Roman"/>
        </w:rPr>
      </w:pPr>
    </w:p>
    <w:p>
      <w:pPr>
        <w:pStyle w:val="583"/>
        <w:ind w:firstLine="0" w:firstLineChars="0"/>
        <w:jc w:val="left"/>
        <w:rPr>
          <w:rFonts w:eastAsia="仿宋_GB2312"/>
        </w:rPr>
      </w:pPr>
      <w:r>
        <w:rPr>
          <w:rFonts w:eastAsia="仿宋_GB2312"/>
        </w:rPr>
        <w:drawing>
          <wp:inline distT="0" distB="0" distL="0" distR="0">
            <wp:extent cx="5274310" cy="2533650"/>
            <wp:effectExtent l="0" t="0" r="13970" b="11430"/>
            <wp:docPr id="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true"/>
                    </pic:cNvPicPr>
                  </pic:nvPicPr>
                  <pic:blipFill>
                    <a:blip r:embed="rId52"/>
                    <a:stretch>
                      <a:fillRect/>
                    </a:stretch>
                  </pic:blipFill>
                  <pic:spPr>
                    <a:xfrm>
                      <a:off x="0" y="0"/>
                      <a:ext cx="5274310" cy="2533650"/>
                    </a:xfrm>
                    <a:prstGeom prst="rect">
                      <a:avLst/>
                    </a:prstGeom>
                  </pic:spPr>
                </pic:pic>
              </a:graphicData>
            </a:graphic>
          </wp:inline>
        </w:drawing>
      </w:r>
    </w:p>
    <w:p>
      <w:pPr>
        <w:pStyle w:val="19"/>
        <w:rPr>
          <w:rFonts w:eastAsia="仿宋_GB2312" w:cs="Times New Roman"/>
          <w:bCs/>
          <w:szCs w:val="21"/>
        </w:rPr>
      </w:pPr>
      <w:r>
        <w:rPr>
          <w:rFonts w:eastAsia="仿宋_GB2312" w:cs="Times New Roman"/>
          <w:bCs/>
          <w:szCs w:val="21"/>
        </w:rPr>
        <w:t xml:space="preserve">图 </w:t>
      </w:r>
      <w:r>
        <w:rPr>
          <w:rFonts w:eastAsia="仿宋_GB2312" w:cs="Times New Roman"/>
          <w:bCs/>
          <w:szCs w:val="21"/>
        </w:rPr>
        <w:fldChar w:fldCharType="begin"/>
      </w:r>
      <w:r>
        <w:rPr>
          <w:rFonts w:eastAsia="仿宋_GB2312" w:cs="Times New Roman"/>
          <w:bCs/>
          <w:szCs w:val="21"/>
        </w:rPr>
        <w:instrText xml:space="preserve"> STYLEREF 1 \s </w:instrText>
      </w:r>
      <w:r>
        <w:rPr>
          <w:rFonts w:eastAsia="仿宋_GB2312" w:cs="Times New Roman"/>
          <w:bCs/>
          <w:szCs w:val="21"/>
        </w:rPr>
        <w:fldChar w:fldCharType="separate"/>
      </w:r>
      <w:r>
        <w:rPr>
          <w:rFonts w:eastAsia="仿宋_GB2312" w:cs="Times New Roman"/>
          <w:bCs/>
          <w:szCs w:val="21"/>
        </w:rPr>
        <w:t>3</w:t>
      </w:r>
      <w:r>
        <w:rPr>
          <w:rFonts w:eastAsia="仿宋_GB2312" w:cs="Times New Roman"/>
          <w:bCs/>
          <w:szCs w:val="21"/>
        </w:rPr>
        <w:fldChar w:fldCharType="end"/>
      </w:r>
      <w:r>
        <w:rPr>
          <w:rFonts w:eastAsia="仿宋_GB2312" w:cs="Times New Roman"/>
          <w:bCs/>
          <w:szCs w:val="21"/>
        </w:rPr>
        <w:noBreakHyphen/>
      </w:r>
      <w:r>
        <w:rPr>
          <w:rFonts w:eastAsia="仿宋_GB2312" w:cs="Times New Roman"/>
          <w:bCs/>
          <w:szCs w:val="21"/>
        </w:rPr>
        <w:fldChar w:fldCharType="begin"/>
      </w:r>
      <w:r>
        <w:rPr>
          <w:rFonts w:eastAsia="仿宋_GB2312" w:cs="Times New Roman"/>
          <w:bCs/>
          <w:szCs w:val="21"/>
        </w:rPr>
        <w:instrText xml:space="preserve"> SEQ 图 \* ARABIC \s 1 </w:instrText>
      </w:r>
      <w:r>
        <w:rPr>
          <w:rFonts w:eastAsia="仿宋_GB2312" w:cs="Times New Roman"/>
          <w:bCs/>
          <w:szCs w:val="21"/>
        </w:rPr>
        <w:fldChar w:fldCharType="separate"/>
      </w:r>
      <w:r>
        <w:rPr>
          <w:rFonts w:eastAsia="仿宋_GB2312" w:cs="Times New Roman"/>
          <w:bCs/>
          <w:szCs w:val="21"/>
        </w:rPr>
        <w:t>12</w:t>
      </w:r>
      <w:r>
        <w:rPr>
          <w:rFonts w:eastAsia="仿宋_GB2312" w:cs="Times New Roman"/>
          <w:bCs/>
          <w:szCs w:val="21"/>
        </w:rPr>
        <w:fldChar w:fldCharType="end"/>
      </w:r>
      <w:r>
        <w:rPr>
          <w:rFonts w:eastAsia="仿宋_GB2312" w:cs="Times New Roman"/>
          <w:bCs/>
          <w:szCs w:val="21"/>
        </w:rPr>
        <w:t>其他地区人均汽车保有量现状情况</w:t>
      </w:r>
    </w:p>
    <w:p>
      <w:pPr>
        <w:adjustRightInd w:val="0"/>
        <w:snapToGrid w:val="0"/>
        <w:ind w:firstLine="560"/>
        <w:rPr>
          <w:rFonts w:eastAsia="仿宋_GB2312" w:cs="Times New Roman"/>
        </w:rPr>
      </w:pPr>
      <w:r>
        <w:rPr>
          <w:rFonts w:eastAsia="仿宋_GB2312" w:cs="Times New Roman"/>
        </w:rPr>
        <w:t>参考</w:t>
      </w:r>
      <w:r>
        <w:rPr>
          <w:rFonts w:hint="eastAsia" w:eastAsia="仿宋_GB2312" w:cs="Times New Roman"/>
        </w:rPr>
        <w:t>2020年</w:t>
      </w:r>
      <w:r>
        <w:rPr>
          <w:rFonts w:eastAsia="仿宋_GB2312" w:cs="Times New Roman"/>
        </w:rPr>
        <w:t>发达国家和国内一、二线城市汽车保有量现状情况，预计咸宁市2025年保有量将达1300-1700辆/万人，2030年达1600-2000辆/万人，接近一线城市汽车保有量平均水平。</w:t>
      </w:r>
    </w:p>
    <w:p>
      <w:pPr>
        <w:pStyle w:val="19"/>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12</w:t>
      </w:r>
      <w:r>
        <w:rPr>
          <w:rFonts w:eastAsia="仿宋_GB2312" w:cs="Times New Roman"/>
        </w:rPr>
        <w:fldChar w:fldCharType="end"/>
      </w:r>
      <w:r>
        <w:rPr>
          <w:rFonts w:eastAsia="仿宋_GB2312" w:cs="Times New Roman"/>
        </w:rPr>
        <w:t>私家车车辆规模预测表          单位：辆</w:t>
      </w:r>
    </w:p>
    <w:tbl>
      <w:tblPr>
        <w:tblStyle w:val="76"/>
        <w:tblW w:w="4996" w:type="pct"/>
        <w:tblInd w:w="0" w:type="dxa"/>
        <w:tblLayout w:type="autofit"/>
        <w:tblCellMar>
          <w:top w:w="0" w:type="dxa"/>
          <w:left w:w="0" w:type="dxa"/>
          <w:bottom w:w="0" w:type="dxa"/>
          <w:right w:w="0" w:type="dxa"/>
        </w:tblCellMar>
      </w:tblPr>
      <w:tblGrid>
        <w:gridCol w:w="2040"/>
        <w:gridCol w:w="814"/>
        <w:gridCol w:w="814"/>
        <w:gridCol w:w="814"/>
        <w:gridCol w:w="814"/>
        <w:gridCol w:w="814"/>
        <w:gridCol w:w="819"/>
        <w:gridCol w:w="1380"/>
      </w:tblGrid>
      <w:tr>
        <w:tblPrEx>
          <w:tblCellMar>
            <w:top w:w="0" w:type="dxa"/>
            <w:left w:w="0" w:type="dxa"/>
            <w:bottom w:w="0" w:type="dxa"/>
            <w:right w:w="0" w:type="dxa"/>
          </w:tblCellMar>
        </w:tblPrEx>
        <w:trPr>
          <w:trHeight w:val="283" w:hRule="atLeast"/>
        </w:trPr>
        <w:tc>
          <w:tcPr>
            <w:tcW w:w="114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4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4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54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54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54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54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57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年均增长率</w:t>
            </w:r>
            <w:r>
              <w:rPr>
                <w:rFonts w:eastAsia="仿宋_GB2312" w:cs="Times New Roman"/>
                <w:color w:val="000000"/>
                <w:kern w:val="0"/>
                <w:sz w:val="21"/>
                <w:szCs w:val="21"/>
              </w:rPr>
              <w:t>(%)</w:t>
            </w:r>
          </w:p>
        </w:tc>
      </w:tr>
      <w:tr>
        <w:trPr>
          <w:trHeight w:val="283" w:hRule="atLeast"/>
        </w:trPr>
        <w:tc>
          <w:tcPr>
            <w:tcW w:w="1146"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高方案(辆)</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308018</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337025</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381598</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427103</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473552</w:t>
            </w:r>
          </w:p>
        </w:tc>
        <w:tc>
          <w:tcPr>
            <w:tcW w:w="54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588220</w:t>
            </w:r>
          </w:p>
        </w:tc>
        <w:tc>
          <w:tcPr>
            <w:tcW w:w="57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11.35</w:t>
            </w:r>
          </w:p>
        </w:tc>
      </w:tr>
      <w:tr>
        <w:tblPrEx>
          <w:tblCellMar>
            <w:top w:w="0" w:type="dxa"/>
            <w:left w:w="0" w:type="dxa"/>
            <w:bottom w:w="0" w:type="dxa"/>
            <w:right w:w="0" w:type="dxa"/>
          </w:tblCellMar>
        </w:tblPrEx>
        <w:trPr>
          <w:trHeight w:val="283" w:hRule="atLeast"/>
        </w:trPr>
        <w:tc>
          <w:tcPr>
            <w:tcW w:w="1146"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中方案(辆)</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308018</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323544</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354341</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385770</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417840</w:t>
            </w:r>
          </w:p>
        </w:tc>
        <w:tc>
          <w:tcPr>
            <w:tcW w:w="54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529398</w:t>
            </w:r>
          </w:p>
        </w:tc>
        <w:tc>
          <w:tcPr>
            <w:tcW w:w="57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7.92</w:t>
            </w:r>
          </w:p>
        </w:tc>
      </w:tr>
      <w:tr>
        <w:trPr>
          <w:trHeight w:val="283" w:hRule="atLeast"/>
        </w:trPr>
        <w:tc>
          <w:tcPr>
            <w:tcW w:w="1146"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低方案(辆)</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308018</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310063</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327084</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344438</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362128</w:t>
            </w:r>
          </w:p>
        </w:tc>
        <w:tc>
          <w:tcPr>
            <w:tcW w:w="54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470576</w:t>
            </w:r>
          </w:p>
        </w:tc>
        <w:tc>
          <w:tcPr>
            <w:tcW w:w="57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4.13</w:t>
            </w:r>
          </w:p>
        </w:tc>
      </w:tr>
      <w:tr>
        <w:tblPrEx>
          <w:tblCellMar>
            <w:top w:w="0" w:type="dxa"/>
            <w:left w:w="0" w:type="dxa"/>
            <w:bottom w:w="0" w:type="dxa"/>
            <w:right w:w="0" w:type="dxa"/>
          </w:tblCellMar>
        </w:tblPrEx>
        <w:trPr>
          <w:trHeight w:val="283" w:hRule="atLeast"/>
        </w:trPr>
        <w:tc>
          <w:tcPr>
            <w:tcW w:w="1146"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人口(万人)</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265.8</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269.62</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272.57</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275.55</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278.56</w:t>
            </w:r>
          </w:p>
        </w:tc>
        <w:tc>
          <w:tcPr>
            <w:tcW w:w="54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294.11</w:t>
            </w:r>
          </w:p>
        </w:tc>
        <w:tc>
          <w:tcPr>
            <w:tcW w:w="57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1.09</w:t>
            </w:r>
          </w:p>
        </w:tc>
      </w:tr>
      <w:tr>
        <w:trPr>
          <w:trHeight w:val="283" w:hRule="atLeast"/>
        </w:trPr>
        <w:tc>
          <w:tcPr>
            <w:tcW w:w="1146"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中方案万人保有量(辆)</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1162</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1200</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1300</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1400</w:t>
            </w:r>
          </w:p>
        </w:tc>
        <w:tc>
          <w:tcPr>
            <w:tcW w:w="54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1500</w:t>
            </w:r>
          </w:p>
        </w:tc>
        <w:tc>
          <w:tcPr>
            <w:tcW w:w="54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1800</w:t>
            </w:r>
          </w:p>
        </w:tc>
        <w:tc>
          <w:tcPr>
            <w:tcW w:w="57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6.59</w:t>
            </w:r>
          </w:p>
        </w:tc>
      </w:tr>
    </w:tbl>
    <w:p>
      <w:pPr>
        <w:adjustRightInd w:val="0"/>
        <w:snapToGrid w:val="0"/>
        <w:spacing w:before="156" w:beforeLines="50"/>
        <w:ind w:firstLine="560"/>
        <w:rPr>
          <w:rFonts w:eastAsia="仿宋_GB2312" w:cs="Times New Roman"/>
        </w:rPr>
      </w:pPr>
      <w:r>
        <w:rPr>
          <w:rFonts w:eastAsia="仿宋_GB2312" w:cs="Times New Roman"/>
        </w:rPr>
        <w:t>（4）综合预测结果</w:t>
      </w:r>
    </w:p>
    <w:p>
      <w:pPr>
        <w:adjustRightInd w:val="0"/>
        <w:snapToGrid w:val="0"/>
        <w:ind w:firstLine="560"/>
        <w:rPr>
          <w:rFonts w:eastAsia="仿宋_GB2312" w:cs="Times New Roman"/>
        </w:rPr>
      </w:pPr>
      <w:r>
        <w:rPr>
          <w:rFonts w:eastAsia="仿宋_GB2312" w:cs="Times New Roman"/>
        </w:rPr>
        <w:t>通过对3种方案的加权</w:t>
      </w:r>
      <w:r>
        <w:rPr>
          <w:rFonts w:hint="eastAsia" w:eastAsia="仿宋_GB2312" w:cs="Times New Roman"/>
        </w:rPr>
        <w:t>取中间值</w:t>
      </w:r>
      <w:r>
        <w:rPr>
          <w:rFonts w:eastAsia="仿宋_GB2312" w:cs="Times New Roman"/>
        </w:rPr>
        <w:t>，得出咸宁市私人汽车保有量。</w:t>
      </w:r>
      <w:r>
        <w:rPr>
          <w:rFonts w:hint="eastAsia" w:eastAsia="仿宋_GB2312" w:cs="Times New Roman"/>
        </w:rPr>
        <w:t>再</w:t>
      </w:r>
      <w:r>
        <w:rPr>
          <w:rFonts w:eastAsia="仿宋_GB2312" w:cs="Times New Roman"/>
        </w:rPr>
        <w:t>根据国家工信部2020年组织中国汽车工程学会编制的《节能与新能源汽车技术路线图2.0》，明确了不同阶段新能源汽车产业发展目标，分别为2025年、2030年、203</w:t>
      </w:r>
      <w:r>
        <w:rPr>
          <w:rFonts w:hint="eastAsia" w:eastAsia="仿宋_GB2312" w:cs="Times New Roman"/>
        </w:rPr>
        <w:t>5</w:t>
      </w:r>
      <w:r>
        <w:rPr>
          <w:rFonts w:eastAsia="仿宋_GB2312" w:cs="Times New Roman"/>
        </w:rPr>
        <w:t>年，其中新能源汽车占汽车总销量的比例分别为20%、40%、50%以上；2020年11月，国务院发布《新能源汽车产业发展规划（2021-2035年）》提出“新能源汽车新车销售量达到汽车新车销售总量的20%左右”。按照适当超前思路，咸宁2025年和2030年新能源汽车占汽车总销量的比例分别采用25%和45%进行预测，十四五期间新增新能源私家车按新增私家车总量的5%-25%比例逐年增加，同时考虑每年1%比例的燃油车更新为新能源车，咸宁市新能源私家车预测结果如</w:t>
      </w:r>
      <w:r>
        <w:rPr>
          <w:rFonts w:eastAsia="仿宋_GB2312" w:cs="Times New Roman"/>
        </w:rPr>
        <w:fldChar w:fldCharType="begin"/>
      </w:r>
      <w:r>
        <w:rPr>
          <w:rFonts w:eastAsia="仿宋_GB2312" w:cs="Times New Roman"/>
        </w:rPr>
        <w:instrText xml:space="preserve"> REF _Ref114149869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13</w:t>
      </w:r>
      <w:r>
        <w:rPr>
          <w:rFonts w:eastAsia="仿宋_GB2312" w:cs="Times New Roman"/>
        </w:rPr>
        <w:fldChar w:fldCharType="end"/>
      </w:r>
      <w:r>
        <w:rPr>
          <w:rFonts w:eastAsia="仿宋_GB2312" w:cs="Times New Roman"/>
        </w:rPr>
        <w:t>所示。</w:t>
      </w:r>
    </w:p>
    <w:p>
      <w:pPr>
        <w:pStyle w:val="19"/>
        <w:rPr>
          <w:rFonts w:eastAsia="仿宋_GB2312" w:cs="Times New Roman"/>
        </w:rPr>
      </w:pPr>
      <w:bookmarkStart w:id="107" w:name="_Ref114149869"/>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13</w:t>
      </w:r>
      <w:r>
        <w:rPr>
          <w:rFonts w:eastAsia="仿宋_GB2312" w:cs="Times New Roman"/>
        </w:rPr>
        <w:fldChar w:fldCharType="end"/>
      </w:r>
      <w:bookmarkEnd w:id="107"/>
      <w:r>
        <w:rPr>
          <w:rFonts w:eastAsia="仿宋_GB2312" w:cs="Times New Roman"/>
        </w:rPr>
        <w:t>咸宁市新能源私家车车辆规模预测表          单位：辆</w:t>
      </w:r>
    </w:p>
    <w:tbl>
      <w:tblPr>
        <w:tblStyle w:val="76"/>
        <w:tblW w:w="5007" w:type="pct"/>
        <w:jc w:val="center"/>
        <w:tblLayout w:type="autofit"/>
        <w:tblCellMar>
          <w:top w:w="0" w:type="dxa"/>
          <w:left w:w="0" w:type="dxa"/>
          <w:bottom w:w="0" w:type="dxa"/>
          <w:right w:w="0" w:type="dxa"/>
        </w:tblCellMar>
      </w:tblPr>
      <w:tblGrid>
        <w:gridCol w:w="1625"/>
        <w:gridCol w:w="956"/>
        <w:gridCol w:w="956"/>
        <w:gridCol w:w="958"/>
        <w:gridCol w:w="958"/>
        <w:gridCol w:w="958"/>
        <w:gridCol w:w="958"/>
        <w:gridCol w:w="959"/>
      </w:tblGrid>
      <w:tr>
        <w:tblPrEx>
          <w:tblCellMar>
            <w:top w:w="0" w:type="dxa"/>
            <w:left w:w="0" w:type="dxa"/>
            <w:bottom w:w="0" w:type="dxa"/>
            <w:right w:w="0" w:type="dxa"/>
          </w:tblCellMar>
        </w:tblPrEx>
        <w:trPr>
          <w:trHeight w:val="283" w:hRule="atLeast"/>
          <w:jc w:val="center"/>
        </w:trPr>
        <w:tc>
          <w:tcPr>
            <w:tcW w:w="97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项目</w:t>
            </w:r>
          </w:p>
        </w:tc>
        <w:tc>
          <w:tcPr>
            <w:tcW w:w="574"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2021年</w:t>
            </w:r>
          </w:p>
        </w:tc>
        <w:tc>
          <w:tcPr>
            <w:tcW w:w="574"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2022年</w:t>
            </w:r>
          </w:p>
        </w:tc>
        <w:tc>
          <w:tcPr>
            <w:tcW w:w="575"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2023年</w:t>
            </w:r>
          </w:p>
        </w:tc>
        <w:tc>
          <w:tcPr>
            <w:tcW w:w="575"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2024年</w:t>
            </w:r>
          </w:p>
        </w:tc>
        <w:tc>
          <w:tcPr>
            <w:tcW w:w="575"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2025年</w:t>
            </w:r>
          </w:p>
        </w:tc>
        <w:tc>
          <w:tcPr>
            <w:tcW w:w="575"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2030年</w:t>
            </w:r>
          </w:p>
        </w:tc>
        <w:tc>
          <w:tcPr>
            <w:tcW w:w="577"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年均增长率</w:t>
            </w:r>
            <w:r>
              <w:rPr>
                <w:rFonts w:eastAsia="仿宋_GB2312" w:cs="Times New Roman"/>
                <w:color w:val="000000"/>
                <w:kern w:val="0"/>
                <w:sz w:val="21"/>
                <w:szCs w:val="21"/>
              </w:rPr>
              <w:t>(%)</w:t>
            </w:r>
          </w:p>
        </w:tc>
      </w:tr>
      <w:tr>
        <w:tblPrEx>
          <w:tblCellMar>
            <w:top w:w="0" w:type="dxa"/>
            <w:left w:w="0" w:type="dxa"/>
            <w:bottom w:w="0" w:type="dxa"/>
            <w:right w:w="0" w:type="dxa"/>
          </w:tblCellMar>
        </w:tblPrEx>
        <w:trPr>
          <w:trHeight w:val="283" w:hRule="atLeast"/>
          <w:jc w:val="center"/>
        </w:trPr>
        <w:tc>
          <w:tcPr>
            <w:tcW w:w="976"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私家车(辆)</w:t>
            </w:r>
          </w:p>
        </w:tc>
        <w:tc>
          <w:tcPr>
            <w:tcW w:w="57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308018</w:t>
            </w:r>
          </w:p>
        </w:tc>
        <w:tc>
          <w:tcPr>
            <w:tcW w:w="57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337025</w:t>
            </w:r>
          </w:p>
        </w:tc>
        <w:tc>
          <w:tcPr>
            <w:tcW w:w="57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364334</w:t>
            </w:r>
          </w:p>
        </w:tc>
        <w:tc>
          <w:tcPr>
            <w:tcW w:w="57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390468</w:t>
            </w:r>
          </w:p>
        </w:tc>
        <w:tc>
          <w:tcPr>
            <w:tcW w:w="57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417840</w:t>
            </w:r>
          </w:p>
        </w:tc>
        <w:tc>
          <w:tcPr>
            <w:tcW w:w="57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547272</w:t>
            </w:r>
          </w:p>
        </w:tc>
        <w:tc>
          <w:tcPr>
            <w:tcW w:w="57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7.92</w:t>
            </w:r>
          </w:p>
        </w:tc>
      </w:tr>
      <w:tr>
        <w:tblPrEx>
          <w:tblCellMar>
            <w:top w:w="0" w:type="dxa"/>
            <w:left w:w="0" w:type="dxa"/>
            <w:bottom w:w="0" w:type="dxa"/>
            <w:right w:w="0" w:type="dxa"/>
          </w:tblCellMar>
        </w:tblPrEx>
        <w:trPr>
          <w:trHeight w:val="283" w:hRule="atLeast"/>
          <w:jc w:val="center"/>
        </w:trPr>
        <w:tc>
          <w:tcPr>
            <w:tcW w:w="976"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新能源私家车(辆)</w:t>
            </w:r>
          </w:p>
        </w:tc>
        <w:tc>
          <w:tcPr>
            <w:tcW w:w="57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4545</w:t>
            </w:r>
          </w:p>
        </w:tc>
        <w:tc>
          <w:tcPr>
            <w:tcW w:w="57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7750</w:t>
            </w:r>
          </w:p>
        </w:tc>
        <w:tc>
          <w:tcPr>
            <w:tcW w:w="57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12341</w:t>
            </w:r>
          </w:p>
        </w:tc>
        <w:tc>
          <w:tcPr>
            <w:tcW w:w="57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18272</w:t>
            </w:r>
          </w:p>
        </w:tc>
        <w:tc>
          <w:tcPr>
            <w:tcW w:w="57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26046</w:t>
            </w:r>
          </w:p>
        </w:tc>
        <w:tc>
          <w:tcPr>
            <w:tcW w:w="57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93106</w:t>
            </w:r>
          </w:p>
        </w:tc>
        <w:tc>
          <w:tcPr>
            <w:tcW w:w="57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54.72</w:t>
            </w:r>
          </w:p>
        </w:tc>
      </w:tr>
      <w:tr>
        <w:tblPrEx>
          <w:tblCellMar>
            <w:top w:w="0" w:type="dxa"/>
            <w:left w:w="0" w:type="dxa"/>
            <w:bottom w:w="0" w:type="dxa"/>
            <w:right w:w="0" w:type="dxa"/>
          </w:tblCellMar>
        </w:tblPrEx>
        <w:trPr>
          <w:trHeight w:val="283" w:hRule="atLeast"/>
          <w:jc w:val="center"/>
        </w:trPr>
        <w:tc>
          <w:tcPr>
            <w:tcW w:w="976"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新能源车占比(%)</w:t>
            </w:r>
          </w:p>
        </w:tc>
        <w:tc>
          <w:tcPr>
            <w:tcW w:w="57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1.48</w:t>
            </w:r>
          </w:p>
        </w:tc>
        <w:tc>
          <w:tcPr>
            <w:tcW w:w="57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2.30</w:t>
            </w:r>
          </w:p>
        </w:tc>
        <w:tc>
          <w:tcPr>
            <w:tcW w:w="57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3.39</w:t>
            </w:r>
          </w:p>
        </w:tc>
        <w:tc>
          <w:tcPr>
            <w:tcW w:w="57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4.68</w:t>
            </w:r>
          </w:p>
        </w:tc>
        <w:tc>
          <w:tcPr>
            <w:tcW w:w="57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6.23</w:t>
            </w:r>
          </w:p>
        </w:tc>
        <w:tc>
          <w:tcPr>
            <w:tcW w:w="57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17.01</w:t>
            </w:r>
          </w:p>
        </w:tc>
        <w:tc>
          <w:tcPr>
            <w:tcW w:w="57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w:t>
            </w:r>
          </w:p>
        </w:tc>
      </w:tr>
    </w:tbl>
    <w:p>
      <w:pPr>
        <w:pStyle w:val="4"/>
        <w:spacing w:before="156" w:after="156"/>
        <w:rPr>
          <w:rFonts w:eastAsia="仿宋_GB2312"/>
        </w:rPr>
      </w:pPr>
      <w:bookmarkStart w:id="108" w:name="_Toc117243203"/>
      <w:r>
        <w:rPr>
          <w:rFonts w:eastAsia="仿宋_GB2312"/>
        </w:rPr>
        <w:t>规模预测汇总</w:t>
      </w:r>
      <w:bookmarkEnd w:id="108"/>
    </w:p>
    <w:p>
      <w:pPr>
        <w:adjustRightInd w:val="0"/>
        <w:snapToGrid w:val="0"/>
        <w:ind w:firstLine="560"/>
        <w:rPr>
          <w:rFonts w:eastAsia="仿宋_GB2312" w:cs="Times New Roman"/>
        </w:rPr>
      </w:pPr>
      <w:r>
        <w:rPr>
          <w:rFonts w:eastAsia="仿宋_GB2312" w:cs="Times New Roman"/>
        </w:rPr>
        <w:t>2025年咸宁市汽车保有量达429254辆，其中新能源汽车30146辆，新能源汽车占比7.02%；至2030年汽车保有量达559747辆，其中新能源汽车101805辆，新能源汽车占比18.19%。咸宁市2021-2030年各类型新能源汽车保有量预测结果如</w:t>
      </w:r>
      <w:r>
        <w:rPr>
          <w:rFonts w:eastAsia="仿宋_GB2312" w:cs="Times New Roman"/>
        </w:rPr>
        <w:fldChar w:fldCharType="begin"/>
      </w:r>
      <w:r>
        <w:rPr>
          <w:rFonts w:eastAsia="仿宋_GB2312" w:cs="Times New Roman"/>
        </w:rPr>
        <w:instrText xml:space="preserve"> REF _Ref114149875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14</w:t>
      </w:r>
      <w:r>
        <w:rPr>
          <w:rFonts w:eastAsia="仿宋_GB2312" w:cs="Times New Roman"/>
        </w:rPr>
        <w:fldChar w:fldCharType="end"/>
      </w:r>
      <w:r>
        <w:rPr>
          <w:rFonts w:eastAsia="仿宋_GB2312" w:cs="Times New Roman"/>
        </w:rPr>
        <w:t>所示。</w:t>
      </w:r>
    </w:p>
    <w:p>
      <w:pPr>
        <w:pStyle w:val="19"/>
        <w:ind w:firstLine="480"/>
        <w:rPr>
          <w:rFonts w:eastAsia="仿宋_GB2312" w:cs="Times New Roman"/>
        </w:rPr>
      </w:pPr>
      <w:bookmarkStart w:id="109" w:name="_Ref114149875"/>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14</w:t>
      </w:r>
      <w:r>
        <w:rPr>
          <w:rFonts w:eastAsia="仿宋_GB2312" w:cs="Times New Roman"/>
        </w:rPr>
        <w:fldChar w:fldCharType="end"/>
      </w:r>
      <w:bookmarkEnd w:id="109"/>
      <w:r>
        <w:rPr>
          <w:rFonts w:eastAsia="仿宋_GB2312" w:cs="Times New Roman"/>
        </w:rPr>
        <w:t>咸宁市各类新能源汽车规模预测表          单位：辆</w:t>
      </w:r>
    </w:p>
    <w:tbl>
      <w:tblPr>
        <w:tblStyle w:val="76"/>
        <w:tblW w:w="4988" w:type="pct"/>
        <w:jc w:val="center"/>
        <w:tblLayout w:type="autofit"/>
        <w:tblCellMar>
          <w:top w:w="0" w:type="dxa"/>
          <w:left w:w="0" w:type="dxa"/>
          <w:bottom w:w="0" w:type="dxa"/>
          <w:right w:w="0" w:type="dxa"/>
        </w:tblCellMar>
      </w:tblPr>
      <w:tblGrid>
        <w:gridCol w:w="1871"/>
        <w:gridCol w:w="862"/>
        <w:gridCol w:w="863"/>
        <w:gridCol w:w="863"/>
        <w:gridCol w:w="863"/>
        <w:gridCol w:w="863"/>
        <w:gridCol w:w="863"/>
        <w:gridCol w:w="1248"/>
      </w:tblGrid>
      <w:tr>
        <w:tblPrEx>
          <w:tblCellMar>
            <w:top w:w="0" w:type="dxa"/>
            <w:left w:w="0" w:type="dxa"/>
            <w:bottom w:w="0" w:type="dxa"/>
            <w:right w:w="0" w:type="dxa"/>
          </w:tblCellMar>
        </w:tblPrEx>
        <w:trPr>
          <w:trHeight w:val="241" w:hRule="atLeast"/>
          <w:tblHeader/>
          <w:jc w:val="center"/>
        </w:trPr>
        <w:tc>
          <w:tcPr>
            <w:tcW w:w="112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753"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十四五年均增长率(%)</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1074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1095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1126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1158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1209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1545</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3.00</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1693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1693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1693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1693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1693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2059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0.00</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308018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337025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364334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390468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417840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547272</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7.92</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4808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4857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4906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4956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5006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5262</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1.01</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644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675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682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717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780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883</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4.91</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2726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2726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2726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2726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2726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2726</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0.00</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1064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1095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1126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1158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1209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1545</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3.25</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85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254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424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678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2059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133.01</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4545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7750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12341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18272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26046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93106</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54.72</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256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397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536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674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810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1486</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33.37</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60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102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137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180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312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883</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51.01</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273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409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682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1091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2726</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168.47</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318963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348071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375467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401718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429254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559747</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7.71</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5969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9702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14803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21390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30146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101805</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49.91</w:t>
            </w:r>
          </w:p>
        </w:tc>
      </w:tr>
      <w:tr>
        <w:tblPrEx>
          <w:tblCellMar>
            <w:top w:w="0" w:type="dxa"/>
            <w:left w:w="0" w:type="dxa"/>
            <w:bottom w:w="0" w:type="dxa"/>
            <w:right w:w="0" w:type="dxa"/>
          </w:tblCellMar>
        </w:tblPrEx>
        <w:trPr>
          <w:trHeight w:val="241" w:hRule="atLeast"/>
          <w:jc w:val="center"/>
        </w:trPr>
        <w:tc>
          <w:tcPr>
            <w:tcW w:w="1128"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新能源车占比（%）</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1.87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2.79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3.94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5.32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7.02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18.19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sz w:val="22"/>
                <w:szCs w:val="22"/>
              </w:rPr>
              <w:t>—</w:t>
            </w:r>
          </w:p>
        </w:tc>
      </w:tr>
    </w:tbl>
    <w:p>
      <w:pPr>
        <w:adjustRightInd w:val="0"/>
        <w:snapToGrid w:val="0"/>
        <w:spacing w:before="156" w:beforeLines="50"/>
        <w:ind w:firstLine="560"/>
        <w:rPr>
          <w:rFonts w:eastAsia="仿宋_GB2312" w:cs="Times New Roman"/>
        </w:rPr>
      </w:pPr>
      <w:r>
        <w:rPr>
          <w:rFonts w:eastAsia="仿宋_GB2312" w:cs="Times New Roman"/>
        </w:rPr>
        <w:t>以咸宁全市新能源汽车预测结果为边界条件，再根据各区县现状不同类型汽车保有量在全市的占比，对各区县加权分摊，预测出各区县新能源车保有量。</w:t>
      </w:r>
    </w:p>
    <w:p>
      <w:pPr>
        <w:adjustRightInd w:val="0"/>
        <w:snapToGrid w:val="0"/>
        <w:ind w:firstLine="562"/>
        <w:rPr>
          <w:rFonts w:eastAsia="仿宋_GB2312" w:cs="Times New Roman"/>
          <w:b/>
          <w:bCs/>
        </w:rPr>
      </w:pPr>
      <w:r>
        <w:rPr>
          <w:rFonts w:eastAsia="仿宋_GB2312" w:cs="Times New Roman"/>
          <w:b/>
          <w:bCs/>
        </w:rPr>
        <w:t>1.咸安区</w:t>
      </w:r>
    </w:p>
    <w:p>
      <w:pPr>
        <w:adjustRightInd w:val="0"/>
        <w:snapToGrid w:val="0"/>
        <w:ind w:firstLine="560"/>
        <w:rPr>
          <w:rFonts w:eastAsia="仿宋_GB2312" w:cs="Times New Roman"/>
        </w:rPr>
      </w:pPr>
      <w:r>
        <w:rPr>
          <w:rFonts w:eastAsia="仿宋_GB2312" w:cs="Times New Roman"/>
        </w:rPr>
        <w:t>2025年新能源汽车9848辆，2030年新能源汽车33253辆。咸安区2021-2030年各类型新能源汽车保有量预测结果如</w:t>
      </w:r>
      <w:r>
        <w:rPr>
          <w:rFonts w:eastAsia="仿宋_GB2312" w:cs="Times New Roman"/>
        </w:rPr>
        <w:fldChar w:fldCharType="begin"/>
      </w:r>
      <w:r>
        <w:rPr>
          <w:rFonts w:eastAsia="仿宋_GB2312" w:cs="Times New Roman"/>
        </w:rPr>
        <w:instrText xml:space="preserve"> REF _Ref114149885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15</w:t>
      </w:r>
      <w:r>
        <w:rPr>
          <w:rFonts w:eastAsia="仿宋_GB2312" w:cs="Times New Roman"/>
        </w:rPr>
        <w:fldChar w:fldCharType="end"/>
      </w:r>
      <w:r>
        <w:rPr>
          <w:rFonts w:eastAsia="仿宋_GB2312" w:cs="Times New Roman"/>
        </w:rPr>
        <w:t>所示。</w:t>
      </w:r>
    </w:p>
    <w:p>
      <w:pPr>
        <w:pStyle w:val="19"/>
        <w:ind w:firstLine="480"/>
        <w:rPr>
          <w:rFonts w:eastAsia="仿宋_GB2312" w:cs="Times New Roman"/>
        </w:rPr>
      </w:pPr>
      <w:bookmarkStart w:id="110" w:name="_Ref114149885"/>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15</w:t>
      </w:r>
      <w:r>
        <w:rPr>
          <w:rFonts w:eastAsia="仿宋_GB2312" w:cs="Times New Roman"/>
        </w:rPr>
        <w:fldChar w:fldCharType="end"/>
      </w:r>
      <w:bookmarkEnd w:id="110"/>
      <w:r>
        <w:rPr>
          <w:rFonts w:eastAsia="仿宋_GB2312" w:cs="Times New Roman"/>
        </w:rPr>
        <w:t>咸安区各类新能源汽车规模预测表          单位：辆</w:t>
      </w:r>
    </w:p>
    <w:tbl>
      <w:tblPr>
        <w:tblStyle w:val="76"/>
        <w:tblW w:w="4998" w:type="pct"/>
        <w:jc w:val="center"/>
        <w:tblLayout w:type="autofit"/>
        <w:tblCellMar>
          <w:top w:w="0" w:type="dxa"/>
          <w:left w:w="0" w:type="dxa"/>
          <w:bottom w:w="0" w:type="dxa"/>
          <w:right w:w="0" w:type="dxa"/>
        </w:tblCellMar>
      </w:tblPr>
      <w:tblGrid>
        <w:gridCol w:w="1873"/>
        <w:gridCol w:w="864"/>
        <w:gridCol w:w="864"/>
        <w:gridCol w:w="865"/>
        <w:gridCol w:w="865"/>
        <w:gridCol w:w="865"/>
        <w:gridCol w:w="865"/>
        <w:gridCol w:w="1252"/>
      </w:tblGrid>
      <w:tr>
        <w:tblPrEx>
          <w:tblCellMar>
            <w:top w:w="0" w:type="dxa"/>
            <w:left w:w="0" w:type="dxa"/>
            <w:bottom w:w="0" w:type="dxa"/>
            <w:right w:w="0" w:type="dxa"/>
          </w:tblCellMar>
        </w:tblPrEx>
        <w:trPr>
          <w:trHeight w:val="283" w:hRule="atLeast"/>
          <w:tblHeader/>
          <w:jc w:val="center"/>
        </w:trPr>
        <w:tc>
          <w:tcPr>
            <w:tcW w:w="112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753"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十四五年均增长率(%)</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351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368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379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395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505</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3.00</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553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553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553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553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553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673</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0.00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100599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110073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118992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127527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136467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178740</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7.92</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1571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1587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1603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1619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1635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1719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1.00</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211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221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223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235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255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289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4.85</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891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891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891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891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891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891</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0.00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348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368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379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395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505</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3.22</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222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673</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129.52</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1485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2532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4031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5968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8507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30409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54.71</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176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221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265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486</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33.27</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289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50.28</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223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357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891</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167.23</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104176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113683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122630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131204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140196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182817</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7.71</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1952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3172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4837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6989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9848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33253</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49.87</w:t>
            </w:r>
          </w:p>
        </w:tc>
      </w:tr>
    </w:tbl>
    <w:p>
      <w:pPr>
        <w:adjustRightInd w:val="0"/>
        <w:snapToGrid w:val="0"/>
        <w:spacing w:before="312" w:beforeLines="100"/>
        <w:ind w:firstLine="562"/>
        <w:rPr>
          <w:rFonts w:eastAsia="仿宋_GB2312" w:cs="Times New Roman"/>
          <w:b/>
          <w:bCs/>
        </w:rPr>
      </w:pPr>
      <w:r>
        <w:rPr>
          <w:rFonts w:eastAsia="仿宋_GB2312" w:cs="Times New Roman"/>
          <w:b/>
          <w:bCs/>
        </w:rPr>
        <w:t>2.赤壁市</w:t>
      </w:r>
    </w:p>
    <w:p>
      <w:pPr>
        <w:adjustRightInd w:val="0"/>
        <w:snapToGrid w:val="0"/>
        <w:spacing w:before="156" w:beforeLines="50"/>
        <w:ind w:firstLine="560"/>
        <w:rPr>
          <w:rFonts w:eastAsia="仿宋_GB2312" w:cs="Times New Roman"/>
        </w:rPr>
      </w:pPr>
      <w:r>
        <w:rPr>
          <w:rFonts w:eastAsia="仿宋_GB2312" w:cs="Times New Roman"/>
        </w:rPr>
        <w:t>2025年新能源汽车5147辆，2030年新能源汽车17371辆。赤壁市2021-2030年各类型新能源汽车保有量预测结果如</w:t>
      </w:r>
      <w:r>
        <w:rPr>
          <w:rFonts w:eastAsia="仿宋_GB2312" w:cs="Times New Roman"/>
        </w:rPr>
        <w:fldChar w:fldCharType="begin"/>
      </w:r>
      <w:r>
        <w:rPr>
          <w:rFonts w:eastAsia="仿宋_GB2312" w:cs="Times New Roman"/>
        </w:rPr>
        <w:instrText xml:space="preserve"> REF _Ref114149893 \h  \* MERGEFORMAT </w:instrText>
      </w:r>
      <w:r>
        <w:rPr>
          <w:rFonts w:eastAsia="仿宋_GB2312" w:cs="Times New Roman"/>
        </w:rPr>
        <w:fldChar w:fldCharType="separate"/>
      </w:r>
    </w:p>
    <w:p>
      <w:pPr>
        <w:adjustRightInd w:val="0"/>
        <w:snapToGrid w:val="0"/>
        <w:spacing w:before="156" w:beforeLines="50"/>
        <w:ind w:firstLine="560"/>
        <w:rPr>
          <w:rFonts w:eastAsia="仿宋_GB2312" w:cs="Times New Roman"/>
        </w:rPr>
      </w:pPr>
      <w:r>
        <w:rPr>
          <w:rFonts w:eastAsia="仿宋_GB2312" w:cs="Times New Roman"/>
        </w:rPr>
        <w:t>表 3</w:t>
      </w:r>
      <w:r>
        <w:rPr>
          <w:rFonts w:eastAsia="仿宋_GB2312" w:cs="Times New Roman"/>
        </w:rPr>
        <w:noBreakHyphen/>
      </w:r>
      <w:r>
        <w:rPr>
          <w:rFonts w:eastAsia="仿宋_GB2312" w:cs="Times New Roman"/>
        </w:rPr>
        <w:t>16</w:t>
      </w:r>
      <w:r>
        <w:rPr>
          <w:rFonts w:eastAsia="仿宋_GB2312" w:cs="Times New Roman"/>
        </w:rPr>
        <w:fldChar w:fldCharType="end"/>
      </w:r>
      <w:r>
        <w:rPr>
          <w:rFonts w:eastAsia="仿宋_GB2312" w:cs="Times New Roman"/>
        </w:rPr>
        <w:t>所示。</w:t>
      </w:r>
    </w:p>
    <w:p>
      <w:pPr>
        <w:pStyle w:val="19"/>
        <w:ind w:firstLine="480"/>
        <w:rPr>
          <w:rFonts w:eastAsia="仿宋_GB2312" w:cs="Times New Roman"/>
        </w:rPr>
      </w:pPr>
      <w:bookmarkStart w:id="111" w:name="_Ref114149893"/>
    </w:p>
    <w:p>
      <w:pPr>
        <w:pStyle w:val="19"/>
        <w:ind w:firstLine="480"/>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16</w:t>
      </w:r>
      <w:r>
        <w:rPr>
          <w:rFonts w:eastAsia="仿宋_GB2312" w:cs="Times New Roman"/>
        </w:rPr>
        <w:fldChar w:fldCharType="end"/>
      </w:r>
      <w:bookmarkEnd w:id="111"/>
      <w:r>
        <w:rPr>
          <w:rFonts w:eastAsia="仿宋_GB2312" w:cs="Times New Roman"/>
        </w:rPr>
        <w:t>赤壁市各类新能源汽车规模预测表          单位：辆</w:t>
      </w:r>
    </w:p>
    <w:tbl>
      <w:tblPr>
        <w:tblStyle w:val="76"/>
        <w:tblW w:w="4998" w:type="pct"/>
        <w:jc w:val="center"/>
        <w:tblLayout w:type="autofit"/>
        <w:tblCellMar>
          <w:top w:w="0" w:type="dxa"/>
          <w:left w:w="0" w:type="dxa"/>
          <w:bottom w:w="0" w:type="dxa"/>
          <w:right w:w="0" w:type="dxa"/>
        </w:tblCellMar>
      </w:tblPr>
      <w:tblGrid>
        <w:gridCol w:w="1873"/>
        <w:gridCol w:w="864"/>
        <w:gridCol w:w="864"/>
        <w:gridCol w:w="865"/>
        <w:gridCol w:w="865"/>
        <w:gridCol w:w="865"/>
        <w:gridCol w:w="865"/>
        <w:gridCol w:w="1252"/>
      </w:tblGrid>
      <w:tr>
        <w:tblPrEx>
          <w:tblCellMar>
            <w:top w:w="0" w:type="dxa"/>
            <w:left w:w="0" w:type="dxa"/>
            <w:bottom w:w="0" w:type="dxa"/>
            <w:right w:w="0" w:type="dxa"/>
          </w:tblCellMar>
        </w:tblPrEx>
        <w:trPr>
          <w:trHeight w:val="283" w:hRule="atLeast"/>
          <w:tblHeader/>
          <w:jc w:val="center"/>
        </w:trPr>
        <w:tc>
          <w:tcPr>
            <w:tcW w:w="112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753"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十四五年均增长率(%)</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184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187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193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198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207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264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2.99</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289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289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289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289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289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352</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0.00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52548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57497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62156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66614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71284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93365</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7.92</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821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829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837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846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855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898</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1.02</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151</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5.06</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466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466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466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466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466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466</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0.00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182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187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193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198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207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264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3.27</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352</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132.06</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776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1323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2106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3118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4444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15884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54.70</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254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33.32</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151</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48.85</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187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466</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161.48</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55439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61042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66587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72188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78382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95496</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9.04</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1021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2529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3652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5147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17371</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49.84</w:t>
            </w:r>
          </w:p>
        </w:tc>
      </w:tr>
    </w:tbl>
    <w:p>
      <w:pPr>
        <w:adjustRightInd w:val="0"/>
        <w:snapToGrid w:val="0"/>
        <w:spacing w:before="312" w:beforeLines="100"/>
        <w:ind w:firstLine="562"/>
        <w:rPr>
          <w:rFonts w:eastAsia="仿宋_GB2312" w:cs="Times New Roman"/>
          <w:b/>
          <w:bCs/>
        </w:rPr>
      </w:pPr>
      <w:r>
        <w:rPr>
          <w:rFonts w:eastAsia="仿宋_GB2312" w:cs="Times New Roman"/>
          <w:b/>
          <w:bCs/>
        </w:rPr>
        <w:t>3.嘉鱼县</w:t>
      </w:r>
    </w:p>
    <w:p>
      <w:pPr>
        <w:adjustRightInd w:val="0"/>
        <w:snapToGrid w:val="0"/>
        <w:spacing w:before="156" w:beforeLines="50"/>
        <w:ind w:firstLine="560"/>
        <w:rPr>
          <w:rFonts w:eastAsia="仿宋_GB2312" w:cs="Times New Roman"/>
        </w:rPr>
      </w:pPr>
      <w:r>
        <w:rPr>
          <w:rFonts w:eastAsia="仿宋_GB2312" w:cs="Times New Roman"/>
        </w:rPr>
        <w:t>2025年新能源汽车2808辆，2030年新能源汽车9471辆。嘉鱼县2021-2030年各类型新能源汽车保有量预测结果如</w:t>
      </w:r>
      <w:r>
        <w:rPr>
          <w:rFonts w:eastAsia="仿宋_GB2312" w:cs="Times New Roman"/>
        </w:rPr>
        <w:fldChar w:fldCharType="begin"/>
      </w:r>
      <w:r>
        <w:rPr>
          <w:rFonts w:eastAsia="仿宋_GB2312" w:cs="Times New Roman"/>
        </w:rPr>
        <w:instrText xml:space="preserve"> REF _Ref114149899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17</w:t>
      </w:r>
      <w:r>
        <w:rPr>
          <w:rFonts w:eastAsia="仿宋_GB2312" w:cs="Times New Roman"/>
        </w:rPr>
        <w:fldChar w:fldCharType="end"/>
      </w:r>
      <w:r>
        <w:rPr>
          <w:rFonts w:eastAsia="仿宋_GB2312" w:cs="Times New Roman"/>
        </w:rPr>
        <w:t>所示。</w:t>
      </w:r>
    </w:p>
    <w:p>
      <w:pPr>
        <w:pStyle w:val="19"/>
        <w:ind w:firstLine="480"/>
        <w:rPr>
          <w:rFonts w:eastAsia="仿宋_GB2312" w:cs="Times New Roman"/>
        </w:rPr>
      </w:pPr>
      <w:bookmarkStart w:id="112" w:name="_Ref114149899"/>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17</w:t>
      </w:r>
      <w:r>
        <w:rPr>
          <w:rFonts w:eastAsia="仿宋_GB2312" w:cs="Times New Roman"/>
        </w:rPr>
        <w:fldChar w:fldCharType="end"/>
      </w:r>
      <w:bookmarkEnd w:id="112"/>
      <w:r>
        <w:rPr>
          <w:rFonts w:eastAsia="仿宋_GB2312" w:cs="Times New Roman"/>
        </w:rPr>
        <w:t>嘉鱼县各类新能源汽车规模预测表          单位：辆</w:t>
      </w:r>
    </w:p>
    <w:tbl>
      <w:tblPr>
        <w:tblStyle w:val="76"/>
        <w:tblW w:w="4998" w:type="pct"/>
        <w:jc w:val="center"/>
        <w:tblLayout w:type="autofit"/>
        <w:tblCellMar>
          <w:top w:w="0" w:type="dxa"/>
          <w:left w:w="0" w:type="dxa"/>
          <w:bottom w:w="0" w:type="dxa"/>
          <w:right w:w="0" w:type="dxa"/>
        </w:tblCellMar>
      </w:tblPr>
      <w:tblGrid>
        <w:gridCol w:w="1873"/>
        <w:gridCol w:w="864"/>
        <w:gridCol w:w="864"/>
        <w:gridCol w:w="865"/>
        <w:gridCol w:w="865"/>
        <w:gridCol w:w="865"/>
        <w:gridCol w:w="865"/>
        <w:gridCol w:w="1252"/>
      </w:tblGrid>
      <w:tr>
        <w:tblPrEx>
          <w:tblCellMar>
            <w:top w:w="0" w:type="dxa"/>
            <w:left w:w="0" w:type="dxa"/>
            <w:bottom w:w="0" w:type="dxa"/>
            <w:right w:w="0" w:type="dxa"/>
          </w:tblCellMar>
        </w:tblPrEx>
        <w:trPr>
          <w:trHeight w:val="283" w:hRule="atLeast"/>
          <w:tblHeader/>
          <w:jc w:val="center"/>
        </w:trPr>
        <w:tc>
          <w:tcPr>
            <w:tcW w:w="112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753"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十四五年均增长率(%)</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144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3.10</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192</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0.00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28646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31344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33884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36314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38860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50897</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7.92</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448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452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457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461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466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490</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0.99</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83</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5.03</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254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254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254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254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254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254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0.00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144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3.36</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192</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114.91</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423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721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1148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1700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2423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8659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54.70</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33.40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83</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49.53</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254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167.23</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29666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32373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34922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37362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39924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52060</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7.71</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557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904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1379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1992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2808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9471</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49.84</w:t>
            </w:r>
          </w:p>
        </w:tc>
      </w:tr>
    </w:tbl>
    <w:p>
      <w:pPr>
        <w:adjustRightInd w:val="0"/>
        <w:snapToGrid w:val="0"/>
        <w:spacing w:before="312" w:beforeLines="100"/>
        <w:ind w:firstLine="562"/>
        <w:rPr>
          <w:rFonts w:eastAsia="仿宋_GB2312" w:cs="Times New Roman"/>
          <w:b/>
          <w:bCs/>
        </w:rPr>
      </w:pPr>
      <w:r>
        <w:rPr>
          <w:rFonts w:eastAsia="仿宋_GB2312" w:cs="Times New Roman"/>
          <w:b/>
          <w:bCs/>
        </w:rPr>
        <w:t>4.通城县</w:t>
      </w:r>
    </w:p>
    <w:p>
      <w:pPr>
        <w:adjustRightInd w:val="0"/>
        <w:snapToGrid w:val="0"/>
        <w:ind w:firstLine="560"/>
        <w:rPr>
          <w:rFonts w:eastAsia="仿宋_GB2312" w:cs="Times New Roman"/>
        </w:rPr>
      </w:pPr>
      <w:r>
        <w:rPr>
          <w:rFonts w:eastAsia="仿宋_GB2312" w:cs="Times New Roman"/>
        </w:rPr>
        <w:t>2025年新能源汽车4229辆，2030年新能源汽车14276辆。通城县2021-2030年各类型新能源汽车保有量预测结果如</w:t>
      </w:r>
      <w:r>
        <w:rPr>
          <w:rFonts w:eastAsia="仿宋_GB2312" w:cs="Times New Roman"/>
        </w:rPr>
        <w:fldChar w:fldCharType="begin"/>
      </w:r>
      <w:r>
        <w:rPr>
          <w:rFonts w:eastAsia="仿宋_GB2312" w:cs="Times New Roman"/>
        </w:rPr>
        <w:instrText xml:space="preserve"> REF _Ref114149935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18</w:t>
      </w:r>
      <w:r>
        <w:rPr>
          <w:rFonts w:eastAsia="仿宋_GB2312" w:cs="Times New Roman"/>
        </w:rPr>
        <w:fldChar w:fldCharType="end"/>
      </w:r>
      <w:r>
        <w:rPr>
          <w:rFonts w:eastAsia="仿宋_GB2312" w:cs="Times New Roman"/>
        </w:rPr>
        <w:t>所示。</w:t>
      </w:r>
    </w:p>
    <w:p>
      <w:pPr>
        <w:pStyle w:val="19"/>
        <w:ind w:firstLine="480"/>
        <w:rPr>
          <w:rFonts w:eastAsia="仿宋_GB2312" w:cs="Times New Roman"/>
        </w:rPr>
      </w:pPr>
      <w:bookmarkStart w:id="113" w:name="_Ref114149935"/>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18</w:t>
      </w:r>
      <w:r>
        <w:rPr>
          <w:rFonts w:eastAsia="仿宋_GB2312" w:cs="Times New Roman"/>
        </w:rPr>
        <w:fldChar w:fldCharType="end"/>
      </w:r>
      <w:bookmarkEnd w:id="113"/>
      <w:r>
        <w:rPr>
          <w:rFonts w:eastAsia="仿宋_GB2312" w:cs="Times New Roman"/>
        </w:rPr>
        <w:t>通城县各类新能源汽车规模预测表          单位：辆</w:t>
      </w:r>
    </w:p>
    <w:tbl>
      <w:tblPr>
        <w:tblStyle w:val="76"/>
        <w:tblW w:w="4998" w:type="pct"/>
        <w:jc w:val="center"/>
        <w:tblLayout w:type="autofit"/>
        <w:tblCellMar>
          <w:top w:w="0" w:type="dxa"/>
          <w:left w:w="0" w:type="dxa"/>
          <w:bottom w:w="0" w:type="dxa"/>
          <w:right w:w="0" w:type="dxa"/>
        </w:tblCellMar>
      </w:tblPr>
      <w:tblGrid>
        <w:gridCol w:w="1873"/>
        <w:gridCol w:w="864"/>
        <w:gridCol w:w="864"/>
        <w:gridCol w:w="865"/>
        <w:gridCol w:w="865"/>
        <w:gridCol w:w="865"/>
        <w:gridCol w:w="865"/>
        <w:gridCol w:w="1252"/>
      </w:tblGrid>
      <w:tr>
        <w:tblPrEx>
          <w:tblCellMar>
            <w:top w:w="0" w:type="dxa"/>
            <w:left w:w="0" w:type="dxa"/>
            <w:bottom w:w="0" w:type="dxa"/>
            <w:right w:w="0" w:type="dxa"/>
          </w:tblCellMar>
        </w:tblPrEx>
        <w:trPr>
          <w:trHeight w:val="283" w:hRule="atLeast"/>
          <w:tblHeader/>
          <w:jc w:val="center"/>
        </w:trPr>
        <w:tc>
          <w:tcPr>
            <w:tcW w:w="112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753"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十四五年均增长率(%)</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170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217</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3.01</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238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238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238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238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238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289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0.00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43185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47251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51080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54744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58582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76728</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7.92</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675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681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688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695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702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738</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0.99</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4.85</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383</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0.00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170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217</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3.18</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289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121.34</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638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1087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1731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2562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3652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13054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54.68</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209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33.40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48.70</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383</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167.23</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44723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48802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52643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56324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60185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78479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7.71</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840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1363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2079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3002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4229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14276</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49.79</w:t>
            </w:r>
          </w:p>
        </w:tc>
      </w:tr>
    </w:tbl>
    <w:p>
      <w:pPr>
        <w:adjustRightInd w:val="0"/>
        <w:snapToGrid w:val="0"/>
        <w:spacing w:before="312" w:beforeLines="100"/>
        <w:ind w:firstLine="562"/>
        <w:rPr>
          <w:rFonts w:eastAsia="仿宋_GB2312" w:cs="Times New Roman"/>
          <w:b/>
          <w:bCs/>
        </w:rPr>
      </w:pPr>
      <w:r>
        <w:rPr>
          <w:rFonts w:eastAsia="仿宋_GB2312" w:cs="Times New Roman"/>
          <w:b/>
          <w:bCs/>
        </w:rPr>
        <w:t>5.崇阳县</w:t>
      </w:r>
    </w:p>
    <w:p>
      <w:pPr>
        <w:adjustRightInd w:val="0"/>
        <w:snapToGrid w:val="0"/>
        <w:ind w:firstLine="560"/>
        <w:rPr>
          <w:rFonts w:eastAsia="仿宋_GB2312" w:cs="Times New Roman"/>
        </w:rPr>
      </w:pPr>
      <w:r>
        <w:rPr>
          <w:rFonts w:eastAsia="仿宋_GB2312" w:cs="Times New Roman"/>
        </w:rPr>
        <w:t>2025年新能源汽车4244辆，2030年新能源汽车14328辆。崇阳县2021-2030年各类型新能源汽车保有量预测结果如</w:t>
      </w:r>
      <w:r>
        <w:rPr>
          <w:rFonts w:eastAsia="仿宋_GB2312" w:cs="Times New Roman"/>
        </w:rPr>
        <w:fldChar w:fldCharType="begin"/>
      </w:r>
      <w:r>
        <w:rPr>
          <w:rFonts w:eastAsia="仿宋_GB2312" w:cs="Times New Roman"/>
        </w:rPr>
        <w:instrText xml:space="preserve"> REF _Ref114149945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19</w:t>
      </w:r>
      <w:r>
        <w:rPr>
          <w:rFonts w:eastAsia="仿宋_GB2312" w:cs="Times New Roman"/>
        </w:rPr>
        <w:fldChar w:fldCharType="end"/>
      </w:r>
      <w:r>
        <w:rPr>
          <w:rFonts w:eastAsia="仿宋_GB2312" w:cs="Times New Roman"/>
        </w:rPr>
        <w:t>所示。</w:t>
      </w:r>
    </w:p>
    <w:p>
      <w:pPr>
        <w:pStyle w:val="19"/>
        <w:ind w:firstLine="480"/>
        <w:rPr>
          <w:rFonts w:eastAsia="仿宋_GB2312" w:cs="Times New Roman"/>
        </w:rPr>
      </w:pPr>
      <w:bookmarkStart w:id="114" w:name="_Ref114149945"/>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19</w:t>
      </w:r>
      <w:r>
        <w:rPr>
          <w:rFonts w:eastAsia="仿宋_GB2312" w:cs="Times New Roman"/>
        </w:rPr>
        <w:fldChar w:fldCharType="end"/>
      </w:r>
      <w:bookmarkEnd w:id="114"/>
      <w:r>
        <w:rPr>
          <w:rFonts w:eastAsia="仿宋_GB2312" w:cs="Times New Roman"/>
        </w:rPr>
        <w:t>崇阳县各类新能源汽车规模预测表          单位：辆</w:t>
      </w:r>
    </w:p>
    <w:tbl>
      <w:tblPr>
        <w:tblStyle w:val="76"/>
        <w:tblW w:w="4998" w:type="pct"/>
        <w:jc w:val="center"/>
        <w:tblLayout w:type="autofit"/>
        <w:tblCellMar>
          <w:top w:w="0" w:type="dxa"/>
          <w:left w:w="0" w:type="dxa"/>
          <w:bottom w:w="0" w:type="dxa"/>
          <w:right w:w="0" w:type="dxa"/>
        </w:tblCellMar>
      </w:tblPr>
      <w:tblGrid>
        <w:gridCol w:w="1873"/>
        <w:gridCol w:w="864"/>
        <w:gridCol w:w="864"/>
        <w:gridCol w:w="865"/>
        <w:gridCol w:w="865"/>
        <w:gridCol w:w="865"/>
        <w:gridCol w:w="865"/>
        <w:gridCol w:w="1252"/>
      </w:tblGrid>
      <w:tr>
        <w:tblPrEx>
          <w:tblCellMar>
            <w:top w:w="0" w:type="dxa"/>
            <w:left w:w="0" w:type="dxa"/>
            <w:bottom w:w="0" w:type="dxa"/>
            <w:right w:w="0" w:type="dxa"/>
          </w:tblCellMar>
        </w:tblPrEx>
        <w:trPr>
          <w:trHeight w:val="283" w:hRule="atLeast"/>
          <w:tblHeader/>
          <w:jc w:val="center"/>
        </w:trPr>
        <w:tc>
          <w:tcPr>
            <w:tcW w:w="112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753"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十四五年均增长率(%)</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171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218</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2.99</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290</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0.00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43339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47420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51262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54939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58791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77002</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7.92</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677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684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691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698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705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741</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1.02</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125</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4.85</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0.00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171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218</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3.33</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290</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121.34</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640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1091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1737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2571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3665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13101</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54.69</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210</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32.49</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125</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48.70</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167.67</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44882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48977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52831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56524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60400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78760</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7.71</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843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1368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2086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3011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4244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14328</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49.79</w:t>
            </w:r>
          </w:p>
        </w:tc>
      </w:tr>
    </w:tbl>
    <w:p>
      <w:pPr>
        <w:adjustRightInd w:val="0"/>
        <w:snapToGrid w:val="0"/>
        <w:spacing w:before="312" w:beforeLines="100"/>
        <w:ind w:firstLine="562"/>
        <w:rPr>
          <w:rFonts w:eastAsia="仿宋_GB2312" w:cs="Times New Roman"/>
          <w:b/>
          <w:bCs/>
        </w:rPr>
      </w:pPr>
      <w:r>
        <w:rPr>
          <w:rFonts w:eastAsia="仿宋_GB2312" w:cs="Times New Roman"/>
          <w:b/>
          <w:bCs/>
        </w:rPr>
        <w:t>6.通山县</w:t>
      </w:r>
    </w:p>
    <w:p>
      <w:pPr>
        <w:adjustRightInd w:val="0"/>
        <w:snapToGrid w:val="0"/>
        <w:ind w:firstLine="560"/>
        <w:rPr>
          <w:rFonts w:eastAsia="仿宋_GB2312" w:cs="Times New Roman"/>
        </w:rPr>
      </w:pPr>
      <w:r>
        <w:rPr>
          <w:rFonts w:eastAsia="仿宋_GB2312" w:cs="Times New Roman"/>
        </w:rPr>
        <w:t>2025年新能源汽车3889辆，2030年新能源汽车13126辆。通山县2021-2030年各类型新能源汽车保有量预测结果如</w:t>
      </w:r>
      <w:r>
        <w:rPr>
          <w:rFonts w:eastAsia="仿宋_GB2312" w:cs="Times New Roman"/>
        </w:rPr>
        <w:fldChar w:fldCharType="begin"/>
      </w:r>
      <w:r>
        <w:rPr>
          <w:rFonts w:eastAsia="仿宋_GB2312" w:cs="Times New Roman"/>
        </w:rPr>
        <w:instrText xml:space="preserve"> REF _Ref114149953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20</w:t>
      </w:r>
      <w:r>
        <w:rPr>
          <w:rFonts w:eastAsia="仿宋_GB2312" w:cs="Times New Roman"/>
        </w:rPr>
        <w:fldChar w:fldCharType="end"/>
      </w:r>
      <w:r>
        <w:rPr>
          <w:rFonts w:eastAsia="仿宋_GB2312" w:cs="Times New Roman"/>
        </w:rPr>
        <w:t>所示。</w:t>
      </w:r>
    </w:p>
    <w:p>
      <w:pPr>
        <w:pStyle w:val="19"/>
        <w:ind w:firstLine="480"/>
        <w:rPr>
          <w:rFonts w:eastAsia="仿宋_GB2312" w:cs="Times New Roman"/>
        </w:rPr>
      </w:pPr>
      <w:bookmarkStart w:id="115" w:name="_Ref114149953"/>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20</w:t>
      </w:r>
      <w:r>
        <w:rPr>
          <w:rFonts w:eastAsia="仿宋_GB2312" w:cs="Times New Roman"/>
        </w:rPr>
        <w:fldChar w:fldCharType="end"/>
      </w:r>
      <w:bookmarkEnd w:id="115"/>
      <w:r>
        <w:rPr>
          <w:rFonts w:eastAsia="仿宋_GB2312" w:cs="Times New Roman"/>
        </w:rPr>
        <w:t>通山县各类新能源汽车规模预测表          单位：辆</w:t>
      </w:r>
    </w:p>
    <w:tbl>
      <w:tblPr>
        <w:tblStyle w:val="76"/>
        <w:tblW w:w="4998" w:type="pct"/>
        <w:jc w:val="center"/>
        <w:tblLayout w:type="autofit"/>
        <w:tblCellMar>
          <w:top w:w="0" w:type="dxa"/>
          <w:left w:w="0" w:type="dxa"/>
          <w:bottom w:w="0" w:type="dxa"/>
          <w:right w:w="0" w:type="dxa"/>
        </w:tblCellMar>
      </w:tblPr>
      <w:tblGrid>
        <w:gridCol w:w="1873"/>
        <w:gridCol w:w="864"/>
        <w:gridCol w:w="864"/>
        <w:gridCol w:w="865"/>
        <w:gridCol w:w="865"/>
        <w:gridCol w:w="865"/>
        <w:gridCol w:w="865"/>
        <w:gridCol w:w="1252"/>
      </w:tblGrid>
      <w:tr>
        <w:tblPrEx>
          <w:tblCellMar>
            <w:top w:w="0" w:type="dxa"/>
            <w:left w:w="0" w:type="dxa"/>
            <w:bottom w:w="0" w:type="dxa"/>
            <w:right w:w="0" w:type="dxa"/>
          </w:tblCellMar>
        </w:tblPrEx>
        <w:trPr>
          <w:trHeight w:val="283" w:hRule="atLeast"/>
          <w:tblHeader/>
          <w:jc w:val="center"/>
        </w:trPr>
        <w:tc>
          <w:tcPr>
            <w:tcW w:w="112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项目</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2021年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2022年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2023年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2024年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2025年</w:t>
            </w:r>
          </w:p>
        </w:tc>
        <w:tc>
          <w:tcPr>
            <w:tcW w:w="52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2030年</w:t>
            </w:r>
          </w:p>
        </w:tc>
        <w:tc>
          <w:tcPr>
            <w:tcW w:w="753"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十四五年均增长率(%)</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142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146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200</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2.93</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219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219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219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219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219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266</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0.00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39704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43443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46963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50332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53860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70544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7.92</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620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627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633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639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646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679</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1.03</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4.72</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352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352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352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352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352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352</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0.00</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新能源公交车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142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146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200</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3.11</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新能源出租车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266</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132.72</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新能源私家车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586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999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1591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2356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3358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12002</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54.72</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新能源物流车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52</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87</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105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192</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33.56</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新能源环卫车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114</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50.46</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新能源公务车</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36</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53</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88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141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352</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161.83</w:t>
            </w:r>
          </w:p>
        </w:tc>
      </w:tr>
      <w:tr>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41118</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44871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48401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51785</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55334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72155</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7.71</w:t>
            </w:r>
          </w:p>
        </w:tc>
      </w:tr>
      <w:tr>
        <w:tblPrEx>
          <w:tblCellMar>
            <w:top w:w="0" w:type="dxa"/>
            <w:left w:w="0" w:type="dxa"/>
            <w:bottom w:w="0" w:type="dxa"/>
            <w:right w:w="0" w:type="dxa"/>
          </w:tblCellMar>
        </w:tblPrEx>
        <w:trPr>
          <w:trHeight w:val="283" w:hRule="atLeast"/>
          <w:jc w:val="center"/>
        </w:trPr>
        <w:tc>
          <w:tcPr>
            <w:tcW w:w="112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新能源汽车保有量</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771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1254</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1911</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2760</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3889</w:t>
            </w:r>
          </w:p>
        </w:tc>
        <w:tc>
          <w:tcPr>
            <w:tcW w:w="52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13126</w:t>
            </w:r>
          </w:p>
        </w:tc>
        <w:tc>
          <w:tcPr>
            <w:tcW w:w="75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2"/>
                <w:szCs w:val="22"/>
              </w:rPr>
              <w:t>49.86</w:t>
            </w:r>
          </w:p>
        </w:tc>
      </w:tr>
    </w:tbl>
    <w:p>
      <w:pPr>
        <w:pStyle w:val="3"/>
        <w:adjustRightInd w:val="0"/>
        <w:spacing w:before="312" w:beforeLines="100" w:after="0"/>
        <w:rPr>
          <w:rFonts w:eastAsia="仿宋_GB2312" w:cs="Times New Roman"/>
        </w:rPr>
      </w:pPr>
      <w:bookmarkStart w:id="116" w:name="_Toc117243204"/>
      <w:r>
        <w:rPr>
          <w:rFonts w:eastAsia="仿宋_GB2312" w:cs="Times New Roman"/>
        </w:rPr>
        <w:t>充电设施需求预测</w:t>
      </w:r>
      <w:bookmarkEnd w:id="116"/>
    </w:p>
    <w:p>
      <w:pPr>
        <w:pStyle w:val="4"/>
        <w:spacing w:before="156"/>
        <w:rPr>
          <w:rFonts w:eastAsia="仿宋_GB2312"/>
        </w:rPr>
      </w:pPr>
      <w:bookmarkStart w:id="117" w:name="_Toc117243205"/>
      <w:r>
        <w:rPr>
          <w:rFonts w:eastAsia="仿宋_GB2312"/>
        </w:rPr>
        <w:t>专用桩</w:t>
      </w:r>
      <w:bookmarkEnd w:id="117"/>
    </w:p>
    <w:p>
      <w:pPr>
        <w:pStyle w:val="173"/>
        <w:ind w:firstLine="562"/>
        <w:rPr>
          <w:rFonts w:ascii="Times New Roman" w:hAnsi="Times New Roman" w:cs="Times New Roman"/>
          <w:b/>
          <w:bCs/>
        </w:rPr>
      </w:pPr>
      <w:r>
        <w:rPr>
          <w:rFonts w:ascii="Times New Roman" w:hAnsi="Times New Roman" w:cs="Times New Roman"/>
          <w:b/>
          <w:bCs/>
        </w:rPr>
        <w:t>1.公交车充电设施</w:t>
      </w:r>
    </w:p>
    <w:p>
      <w:pPr>
        <w:pStyle w:val="583"/>
        <w:ind w:firstLine="560"/>
        <w:rPr>
          <w:rFonts w:eastAsia="仿宋_GB2312"/>
        </w:rPr>
      </w:pPr>
      <w:r>
        <w:rPr>
          <w:rFonts w:eastAsia="仿宋_GB2312"/>
        </w:rPr>
        <w:t>根据前文对公交车运营特征及充电特征的考虑分析，新能源公交车的桩车比取1:3，均为快充桩。预测至2025年、2030年咸宁市新能源公交车规模将达到1209和1545辆。在充电高峰时段，新能源公交车在2025年、2030年的充电桩需求分别为403、515台，新能源公交车充电设施预测如</w:t>
      </w:r>
      <w:r>
        <w:rPr>
          <w:rFonts w:eastAsia="仿宋_GB2312"/>
        </w:rPr>
        <w:fldChar w:fldCharType="begin"/>
      </w:r>
      <w:r>
        <w:rPr>
          <w:rFonts w:eastAsia="仿宋_GB2312"/>
        </w:rPr>
        <w:instrText xml:space="preserve"> REF _Ref114149962 \h  \* MERGEFORMAT </w:instrText>
      </w:r>
      <w:r>
        <w:rPr>
          <w:rFonts w:eastAsia="仿宋_GB2312"/>
        </w:rPr>
        <w:fldChar w:fldCharType="separate"/>
      </w:r>
      <w:r>
        <w:rPr>
          <w:rFonts w:eastAsia="仿宋_GB2312"/>
        </w:rPr>
        <w:t>表3</w:t>
      </w:r>
      <w:r>
        <w:rPr>
          <w:rFonts w:eastAsia="仿宋_GB2312"/>
        </w:rPr>
        <w:noBreakHyphen/>
      </w:r>
      <w:r>
        <w:rPr>
          <w:rFonts w:eastAsia="仿宋_GB2312"/>
        </w:rPr>
        <w:t>21</w:t>
      </w:r>
      <w:r>
        <w:rPr>
          <w:rFonts w:eastAsia="仿宋_GB2312"/>
        </w:rPr>
        <w:fldChar w:fldCharType="end"/>
      </w:r>
      <w:r>
        <w:rPr>
          <w:rFonts w:eastAsia="仿宋_GB2312"/>
        </w:rPr>
        <w:t>所示。</w:t>
      </w:r>
    </w:p>
    <w:p>
      <w:pPr>
        <w:pStyle w:val="19"/>
        <w:rPr>
          <w:rFonts w:eastAsia="仿宋_GB2312" w:cs="Times New Roman"/>
        </w:rPr>
      </w:pPr>
      <w:bookmarkStart w:id="118" w:name="_Ref114149962"/>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21</w:t>
      </w:r>
      <w:r>
        <w:rPr>
          <w:rFonts w:eastAsia="仿宋_GB2312" w:cs="Times New Roman"/>
        </w:rPr>
        <w:fldChar w:fldCharType="end"/>
      </w:r>
      <w:bookmarkEnd w:id="118"/>
      <w:r>
        <w:rPr>
          <w:rFonts w:eastAsia="仿宋_GB2312" w:cs="Times New Roman"/>
        </w:rPr>
        <w:t>新能源公交车</w:t>
      </w:r>
      <w:r>
        <w:rPr>
          <w:rFonts w:eastAsia="仿宋_GB2312" w:cs="Times New Roman"/>
        </w:rPr>
        <w:tab/>
      </w:r>
      <w:r>
        <w:rPr>
          <w:rFonts w:eastAsia="仿宋_GB2312" w:cs="Times New Roman"/>
        </w:rPr>
        <w:t>充电设施预测表</w:t>
      </w:r>
    </w:p>
    <w:tbl>
      <w:tblPr>
        <w:tblStyle w:val="76"/>
        <w:tblW w:w="4999" w:type="pct"/>
        <w:tblInd w:w="0" w:type="dxa"/>
        <w:tblLayout w:type="autofit"/>
        <w:tblCellMar>
          <w:top w:w="0" w:type="dxa"/>
          <w:left w:w="0" w:type="dxa"/>
          <w:bottom w:w="0" w:type="dxa"/>
          <w:right w:w="0" w:type="dxa"/>
        </w:tblCellMar>
      </w:tblPr>
      <w:tblGrid>
        <w:gridCol w:w="1186"/>
        <w:gridCol w:w="1189"/>
        <w:gridCol w:w="1191"/>
        <w:gridCol w:w="1189"/>
        <w:gridCol w:w="1189"/>
        <w:gridCol w:w="1191"/>
        <w:gridCol w:w="1189"/>
      </w:tblGrid>
      <w:tr>
        <w:tblPrEx>
          <w:tblCellMar>
            <w:top w:w="0" w:type="dxa"/>
            <w:left w:w="0" w:type="dxa"/>
            <w:bottom w:w="0" w:type="dxa"/>
            <w:right w:w="0" w:type="dxa"/>
          </w:tblCellMar>
        </w:tblPrEx>
        <w:trPr>
          <w:trHeight w:val="283" w:hRule="atLeast"/>
          <w:tblHeader/>
        </w:trPr>
        <w:tc>
          <w:tcPr>
            <w:tcW w:w="2142" w:type="pct"/>
            <w:gridSpan w:val="3"/>
            <w:tcBorders>
              <w:top w:val="single" w:color="auto" w:sz="8" w:space="0"/>
              <w:left w:val="single" w:color="auto" w:sz="8" w:space="0"/>
              <w:bottom w:val="single" w:color="auto" w:sz="8" w:space="0"/>
              <w:right w:val="single" w:color="000000"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充电车辆（辆）</w:t>
            </w:r>
          </w:p>
        </w:tc>
        <w:tc>
          <w:tcPr>
            <w:tcW w:w="2143" w:type="pct"/>
            <w:gridSpan w:val="3"/>
            <w:tcBorders>
              <w:top w:val="single" w:color="auto" w:sz="8" w:space="0"/>
              <w:left w:val="nil"/>
              <w:bottom w:val="single" w:color="auto" w:sz="8" w:space="0"/>
              <w:right w:val="single" w:color="000000"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需求充电桩（个）</w:t>
            </w:r>
          </w:p>
        </w:tc>
        <w:tc>
          <w:tcPr>
            <w:tcW w:w="714" w:type="pct"/>
            <w:tcBorders>
              <w:top w:val="single" w:color="auto" w:sz="8" w:space="0"/>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充电桩类型</w:t>
            </w:r>
          </w:p>
        </w:tc>
      </w:tr>
      <w:tr>
        <w:tblPrEx>
          <w:tblCellMar>
            <w:top w:w="0" w:type="dxa"/>
            <w:left w:w="0" w:type="dxa"/>
            <w:bottom w:w="0" w:type="dxa"/>
            <w:right w:w="0" w:type="dxa"/>
          </w:tblCellMar>
        </w:tblPrEx>
        <w:trPr>
          <w:trHeight w:val="283" w:hRule="atLeast"/>
        </w:trPr>
        <w:tc>
          <w:tcPr>
            <w:tcW w:w="713" w:type="pct"/>
            <w:tcBorders>
              <w:top w:val="nil"/>
              <w:left w:val="single" w:color="auto" w:sz="8" w:space="0"/>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2021年</w:t>
            </w:r>
          </w:p>
        </w:tc>
        <w:tc>
          <w:tcPr>
            <w:tcW w:w="714"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2025年</w:t>
            </w:r>
          </w:p>
        </w:tc>
        <w:tc>
          <w:tcPr>
            <w:tcW w:w="715"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2030年</w:t>
            </w:r>
          </w:p>
        </w:tc>
        <w:tc>
          <w:tcPr>
            <w:tcW w:w="714"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2021年</w:t>
            </w:r>
          </w:p>
        </w:tc>
        <w:tc>
          <w:tcPr>
            <w:tcW w:w="714"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2025年</w:t>
            </w:r>
          </w:p>
        </w:tc>
        <w:tc>
          <w:tcPr>
            <w:tcW w:w="715"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2030年</w:t>
            </w:r>
          </w:p>
        </w:tc>
        <w:tc>
          <w:tcPr>
            <w:tcW w:w="714" w:type="pct"/>
            <w:vMerge w:val="restart"/>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快充桩</w:t>
            </w:r>
          </w:p>
        </w:tc>
      </w:tr>
      <w:tr>
        <w:tblPrEx>
          <w:tblCellMar>
            <w:top w:w="0" w:type="dxa"/>
            <w:left w:w="0" w:type="dxa"/>
            <w:bottom w:w="0" w:type="dxa"/>
            <w:right w:w="0" w:type="dxa"/>
          </w:tblCellMar>
        </w:tblPrEx>
        <w:trPr>
          <w:trHeight w:val="283" w:hRule="atLeast"/>
        </w:trPr>
        <w:tc>
          <w:tcPr>
            <w:tcW w:w="713" w:type="pct"/>
            <w:tcBorders>
              <w:top w:val="nil"/>
              <w:left w:val="single" w:color="auto" w:sz="8" w:space="0"/>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1064</w:t>
            </w:r>
          </w:p>
        </w:tc>
        <w:tc>
          <w:tcPr>
            <w:tcW w:w="714"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1209</w:t>
            </w:r>
          </w:p>
        </w:tc>
        <w:tc>
          <w:tcPr>
            <w:tcW w:w="715"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1545</w:t>
            </w:r>
          </w:p>
        </w:tc>
        <w:tc>
          <w:tcPr>
            <w:tcW w:w="714"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355</w:t>
            </w:r>
          </w:p>
        </w:tc>
        <w:tc>
          <w:tcPr>
            <w:tcW w:w="714"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403</w:t>
            </w:r>
          </w:p>
        </w:tc>
        <w:tc>
          <w:tcPr>
            <w:tcW w:w="715"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515</w:t>
            </w:r>
          </w:p>
        </w:tc>
        <w:tc>
          <w:tcPr>
            <w:tcW w:w="714" w:type="pct"/>
            <w:vMerge w:val="continue"/>
            <w:tcBorders>
              <w:top w:val="nil"/>
              <w:left w:val="single" w:color="auto" w:sz="8" w:space="0"/>
              <w:bottom w:val="single" w:color="000000" w:sz="8" w:space="0"/>
              <w:right w:val="single" w:color="auto" w:sz="8"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1"/>
              </w:rPr>
            </w:pPr>
          </w:p>
        </w:tc>
      </w:tr>
    </w:tbl>
    <w:p>
      <w:pPr>
        <w:pStyle w:val="173"/>
        <w:spacing w:before="156" w:beforeLines="50"/>
        <w:ind w:firstLine="562"/>
        <w:rPr>
          <w:rFonts w:ascii="Times New Roman" w:hAnsi="Times New Roman" w:cs="Times New Roman"/>
          <w:b/>
          <w:bCs/>
        </w:rPr>
      </w:pPr>
      <w:r>
        <w:rPr>
          <w:rFonts w:ascii="Times New Roman" w:hAnsi="Times New Roman" w:cs="Times New Roman"/>
          <w:b/>
          <w:bCs/>
        </w:rPr>
        <w:t>2.物流车充电设施</w:t>
      </w:r>
    </w:p>
    <w:p>
      <w:pPr>
        <w:pStyle w:val="583"/>
        <w:ind w:firstLine="560"/>
        <w:rPr>
          <w:rFonts w:eastAsia="仿宋_GB2312"/>
        </w:rPr>
      </w:pPr>
      <w:r>
        <w:rPr>
          <w:rFonts w:eastAsia="仿宋_GB2312"/>
        </w:rPr>
        <w:t>根据前文对物流车运营特征及充电特征的考虑分析，新能源物流车的桩车比约取1:3。结合前文新能源汽车预测，在2025年、2030年新能源物流车规模将达到810、1486辆，其后基本保持稳定。因此，在充电高峰时段，新能源物流车在2025年、2030年的充电桩需求分别为270、496台，新能源物流车充电设施预测如</w:t>
      </w:r>
      <w:r>
        <w:rPr>
          <w:rFonts w:eastAsia="仿宋_GB2312"/>
        </w:rPr>
        <w:fldChar w:fldCharType="begin"/>
      </w:r>
      <w:r>
        <w:rPr>
          <w:rFonts w:eastAsia="仿宋_GB2312"/>
        </w:rPr>
        <w:instrText xml:space="preserve"> REF _Ref114149969 \h  \* MERGEFORMAT </w:instrText>
      </w:r>
      <w:r>
        <w:rPr>
          <w:rFonts w:eastAsia="仿宋_GB2312"/>
        </w:rPr>
        <w:fldChar w:fldCharType="separate"/>
      </w:r>
      <w:r>
        <w:rPr>
          <w:rFonts w:eastAsia="仿宋_GB2312"/>
        </w:rPr>
        <w:t>表3</w:t>
      </w:r>
      <w:r>
        <w:rPr>
          <w:rFonts w:eastAsia="仿宋_GB2312"/>
        </w:rPr>
        <w:noBreakHyphen/>
      </w:r>
      <w:r>
        <w:rPr>
          <w:rFonts w:eastAsia="仿宋_GB2312"/>
        </w:rPr>
        <w:t>22</w:t>
      </w:r>
      <w:r>
        <w:rPr>
          <w:rFonts w:eastAsia="仿宋_GB2312"/>
        </w:rPr>
        <w:fldChar w:fldCharType="end"/>
      </w:r>
      <w:r>
        <w:rPr>
          <w:rFonts w:eastAsia="仿宋_GB2312"/>
        </w:rPr>
        <w:t>所示。</w:t>
      </w:r>
    </w:p>
    <w:p>
      <w:pPr>
        <w:pStyle w:val="19"/>
        <w:adjustRightInd w:val="0"/>
        <w:snapToGrid w:val="0"/>
        <w:rPr>
          <w:rFonts w:eastAsia="仿宋_GB2312" w:cs="Times New Roman"/>
        </w:rPr>
      </w:pPr>
      <w:bookmarkStart w:id="119" w:name="_Ref114149969"/>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22</w:t>
      </w:r>
      <w:r>
        <w:rPr>
          <w:rFonts w:eastAsia="仿宋_GB2312" w:cs="Times New Roman"/>
        </w:rPr>
        <w:fldChar w:fldCharType="end"/>
      </w:r>
      <w:bookmarkEnd w:id="119"/>
      <w:r>
        <w:rPr>
          <w:rFonts w:eastAsia="仿宋_GB2312" w:cs="Times New Roman"/>
        </w:rPr>
        <w:t>新能源物流车</w:t>
      </w:r>
      <w:r>
        <w:rPr>
          <w:rFonts w:eastAsia="仿宋_GB2312" w:cs="Times New Roman"/>
        </w:rPr>
        <w:tab/>
      </w:r>
      <w:r>
        <w:rPr>
          <w:rFonts w:eastAsia="仿宋_GB2312" w:cs="Times New Roman"/>
        </w:rPr>
        <w:t>充电设施预测表</w:t>
      </w:r>
    </w:p>
    <w:tbl>
      <w:tblPr>
        <w:tblStyle w:val="76"/>
        <w:tblW w:w="4999" w:type="pct"/>
        <w:tblInd w:w="0" w:type="dxa"/>
        <w:tblLayout w:type="autofit"/>
        <w:tblCellMar>
          <w:top w:w="0" w:type="dxa"/>
          <w:left w:w="0" w:type="dxa"/>
          <w:bottom w:w="0" w:type="dxa"/>
          <w:right w:w="0" w:type="dxa"/>
        </w:tblCellMar>
      </w:tblPr>
      <w:tblGrid>
        <w:gridCol w:w="1186"/>
        <w:gridCol w:w="1189"/>
        <w:gridCol w:w="1191"/>
        <w:gridCol w:w="1189"/>
        <w:gridCol w:w="1189"/>
        <w:gridCol w:w="1191"/>
        <w:gridCol w:w="1189"/>
      </w:tblGrid>
      <w:tr>
        <w:tblPrEx>
          <w:tblCellMar>
            <w:top w:w="0" w:type="dxa"/>
            <w:left w:w="0" w:type="dxa"/>
            <w:bottom w:w="0" w:type="dxa"/>
            <w:right w:w="0" w:type="dxa"/>
          </w:tblCellMar>
        </w:tblPrEx>
        <w:trPr>
          <w:trHeight w:val="283" w:hRule="atLeast"/>
        </w:trPr>
        <w:tc>
          <w:tcPr>
            <w:tcW w:w="2142" w:type="pct"/>
            <w:gridSpan w:val="3"/>
            <w:tcBorders>
              <w:top w:val="single" w:color="auto" w:sz="8" w:space="0"/>
              <w:left w:val="single" w:color="auto" w:sz="8" w:space="0"/>
              <w:bottom w:val="single" w:color="auto" w:sz="8" w:space="0"/>
              <w:right w:val="single" w:color="000000"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充电车辆（辆）</w:t>
            </w:r>
          </w:p>
        </w:tc>
        <w:tc>
          <w:tcPr>
            <w:tcW w:w="2143" w:type="pct"/>
            <w:gridSpan w:val="3"/>
            <w:tcBorders>
              <w:top w:val="single" w:color="auto" w:sz="8" w:space="0"/>
              <w:left w:val="nil"/>
              <w:bottom w:val="single" w:color="auto" w:sz="8" w:space="0"/>
              <w:right w:val="single" w:color="000000"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需求充电桩（台）</w:t>
            </w:r>
          </w:p>
        </w:tc>
        <w:tc>
          <w:tcPr>
            <w:tcW w:w="714" w:type="pct"/>
            <w:tcBorders>
              <w:top w:val="single" w:color="auto" w:sz="8" w:space="0"/>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充电桩类型</w:t>
            </w:r>
          </w:p>
        </w:tc>
      </w:tr>
      <w:tr>
        <w:tblPrEx>
          <w:tblCellMar>
            <w:top w:w="0" w:type="dxa"/>
            <w:left w:w="0" w:type="dxa"/>
            <w:bottom w:w="0" w:type="dxa"/>
            <w:right w:w="0" w:type="dxa"/>
          </w:tblCellMar>
        </w:tblPrEx>
        <w:trPr>
          <w:trHeight w:val="283" w:hRule="atLeast"/>
        </w:trPr>
        <w:tc>
          <w:tcPr>
            <w:tcW w:w="713" w:type="pct"/>
            <w:tcBorders>
              <w:top w:val="nil"/>
              <w:left w:val="single" w:color="auto" w:sz="8" w:space="0"/>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2021年</w:t>
            </w:r>
          </w:p>
        </w:tc>
        <w:tc>
          <w:tcPr>
            <w:tcW w:w="714"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2025年</w:t>
            </w:r>
          </w:p>
        </w:tc>
        <w:tc>
          <w:tcPr>
            <w:tcW w:w="715"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2030年</w:t>
            </w:r>
          </w:p>
        </w:tc>
        <w:tc>
          <w:tcPr>
            <w:tcW w:w="714"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2021年</w:t>
            </w:r>
          </w:p>
        </w:tc>
        <w:tc>
          <w:tcPr>
            <w:tcW w:w="714"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2025年</w:t>
            </w:r>
          </w:p>
        </w:tc>
        <w:tc>
          <w:tcPr>
            <w:tcW w:w="715"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2030年</w:t>
            </w:r>
          </w:p>
        </w:tc>
        <w:tc>
          <w:tcPr>
            <w:tcW w:w="714" w:type="pct"/>
            <w:vMerge w:val="restart"/>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快充桩</w:t>
            </w:r>
          </w:p>
        </w:tc>
      </w:tr>
      <w:tr>
        <w:tblPrEx>
          <w:tblCellMar>
            <w:top w:w="0" w:type="dxa"/>
            <w:left w:w="0" w:type="dxa"/>
            <w:bottom w:w="0" w:type="dxa"/>
            <w:right w:w="0" w:type="dxa"/>
          </w:tblCellMar>
        </w:tblPrEx>
        <w:trPr>
          <w:trHeight w:val="283" w:hRule="atLeast"/>
        </w:trPr>
        <w:tc>
          <w:tcPr>
            <w:tcW w:w="713" w:type="pct"/>
            <w:tcBorders>
              <w:top w:val="nil"/>
              <w:left w:val="single" w:color="auto" w:sz="8" w:space="0"/>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256</w:t>
            </w:r>
          </w:p>
        </w:tc>
        <w:tc>
          <w:tcPr>
            <w:tcW w:w="714"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810</w:t>
            </w:r>
          </w:p>
        </w:tc>
        <w:tc>
          <w:tcPr>
            <w:tcW w:w="715"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1486</w:t>
            </w:r>
          </w:p>
        </w:tc>
        <w:tc>
          <w:tcPr>
            <w:tcW w:w="714"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86</w:t>
            </w:r>
          </w:p>
        </w:tc>
        <w:tc>
          <w:tcPr>
            <w:tcW w:w="714"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270</w:t>
            </w:r>
          </w:p>
        </w:tc>
        <w:tc>
          <w:tcPr>
            <w:tcW w:w="715"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496</w:t>
            </w:r>
          </w:p>
        </w:tc>
        <w:tc>
          <w:tcPr>
            <w:tcW w:w="714" w:type="pct"/>
            <w:vMerge w:val="continue"/>
            <w:tcBorders>
              <w:top w:val="nil"/>
              <w:left w:val="single" w:color="auto" w:sz="8" w:space="0"/>
              <w:bottom w:val="single" w:color="000000" w:sz="8" w:space="0"/>
              <w:right w:val="single" w:color="auto" w:sz="8"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1"/>
              </w:rPr>
            </w:pPr>
          </w:p>
        </w:tc>
      </w:tr>
    </w:tbl>
    <w:p>
      <w:pPr>
        <w:pStyle w:val="173"/>
        <w:spacing w:before="156" w:beforeLines="50"/>
        <w:ind w:firstLine="562"/>
        <w:rPr>
          <w:rFonts w:ascii="Times New Roman" w:hAnsi="Times New Roman" w:cs="Times New Roman"/>
          <w:b/>
          <w:bCs/>
        </w:rPr>
      </w:pPr>
      <w:r>
        <w:rPr>
          <w:rFonts w:ascii="Times New Roman" w:hAnsi="Times New Roman" w:cs="Times New Roman"/>
          <w:b/>
          <w:bCs/>
        </w:rPr>
        <w:t>3.环卫车充电设施</w:t>
      </w:r>
    </w:p>
    <w:p>
      <w:pPr>
        <w:pStyle w:val="583"/>
        <w:ind w:firstLine="560"/>
        <w:rPr>
          <w:rFonts w:eastAsia="仿宋_GB2312"/>
        </w:rPr>
      </w:pPr>
      <w:r>
        <w:rPr>
          <w:rFonts w:eastAsia="仿宋_GB2312"/>
        </w:rPr>
        <w:t>根据前文对新能源环卫车运营特征及充电特征的考虑分析，在集中充电时段内，桩车比取1:3。结合前文新能源汽车预测，在2025年、2030年新能源环卫车规模将达到312、883辆。因此，结合各类环卫车的错峰充电，在夜晚充电高峰时段，新能源环卫车在2025年、2030年的充电桩需求分别为104、295台。新能源环卫车充电桩需求预测如</w:t>
      </w:r>
      <w:r>
        <w:rPr>
          <w:rFonts w:eastAsia="仿宋_GB2312"/>
        </w:rPr>
        <w:fldChar w:fldCharType="begin"/>
      </w:r>
      <w:r>
        <w:rPr>
          <w:rFonts w:eastAsia="仿宋_GB2312"/>
        </w:rPr>
        <w:instrText xml:space="preserve"> REF _Ref114149988 \h  \* MERGEFORMAT </w:instrText>
      </w:r>
      <w:r>
        <w:rPr>
          <w:rFonts w:eastAsia="仿宋_GB2312"/>
        </w:rPr>
        <w:fldChar w:fldCharType="separate"/>
      </w:r>
      <w:r>
        <w:rPr>
          <w:rFonts w:eastAsia="仿宋_GB2312"/>
        </w:rPr>
        <w:t>表3</w:t>
      </w:r>
      <w:r>
        <w:rPr>
          <w:rFonts w:eastAsia="仿宋_GB2312"/>
        </w:rPr>
        <w:noBreakHyphen/>
      </w:r>
      <w:r>
        <w:rPr>
          <w:rFonts w:eastAsia="仿宋_GB2312"/>
        </w:rPr>
        <w:t>23</w:t>
      </w:r>
      <w:r>
        <w:rPr>
          <w:rFonts w:eastAsia="仿宋_GB2312"/>
        </w:rPr>
        <w:fldChar w:fldCharType="end"/>
      </w:r>
      <w:r>
        <w:rPr>
          <w:rFonts w:eastAsia="仿宋_GB2312"/>
        </w:rPr>
        <w:t>所示。</w:t>
      </w:r>
    </w:p>
    <w:p>
      <w:pPr>
        <w:pStyle w:val="19"/>
        <w:adjustRightInd w:val="0"/>
        <w:snapToGrid w:val="0"/>
        <w:rPr>
          <w:rFonts w:eastAsia="仿宋_GB2312" w:cs="Times New Roman"/>
        </w:rPr>
      </w:pPr>
      <w:bookmarkStart w:id="120" w:name="_Ref114149988"/>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23</w:t>
      </w:r>
      <w:r>
        <w:rPr>
          <w:rFonts w:eastAsia="仿宋_GB2312" w:cs="Times New Roman"/>
        </w:rPr>
        <w:fldChar w:fldCharType="end"/>
      </w:r>
      <w:bookmarkEnd w:id="120"/>
      <w:r>
        <w:rPr>
          <w:rFonts w:eastAsia="仿宋_GB2312" w:cs="Times New Roman"/>
        </w:rPr>
        <w:t>新能源环卫车</w:t>
      </w:r>
      <w:r>
        <w:rPr>
          <w:rFonts w:eastAsia="仿宋_GB2312" w:cs="Times New Roman"/>
        </w:rPr>
        <w:tab/>
      </w:r>
      <w:r>
        <w:rPr>
          <w:rFonts w:eastAsia="仿宋_GB2312" w:cs="Times New Roman"/>
        </w:rPr>
        <w:t>充电设施预测表</w:t>
      </w:r>
    </w:p>
    <w:tbl>
      <w:tblPr>
        <w:tblStyle w:val="76"/>
        <w:tblW w:w="4999" w:type="pct"/>
        <w:jc w:val="center"/>
        <w:tblLayout w:type="autofit"/>
        <w:tblCellMar>
          <w:top w:w="0" w:type="dxa"/>
          <w:left w:w="0" w:type="dxa"/>
          <w:bottom w:w="0" w:type="dxa"/>
          <w:right w:w="0" w:type="dxa"/>
        </w:tblCellMar>
      </w:tblPr>
      <w:tblGrid>
        <w:gridCol w:w="1185"/>
        <w:gridCol w:w="1187"/>
        <w:gridCol w:w="1189"/>
        <w:gridCol w:w="1188"/>
        <w:gridCol w:w="1188"/>
        <w:gridCol w:w="1189"/>
        <w:gridCol w:w="1188"/>
      </w:tblGrid>
      <w:tr>
        <w:tblPrEx>
          <w:tblCellMar>
            <w:top w:w="0" w:type="dxa"/>
            <w:left w:w="0" w:type="dxa"/>
            <w:bottom w:w="0" w:type="dxa"/>
            <w:right w:w="0" w:type="dxa"/>
          </w:tblCellMar>
        </w:tblPrEx>
        <w:trPr>
          <w:trHeight w:val="283" w:hRule="atLeast"/>
          <w:tblHeader/>
          <w:jc w:val="center"/>
        </w:trPr>
        <w:tc>
          <w:tcPr>
            <w:tcW w:w="2142" w:type="pct"/>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充电车辆（辆）</w:t>
            </w:r>
          </w:p>
        </w:tc>
        <w:tc>
          <w:tcPr>
            <w:tcW w:w="2143" w:type="pct"/>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充电桩需求（个）</w:t>
            </w:r>
          </w:p>
        </w:tc>
        <w:tc>
          <w:tcPr>
            <w:tcW w:w="714"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充电桩类型</w:t>
            </w:r>
          </w:p>
        </w:tc>
      </w:tr>
      <w:tr>
        <w:tblPrEx>
          <w:tblCellMar>
            <w:top w:w="0" w:type="dxa"/>
            <w:left w:w="0" w:type="dxa"/>
            <w:bottom w:w="0" w:type="dxa"/>
            <w:right w:w="0" w:type="dxa"/>
          </w:tblCellMar>
        </w:tblPrEx>
        <w:trPr>
          <w:trHeight w:val="283" w:hRule="atLeast"/>
          <w:jc w:val="center"/>
        </w:trPr>
        <w:tc>
          <w:tcPr>
            <w:tcW w:w="713"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2021年</w:t>
            </w:r>
          </w:p>
        </w:tc>
        <w:tc>
          <w:tcPr>
            <w:tcW w:w="71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2025年</w:t>
            </w:r>
          </w:p>
        </w:tc>
        <w:tc>
          <w:tcPr>
            <w:tcW w:w="715"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2030年</w:t>
            </w:r>
          </w:p>
        </w:tc>
        <w:tc>
          <w:tcPr>
            <w:tcW w:w="71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2021年</w:t>
            </w:r>
          </w:p>
        </w:tc>
        <w:tc>
          <w:tcPr>
            <w:tcW w:w="71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2025年</w:t>
            </w:r>
          </w:p>
        </w:tc>
        <w:tc>
          <w:tcPr>
            <w:tcW w:w="7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2030年</w:t>
            </w:r>
          </w:p>
        </w:tc>
        <w:tc>
          <w:tcPr>
            <w:tcW w:w="714" w:type="pct"/>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210" w:firstLineChars="100"/>
              <w:rPr>
                <w:rFonts w:eastAsia="仿宋_GB2312" w:cs="Times New Roman"/>
                <w:color w:val="000000"/>
                <w:kern w:val="0"/>
                <w:sz w:val="21"/>
                <w:szCs w:val="21"/>
              </w:rPr>
            </w:pPr>
            <w:r>
              <w:rPr>
                <w:rFonts w:eastAsia="仿宋_GB2312" w:cs="Times New Roman"/>
                <w:color w:val="000000"/>
                <w:kern w:val="0"/>
                <w:sz w:val="21"/>
                <w:szCs w:val="21"/>
              </w:rPr>
              <w:t>快充桩</w:t>
            </w:r>
          </w:p>
        </w:tc>
      </w:tr>
      <w:tr>
        <w:tblPrEx>
          <w:tblCellMar>
            <w:top w:w="0" w:type="dxa"/>
            <w:left w:w="0" w:type="dxa"/>
            <w:bottom w:w="0" w:type="dxa"/>
            <w:right w:w="0" w:type="dxa"/>
          </w:tblCellMar>
        </w:tblPrEx>
        <w:trPr>
          <w:trHeight w:val="283" w:hRule="atLeast"/>
          <w:jc w:val="center"/>
        </w:trPr>
        <w:tc>
          <w:tcPr>
            <w:tcW w:w="713"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60</w:t>
            </w:r>
          </w:p>
        </w:tc>
        <w:tc>
          <w:tcPr>
            <w:tcW w:w="71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312</w:t>
            </w:r>
          </w:p>
        </w:tc>
        <w:tc>
          <w:tcPr>
            <w:tcW w:w="715"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883</w:t>
            </w:r>
          </w:p>
        </w:tc>
        <w:tc>
          <w:tcPr>
            <w:tcW w:w="71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w:t>
            </w:r>
          </w:p>
        </w:tc>
        <w:tc>
          <w:tcPr>
            <w:tcW w:w="714"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104</w:t>
            </w:r>
          </w:p>
        </w:tc>
        <w:tc>
          <w:tcPr>
            <w:tcW w:w="71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295</w:t>
            </w:r>
          </w:p>
        </w:tc>
        <w:tc>
          <w:tcPr>
            <w:tcW w:w="714"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color w:val="000000"/>
                <w:sz w:val="21"/>
              </w:rPr>
            </w:pPr>
          </w:p>
        </w:tc>
      </w:tr>
    </w:tbl>
    <w:p>
      <w:pPr>
        <w:pStyle w:val="173"/>
        <w:spacing w:before="156" w:beforeLines="50"/>
        <w:ind w:firstLine="562"/>
        <w:rPr>
          <w:rFonts w:ascii="Times New Roman" w:hAnsi="Times New Roman" w:cs="Times New Roman"/>
          <w:b/>
          <w:bCs/>
          <w:kern w:val="0"/>
        </w:rPr>
      </w:pPr>
      <w:r>
        <w:rPr>
          <w:rFonts w:ascii="Times New Roman" w:hAnsi="Times New Roman" w:cs="Times New Roman"/>
          <w:b/>
          <w:bCs/>
        </w:rPr>
        <w:t>4.公务车充电设施</w:t>
      </w:r>
    </w:p>
    <w:p>
      <w:pPr>
        <w:pStyle w:val="583"/>
        <w:ind w:firstLine="560"/>
        <w:rPr>
          <w:rFonts w:eastAsia="仿宋_GB2312"/>
          <w:color w:val="000000" w:themeColor="text1"/>
          <w14:textFill>
            <w14:solidFill>
              <w14:schemeClr w14:val="tx1"/>
            </w14:solidFill>
          </w14:textFill>
        </w:rPr>
      </w:pPr>
      <w:r>
        <w:rPr>
          <w:rFonts w:eastAsia="仿宋_GB2312"/>
        </w:rPr>
        <w:t>新能源公务车运营特征与私家车不同，私家车主要服务于上下班及节假日，而公务车主要是上班时间服务于公务人员外出办事，充电方式相对灵活，主要以晚上慢充为主，白天快充为辅。结合政府部门不同公务人员对新能源公务车的使用和充电特点，本次规划新能源公务车采用1:2的桩车比。根据新能源汽车辆预测结果，至2025年、2030年，咸宁新能源公务车的车辆规模分别为1091、2726辆，</w:t>
      </w:r>
      <w:r>
        <w:rPr>
          <w:rFonts w:eastAsia="仿宋_GB2312"/>
          <w:color w:val="000000" w:themeColor="text1"/>
          <w14:textFill>
            <w14:solidFill>
              <w14:schemeClr w14:val="tx1"/>
            </w14:solidFill>
          </w14:textFill>
        </w:rPr>
        <w:t>其后基本保持稳定，则所需充电桩数量分别为546个、1363个。新能源公务车充电设施预测规模如</w:t>
      </w:r>
      <w:r>
        <w:rPr>
          <w:rFonts w:eastAsia="仿宋_GB2312"/>
          <w:color w:val="000000" w:themeColor="text1"/>
          <w14:textFill>
            <w14:solidFill>
              <w14:schemeClr w14:val="tx1"/>
            </w14:solidFill>
          </w14:textFill>
        </w:rPr>
        <w:fldChar w:fldCharType="begin"/>
      </w:r>
      <w:r>
        <w:rPr>
          <w:rFonts w:eastAsia="仿宋_GB2312"/>
          <w:color w:val="000000" w:themeColor="text1"/>
          <w14:textFill>
            <w14:solidFill>
              <w14:schemeClr w14:val="tx1"/>
            </w14:solidFill>
          </w14:textFill>
        </w:rPr>
        <w:instrText xml:space="preserve"> REF _Ref114150004 \h  \* MERGEFORMAT </w:instrText>
      </w:r>
      <w:r>
        <w:rPr>
          <w:rFonts w:eastAsia="仿宋_GB2312"/>
          <w:color w:val="000000" w:themeColor="text1"/>
          <w14:textFill>
            <w14:solidFill>
              <w14:schemeClr w14:val="tx1"/>
            </w14:solidFill>
          </w14:textFill>
        </w:rPr>
        <w:fldChar w:fldCharType="separate"/>
      </w:r>
      <w:r>
        <w:rPr>
          <w:rFonts w:eastAsia="仿宋_GB2312"/>
        </w:rPr>
        <w:t>表3</w:t>
      </w:r>
      <w:r>
        <w:rPr>
          <w:rFonts w:eastAsia="仿宋_GB2312"/>
        </w:rPr>
        <w:noBreakHyphen/>
      </w:r>
      <w:r>
        <w:rPr>
          <w:rFonts w:eastAsia="仿宋_GB2312"/>
        </w:rPr>
        <w:t>24</w:t>
      </w:r>
      <w:r>
        <w:rPr>
          <w:rFonts w:eastAsia="仿宋_GB2312"/>
          <w:color w:val="000000" w:themeColor="text1"/>
          <w14:textFill>
            <w14:solidFill>
              <w14:schemeClr w14:val="tx1"/>
            </w14:solidFill>
          </w14:textFill>
        </w:rPr>
        <w:fldChar w:fldCharType="end"/>
      </w:r>
      <w:r>
        <w:rPr>
          <w:rFonts w:eastAsia="仿宋_GB2312"/>
          <w:color w:val="000000" w:themeColor="text1"/>
          <w14:textFill>
            <w14:solidFill>
              <w14:schemeClr w14:val="tx1"/>
            </w14:solidFill>
          </w14:textFill>
        </w:rPr>
        <w:t>所示。</w:t>
      </w:r>
    </w:p>
    <w:p>
      <w:pPr>
        <w:pStyle w:val="583"/>
        <w:ind w:firstLine="560"/>
        <w:rPr>
          <w:rFonts w:eastAsia="仿宋_GB2312"/>
          <w:color w:val="000000" w:themeColor="text1"/>
          <w14:textFill>
            <w14:solidFill>
              <w14:schemeClr w14:val="tx1"/>
            </w14:solidFill>
          </w14:textFill>
        </w:rPr>
      </w:pPr>
    </w:p>
    <w:p>
      <w:pPr>
        <w:pStyle w:val="583"/>
        <w:ind w:firstLine="560"/>
        <w:rPr>
          <w:rFonts w:eastAsia="仿宋_GB2312"/>
          <w:color w:val="000000" w:themeColor="text1"/>
          <w14:textFill>
            <w14:solidFill>
              <w14:schemeClr w14:val="tx1"/>
            </w14:solidFill>
          </w14:textFill>
        </w:rPr>
      </w:pPr>
    </w:p>
    <w:p>
      <w:pPr>
        <w:pStyle w:val="583"/>
        <w:spacing w:line="240" w:lineRule="auto"/>
        <w:ind w:firstLine="0" w:firstLineChars="0"/>
        <w:jc w:val="center"/>
        <w:rPr>
          <w:rFonts w:eastAsia="仿宋_GB2312"/>
          <w:color w:val="000000" w:themeColor="text1"/>
          <w:sz w:val="21"/>
          <w:szCs w:val="21"/>
          <w14:textFill>
            <w14:solidFill>
              <w14:schemeClr w14:val="tx1"/>
            </w14:solidFill>
          </w14:textFill>
        </w:rPr>
      </w:pPr>
      <w:bookmarkStart w:id="121" w:name="_Ref114150004"/>
      <w:r>
        <w:rPr>
          <w:rFonts w:eastAsia="仿宋_GB2312"/>
          <w:b/>
          <w:sz w:val="21"/>
          <w:szCs w:val="21"/>
        </w:rPr>
        <w:t>表</w:t>
      </w:r>
      <w:r>
        <w:rPr>
          <w:rFonts w:eastAsia="仿宋_GB2312"/>
          <w:b/>
          <w:sz w:val="21"/>
          <w:szCs w:val="21"/>
        </w:rPr>
        <w:fldChar w:fldCharType="begin"/>
      </w:r>
      <w:r>
        <w:rPr>
          <w:rFonts w:eastAsia="仿宋_GB2312"/>
          <w:b/>
          <w:sz w:val="21"/>
          <w:szCs w:val="21"/>
        </w:rPr>
        <w:instrText xml:space="preserve"> STYLEREF 1 \s </w:instrText>
      </w:r>
      <w:r>
        <w:rPr>
          <w:rFonts w:eastAsia="仿宋_GB2312"/>
          <w:b/>
          <w:sz w:val="21"/>
          <w:szCs w:val="21"/>
        </w:rPr>
        <w:fldChar w:fldCharType="separate"/>
      </w:r>
      <w:r>
        <w:rPr>
          <w:rFonts w:eastAsia="仿宋_GB2312"/>
          <w:b/>
          <w:sz w:val="21"/>
          <w:szCs w:val="21"/>
        </w:rPr>
        <w:t>3</w:t>
      </w:r>
      <w:r>
        <w:rPr>
          <w:rFonts w:eastAsia="仿宋_GB2312"/>
          <w:b/>
          <w:sz w:val="21"/>
          <w:szCs w:val="21"/>
        </w:rPr>
        <w:fldChar w:fldCharType="end"/>
      </w:r>
      <w:r>
        <w:rPr>
          <w:rFonts w:eastAsia="仿宋_GB2312"/>
          <w:b/>
          <w:sz w:val="21"/>
          <w:szCs w:val="21"/>
        </w:rPr>
        <w:noBreakHyphen/>
      </w:r>
      <w:r>
        <w:rPr>
          <w:rFonts w:eastAsia="仿宋_GB2312"/>
          <w:b/>
          <w:sz w:val="21"/>
          <w:szCs w:val="21"/>
        </w:rPr>
        <w:fldChar w:fldCharType="begin"/>
      </w:r>
      <w:r>
        <w:rPr>
          <w:rFonts w:eastAsia="仿宋_GB2312"/>
          <w:b/>
          <w:sz w:val="21"/>
          <w:szCs w:val="21"/>
        </w:rPr>
        <w:instrText xml:space="preserve"> SEQ 表 \* ARABIC \s 1 </w:instrText>
      </w:r>
      <w:r>
        <w:rPr>
          <w:rFonts w:eastAsia="仿宋_GB2312"/>
          <w:b/>
          <w:sz w:val="21"/>
          <w:szCs w:val="21"/>
        </w:rPr>
        <w:fldChar w:fldCharType="separate"/>
      </w:r>
      <w:r>
        <w:rPr>
          <w:rFonts w:eastAsia="仿宋_GB2312"/>
          <w:b/>
          <w:sz w:val="21"/>
          <w:szCs w:val="21"/>
        </w:rPr>
        <w:t>24</w:t>
      </w:r>
      <w:r>
        <w:rPr>
          <w:rFonts w:eastAsia="仿宋_GB2312"/>
          <w:b/>
          <w:sz w:val="21"/>
          <w:szCs w:val="21"/>
        </w:rPr>
        <w:fldChar w:fldCharType="end"/>
      </w:r>
      <w:bookmarkEnd w:id="121"/>
      <w:r>
        <w:rPr>
          <w:rFonts w:eastAsia="仿宋_GB2312"/>
          <w:b/>
          <w:bCs/>
          <w:sz w:val="21"/>
          <w:szCs w:val="21"/>
        </w:rPr>
        <w:t>新能源公务车充电设施预测表</w:t>
      </w:r>
    </w:p>
    <w:tbl>
      <w:tblPr>
        <w:tblStyle w:val="76"/>
        <w:tblW w:w="5022" w:type="pct"/>
        <w:tblInd w:w="0" w:type="dxa"/>
        <w:tblLayout w:type="autofit"/>
        <w:tblCellMar>
          <w:top w:w="0" w:type="dxa"/>
          <w:left w:w="0" w:type="dxa"/>
          <w:bottom w:w="0" w:type="dxa"/>
          <w:right w:w="0" w:type="dxa"/>
        </w:tblCellMar>
      </w:tblPr>
      <w:tblGrid>
        <w:gridCol w:w="1181"/>
        <w:gridCol w:w="1181"/>
        <w:gridCol w:w="1183"/>
        <w:gridCol w:w="1181"/>
        <w:gridCol w:w="1181"/>
        <w:gridCol w:w="1185"/>
        <w:gridCol w:w="1271"/>
      </w:tblGrid>
      <w:tr>
        <w:tblPrEx>
          <w:tblCellMar>
            <w:top w:w="0" w:type="dxa"/>
            <w:left w:w="0" w:type="dxa"/>
            <w:bottom w:w="0" w:type="dxa"/>
            <w:right w:w="0" w:type="dxa"/>
          </w:tblCellMar>
        </w:tblPrEx>
        <w:trPr>
          <w:trHeight w:val="283" w:hRule="atLeast"/>
          <w:tblHeader/>
        </w:trPr>
        <w:tc>
          <w:tcPr>
            <w:tcW w:w="2119" w:type="pct"/>
            <w:gridSpan w:val="3"/>
            <w:tcBorders>
              <w:top w:val="single" w:color="auto" w:sz="8" w:space="0"/>
              <w:left w:val="single" w:color="auto" w:sz="8" w:space="0"/>
              <w:bottom w:val="single" w:color="auto" w:sz="8" w:space="0"/>
              <w:right w:val="single" w:color="000000" w:sz="8" w:space="0"/>
            </w:tcBorders>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充电车辆（辆）</w:t>
            </w:r>
          </w:p>
        </w:tc>
        <w:tc>
          <w:tcPr>
            <w:tcW w:w="2120" w:type="pct"/>
            <w:gridSpan w:val="3"/>
            <w:tcBorders>
              <w:top w:val="single" w:color="auto" w:sz="8" w:space="0"/>
              <w:left w:val="nil"/>
              <w:bottom w:val="single" w:color="auto" w:sz="8" w:space="0"/>
              <w:right w:val="single" w:color="000000" w:sz="8" w:space="0"/>
            </w:tcBorders>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需求充电桩（个）</w:t>
            </w:r>
          </w:p>
        </w:tc>
        <w:tc>
          <w:tcPr>
            <w:tcW w:w="759" w:type="pct"/>
            <w:tcBorders>
              <w:top w:val="single" w:color="auto" w:sz="8" w:space="0"/>
              <w:left w:val="nil"/>
              <w:bottom w:val="single" w:color="auto" w:sz="8" w:space="0"/>
              <w:right w:val="single" w:color="auto" w:sz="8" w:space="0"/>
            </w:tcBorders>
            <w:vAlign w:val="center"/>
          </w:tcPr>
          <w:p>
            <w:pPr>
              <w:widowControl/>
              <w:adjustRightInd w:val="0"/>
              <w:snapToGrid w:val="0"/>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充电桩类型</w:t>
            </w:r>
          </w:p>
        </w:tc>
      </w:tr>
      <w:tr>
        <w:tblPrEx>
          <w:tblCellMar>
            <w:top w:w="0" w:type="dxa"/>
            <w:left w:w="0" w:type="dxa"/>
            <w:bottom w:w="0" w:type="dxa"/>
            <w:right w:w="0" w:type="dxa"/>
          </w:tblCellMar>
        </w:tblPrEx>
        <w:trPr>
          <w:trHeight w:val="283" w:hRule="atLeast"/>
          <w:tblHeader/>
        </w:trPr>
        <w:tc>
          <w:tcPr>
            <w:tcW w:w="706" w:type="pct"/>
            <w:tcBorders>
              <w:top w:val="nil"/>
              <w:left w:val="single" w:color="auto" w:sz="8" w:space="0"/>
              <w:bottom w:val="single" w:color="auto" w:sz="8" w:space="0"/>
              <w:right w:val="single" w:color="auto" w:sz="8" w:space="0"/>
            </w:tcBorders>
            <w:vAlign w:val="center"/>
          </w:tcPr>
          <w:p>
            <w:pPr>
              <w:widowControl/>
              <w:adjustRightInd w:val="0"/>
              <w:snapToGrid w:val="0"/>
              <w:spacing w:line="240" w:lineRule="auto"/>
              <w:ind w:firstLine="0" w:firstLineChars="0"/>
              <w:jc w:val="center"/>
              <w:rPr>
                <w:rFonts w:eastAsia="仿宋_GB2312" w:cs="Times New Roman"/>
                <w:color w:val="000000"/>
                <w:sz w:val="21"/>
                <w:szCs w:val="21"/>
              </w:rPr>
            </w:pPr>
            <w:r>
              <w:rPr>
                <w:rFonts w:eastAsia="仿宋_GB2312" w:cs="Times New Roman"/>
                <w:color w:val="000000"/>
                <w:sz w:val="21"/>
                <w:szCs w:val="21"/>
              </w:rPr>
              <w:t>2021年</w:t>
            </w:r>
          </w:p>
        </w:tc>
        <w:tc>
          <w:tcPr>
            <w:tcW w:w="706" w:type="pct"/>
            <w:tcBorders>
              <w:top w:val="nil"/>
              <w:left w:val="nil"/>
              <w:bottom w:val="single" w:color="auto" w:sz="8" w:space="0"/>
              <w:right w:val="single" w:color="auto" w:sz="8" w:space="0"/>
            </w:tcBorders>
            <w:vAlign w:val="center"/>
          </w:tcPr>
          <w:p>
            <w:pPr>
              <w:widowControl/>
              <w:adjustRightInd w:val="0"/>
              <w:snapToGrid w:val="0"/>
              <w:spacing w:line="240" w:lineRule="auto"/>
              <w:ind w:firstLine="0" w:firstLineChars="0"/>
              <w:jc w:val="center"/>
              <w:rPr>
                <w:rFonts w:eastAsia="仿宋_GB2312" w:cs="Times New Roman"/>
                <w:color w:val="000000"/>
                <w:sz w:val="21"/>
                <w:szCs w:val="21"/>
              </w:rPr>
            </w:pPr>
            <w:r>
              <w:rPr>
                <w:rFonts w:eastAsia="仿宋_GB2312" w:cs="Times New Roman"/>
                <w:color w:val="000000"/>
                <w:sz w:val="21"/>
                <w:szCs w:val="21"/>
              </w:rPr>
              <w:t>2025年</w:t>
            </w:r>
          </w:p>
        </w:tc>
        <w:tc>
          <w:tcPr>
            <w:tcW w:w="706" w:type="pct"/>
            <w:tcBorders>
              <w:top w:val="nil"/>
              <w:left w:val="nil"/>
              <w:bottom w:val="single" w:color="auto" w:sz="8" w:space="0"/>
              <w:right w:val="single" w:color="auto" w:sz="8" w:space="0"/>
            </w:tcBorders>
            <w:vAlign w:val="center"/>
          </w:tcPr>
          <w:p>
            <w:pPr>
              <w:widowControl/>
              <w:adjustRightInd w:val="0"/>
              <w:snapToGrid w:val="0"/>
              <w:spacing w:line="240" w:lineRule="auto"/>
              <w:ind w:firstLine="0" w:firstLineChars="0"/>
              <w:jc w:val="center"/>
              <w:rPr>
                <w:rFonts w:eastAsia="仿宋_GB2312" w:cs="Times New Roman"/>
                <w:color w:val="000000"/>
                <w:sz w:val="21"/>
                <w:szCs w:val="21"/>
              </w:rPr>
            </w:pPr>
            <w:r>
              <w:rPr>
                <w:rFonts w:eastAsia="仿宋_GB2312" w:cs="Times New Roman"/>
                <w:color w:val="000000"/>
                <w:sz w:val="21"/>
                <w:szCs w:val="21"/>
              </w:rPr>
              <w:t>2030年</w:t>
            </w:r>
          </w:p>
        </w:tc>
        <w:tc>
          <w:tcPr>
            <w:tcW w:w="706" w:type="pct"/>
            <w:tcBorders>
              <w:top w:val="nil"/>
              <w:left w:val="nil"/>
              <w:bottom w:val="single" w:color="auto" w:sz="8" w:space="0"/>
              <w:right w:val="single" w:color="auto" w:sz="8" w:space="0"/>
            </w:tcBorders>
            <w:vAlign w:val="center"/>
          </w:tcPr>
          <w:p>
            <w:pPr>
              <w:widowControl/>
              <w:adjustRightInd w:val="0"/>
              <w:snapToGrid w:val="0"/>
              <w:spacing w:line="240" w:lineRule="auto"/>
              <w:ind w:firstLine="0" w:firstLineChars="0"/>
              <w:jc w:val="center"/>
              <w:rPr>
                <w:rFonts w:eastAsia="仿宋_GB2312" w:cs="Times New Roman"/>
                <w:color w:val="000000"/>
                <w:sz w:val="21"/>
                <w:szCs w:val="21"/>
              </w:rPr>
            </w:pPr>
            <w:r>
              <w:rPr>
                <w:rFonts w:eastAsia="仿宋_GB2312" w:cs="Times New Roman"/>
                <w:color w:val="000000"/>
                <w:sz w:val="21"/>
                <w:szCs w:val="21"/>
              </w:rPr>
              <w:t>2021年</w:t>
            </w:r>
          </w:p>
        </w:tc>
        <w:tc>
          <w:tcPr>
            <w:tcW w:w="706" w:type="pct"/>
            <w:tcBorders>
              <w:top w:val="nil"/>
              <w:left w:val="nil"/>
              <w:bottom w:val="single" w:color="auto" w:sz="8" w:space="0"/>
              <w:right w:val="single" w:color="auto" w:sz="8" w:space="0"/>
            </w:tcBorders>
            <w:vAlign w:val="center"/>
          </w:tcPr>
          <w:p>
            <w:pPr>
              <w:widowControl/>
              <w:adjustRightInd w:val="0"/>
              <w:snapToGrid w:val="0"/>
              <w:spacing w:line="240" w:lineRule="auto"/>
              <w:ind w:firstLine="0" w:firstLineChars="0"/>
              <w:jc w:val="center"/>
              <w:rPr>
                <w:rFonts w:eastAsia="仿宋_GB2312" w:cs="Times New Roman"/>
                <w:color w:val="000000"/>
                <w:sz w:val="21"/>
                <w:szCs w:val="21"/>
              </w:rPr>
            </w:pPr>
            <w:r>
              <w:rPr>
                <w:rFonts w:eastAsia="仿宋_GB2312" w:cs="Times New Roman"/>
                <w:color w:val="000000"/>
                <w:sz w:val="21"/>
                <w:szCs w:val="21"/>
              </w:rPr>
              <w:t>2025年</w:t>
            </w:r>
          </w:p>
        </w:tc>
        <w:tc>
          <w:tcPr>
            <w:tcW w:w="707" w:type="pct"/>
            <w:tcBorders>
              <w:top w:val="nil"/>
              <w:left w:val="nil"/>
              <w:bottom w:val="single" w:color="auto" w:sz="8" w:space="0"/>
              <w:right w:val="single" w:color="auto" w:sz="8" w:space="0"/>
            </w:tcBorders>
            <w:vAlign w:val="center"/>
          </w:tcPr>
          <w:p>
            <w:pPr>
              <w:widowControl/>
              <w:adjustRightInd w:val="0"/>
              <w:snapToGrid w:val="0"/>
              <w:spacing w:line="240" w:lineRule="auto"/>
              <w:ind w:firstLine="0" w:firstLineChars="0"/>
              <w:jc w:val="center"/>
              <w:rPr>
                <w:rFonts w:eastAsia="仿宋_GB2312" w:cs="Times New Roman"/>
                <w:color w:val="000000"/>
                <w:sz w:val="21"/>
                <w:szCs w:val="21"/>
              </w:rPr>
            </w:pPr>
            <w:r>
              <w:rPr>
                <w:rFonts w:eastAsia="仿宋_GB2312" w:cs="Times New Roman"/>
                <w:color w:val="000000"/>
                <w:sz w:val="21"/>
                <w:szCs w:val="21"/>
              </w:rPr>
              <w:t>2030年</w:t>
            </w:r>
          </w:p>
        </w:tc>
        <w:tc>
          <w:tcPr>
            <w:tcW w:w="759" w:type="pct"/>
            <w:vMerge w:val="restart"/>
            <w:tcBorders>
              <w:top w:val="nil"/>
              <w:left w:val="single" w:color="auto" w:sz="8" w:space="0"/>
              <w:bottom w:val="single" w:color="000000" w:sz="8" w:space="0"/>
              <w:right w:val="single" w:color="auto" w:sz="8"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快充桩/慢充桩</w:t>
            </w:r>
          </w:p>
        </w:tc>
      </w:tr>
      <w:tr>
        <w:tblPrEx>
          <w:tblCellMar>
            <w:top w:w="0" w:type="dxa"/>
            <w:left w:w="0" w:type="dxa"/>
            <w:bottom w:w="0" w:type="dxa"/>
            <w:right w:w="0" w:type="dxa"/>
          </w:tblCellMar>
        </w:tblPrEx>
        <w:trPr>
          <w:trHeight w:val="283" w:hRule="atLeast"/>
          <w:tblHeader/>
        </w:trPr>
        <w:tc>
          <w:tcPr>
            <w:tcW w:w="706" w:type="pct"/>
            <w:tcBorders>
              <w:top w:val="nil"/>
              <w:left w:val="single" w:color="auto" w:sz="8" w:space="0"/>
              <w:bottom w:val="single" w:color="auto" w:sz="8" w:space="0"/>
              <w:right w:val="single" w:color="auto" w:sz="8" w:space="0"/>
            </w:tcBorders>
            <w:vAlign w:val="center"/>
          </w:tcPr>
          <w:p>
            <w:pPr>
              <w:widowControl/>
              <w:spacing w:line="240" w:lineRule="auto"/>
              <w:ind w:firstLine="0" w:firstLineChars="0"/>
              <w:jc w:val="center"/>
              <w:rPr>
                <w:rFonts w:eastAsia="仿宋_GB2312" w:cs="Times New Roman"/>
                <w:color w:val="000000"/>
                <w:sz w:val="21"/>
                <w:szCs w:val="21"/>
              </w:rPr>
            </w:pPr>
            <w:r>
              <w:rPr>
                <w:rFonts w:eastAsia="仿宋_GB2312" w:cs="Times New Roman"/>
                <w:color w:val="000000"/>
                <w:kern w:val="0"/>
                <w:sz w:val="21"/>
                <w:szCs w:val="21"/>
              </w:rPr>
              <w:t>21</w:t>
            </w:r>
          </w:p>
        </w:tc>
        <w:tc>
          <w:tcPr>
            <w:tcW w:w="706" w:type="pct"/>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仿宋_GB2312" w:cs="Times New Roman"/>
                <w:color w:val="000000"/>
                <w:sz w:val="21"/>
                <w:szCs w:val="21"/>
              </w:rPr>
            </w:pPr>
            <w:r>
              <w:rPr>
                <w:rFonts w:eastAsia="仿宋_GB2312" w:cs="Times New Roman"/>
                <w:color w:val="000000"/>
                <w:kern w:val="0"/>
                <w:sz w:val="21"/>
                <w:szCs w:val="21"/>
              </w:rPr>
              <w:t>1091</w:t>
            </w:r>
          </w:p>
        </w:tc>
        <w:tc>
          <w:tcPr>
            <w:tcW w:w="706" w:type="pct"/>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仿宋_GB2312" w:cs="Times New Roman"/>
                <w:color w:val="000000"/>
                <w:sz w:val="21"/>
                <w:szCs w:val="21"/>
              </w:rPr>
            </w:pPr>
            <w:r>
              <w:rPr>
                <w:rFonts w:eastAsia="仿宋_GB2312" w:cs="Times New Roman"/>
                <w:color w:val="000000"/>
                <w:kern w:val="0"/>
                <w:sz w:val="21"/>
                <w:szCs w:val="21"/>
              </w:rPr>
              <w:t>2726</w:t>
            </w:r>
          </w:p>
        </w:tc>
        <w:tc>
          <w:tcPr>
            <w:tcW w:w="706" w:type="pct"/>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仿宋_GB2312" w:cs="Times New Roman"/>
                <w:color w:val="000000"/>
                <w:sz w:val="21"/>
                <w:szCs w:val="21"/>
              </w:rPr>
            </w:pPr>
            <w:r>
              <w:rPr>
                <w:rFonts w:eastAsia="仿宋_GB2312" w:cs="Times New Roman"/>
                <w:color w:val="000000"/>
                <w:kern w:val="0"/>
                <w:sz w:val="21"/>
                <w:szCs w:val="21"/>
              </w:rPr>
              <w:t>11</w:t>
            </w:r>
          </w:p>
        </w:tc>
        <w:tc>
          <w:tcPr>
            <w:tcW w:w="706" w:type="pct"/>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仿宋_GB2312" w:cs="Times New Roman"/>
                <w:color w:val="000000"/>
                <w:sz w:val="21"/>
                <w:szCs w:val="21"/>
              </w:rPr>
            </w:pPr>
            <w:r>
              <w:rPr>
                <w:rFonts w:eastAsia="仿宋_GB2312" w:cs="Times New Roman"/>
                <w:color w:val="000000"/>
                <w:kern w:val="0"/>
                <w:sz w:val="21"/>
                <w:szCs w:val="21"/>
              </w:rPr>
              <w:t>546</w:t>
            </w:r>
          </w:p>
        </w:tc>
        <w:tc>
          <w:tcPr>
            <w:tcW w:w="707" w:type="pct"/>
            <w:tcBorders>
              <w:top w:val="nil"/>
              <w:left w:val="nil"/>
              <w:bottom w:val="single" w:color="auto" w:sz="8" w:space="0"/>
              <w:right w:val="single" w:color="auto" w:sz="8" w:space="0"/>
            </w:tcBorders>
            <w:vAlign w:val="center"/>
          </w:tcPr>
          <w:p>
            <w:pPr>
              <w:widowControl/>
              <w:spacing w:line="240" w:lineRule="auto"/>
              <w:ind w:firstLine="0" w:firstLineChars="0"/>
              <w:jc w:val="center"/>
              <w:rPr>
                <w:rFonts w:eastAsia="仿宋_GB2312" w:cs="Times New Roman"/>
                <w:color w:val="000000"/>
                <w:sz w:val="21"/>
                <w:szCs w:val="21"/>
              </w:rPr>
            </w:pPr>
            <w:r>
              <w:rPr>
                <w:rFonts w:eastAsia="仿宋_GB2312" w:cs="Times New Roman"/>
                <w:color w:val="000000"/>
                <w:kern w:val="0"/>
                <w:sz w:val="21"/>
                <w:szCs w:val="21"/>
              </w:rPr>
              <w:t>1363</w:t>
            </w:r>
          </w:p>
        </w:tc>
        <w:tc>
          <w:tcPr>
            <w:tcW w:w="759" w:type="pct"/>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rPr>
            </w:pPr>
          </w:p>
        </w:tc>
      </w:tr>
    </w:tbl>
    <w:p>
      <w:pPr>
        <w:adjustRightInd w:val="0"/>
        <w:snapToGrid w:val="0"/>
        <w:spacing w:before="156" w:beforeLines="50"/>
        <w:ind w:firstLine="562"/>
        <w:rPr>
          <w:rFonts w:eastAsia="仿宋_GB2312" w:cs="Times New Roman"/>
          <w:b/>
          <w:bCs/>
        </w:rPr>
      </w:pPr>
      <w:r>
        <w:rPr>
          <w:rFonts w:eastAsia="仿宋_GB2312" w:cs="Times New Roman"/>
          <w:b/>
          <w:bCs/>
        </w:rPr>
        <w:t>5.出租车快充</w:t>
      </w:r>
    </w:p>
    <w:p>
      <w:pPr>
        <w:adjustRightInd w:val="0"/>
        <w:snapToGrid w:val="0"/>
        <w:ind w:firstLine="560"/>
        <w:rPr>
          <w:rFonts w:eastAsia="仿宋_GB2312" w:cs="Times New Roman"/>
        </w:rPr>
      </w:pPr>
      <w:r>
        <w:rPr>
          <w:rFonts w:eastAsia="仿宋_GB2312" w:cs="Times New Roman"/>
        </w:rPr>
        <w:t>出租车作为一种不定线、不定点、不定时且缺乏固定场站的运输方式，咸宁市现状并没有固定的出租车停车场，故本次规划未进行出租车固定场所充电站规划，所有新能源出租车车辆全部在公用桩上进行充电，全面深化咸宁市社会公用充电桩布局，满足咸宁市新能源出租车充电需求。</w:t>
      </w:r>
    </w:p>
    <w:p>
      <w:pPr>
        <w:pStyle w:val="4"/>
        <w:spacing w:before="156"/>
        <w:rPr>
          <w:rFonts w:eastAsia="仿宋_GB2312"/>
        </w:rPr>
      </w:pPr>
      <w:bookmarkStart w:id="122" w:name="_Toc117243206"/>
      <w:r>
        <w:rPr>
          <w:rFonts w:eastAsia="仿宋_GB2312"/>
        </w:rPr>
        <w:t>公用桩</w:t>
      </w:r>
      <w:bookmarkEnd w:id="122"/>
    </w:p>
    <w:p>
      <w:pPr>
        <w:adjustRightInd w:val="0"/>
        <w:snapToGrid w:val="0"/>
        <w:ind w:firstLine="560"/>
        <w:rPr>
          <w:rFonts w:eastAsia="仿宋_GB2312" w:cs="Times New Roman"/>
        </w:rPr>
      </w:pPr>
      <w:r>
        <w:rPr>
          <w:rFonts w:eastAsia="仿宋_GB2312" w:cs="Times New Roman"/>
        </w:rPr>
        <w:t>公用充电设施作为社会公用属性，主要服务与出租车快速充电以及公务车与私家车等其他车辆临时补电。根据《电动汽车充电基础设施发展指南（2015-2020年）》规定：对于示范推广地区（主要为中部地区），在新能源汽车推广应用城市，公共充电桩与电动汽车比例不低于1:8；其他城市公共充电桩与电动汽车比例力争达到1:15。咸宁虽属于示范推广地区但不属于国家划分的新能源汽车推广应用城市，</w:t>
      </w:r>
      <w:r>
        <w:rPr>
          <w:rFonts w:hint="eastAsia" w:eastAsia="仿宋_GB2312" w:cs="Times New Roman"/>
        </w:rPr>
        <w:t>但</w:t>
      </w:r>
      <w:r>
        <w:rPr>
          <w:rFonts w:eastAsia="仿宋_GB2312" w:cs="Times New Roman"/>
        </w:rPr>
        <w:t>咸宁作为旅游城市，外来新能源汽车自驾的游客较多，按照适度超前的原则，本次规划公共充电桩与电动汽车比例按不低于1:8来考虑。</w:t>
      </w:r>
    </w:p>
    <w:p>
      <w:pPr>
        <w:adjustRightInd w:val="0"/>
        <w:snapToGrid w:val="0"/>
        <w:ind w:firstLine="560"/>
        <w:rPr>
          <w:rFonts w:eastAsia="仿宋_GB2312" w:cs="Times New Roman"/>
        </w:rPr>
      </w:pPr>
      <w:r>
        <w:rPr>
          <w:rFonts w:eastAsia="仿宋_GB2312" w:cs="Times New Roman"/>
        </w:rPr>
        <w:t>考虑到咸宁不同新能源汽车（全部新能源出租车，70%新能源私家车、物流车以及公务车）在公用充电设施上充电情况，结合前文新能源汽车预测，在2025年、2030年在公用充电设施上充电的新能源汽车规模将达到20241、70182辆。在2025年、2030年的公用充电桩需求分别为2531、8773个。咸宁市公共充电设施预测如</w:t>
      </w:r>
      <w:r>
        <w:rPr>
          <w:rFonts w:eastAsia="仿宋_GB2312" w:cs="Times New Roman"/>
        </w:rPr>
        <w:fldChar w:fldCharType="begin"/>
      </w:r>
      <w:r>
        <w:rPr>
          <w:rFonts w:eastAsia="仿宋_GB2312" w:cs="Times New Roman"/>
        </w:rPr>
        <w:instrText xml:space="preserve"> REF _Ref114150038 \h  \* MERGEFORMAT </w:instrText>
      </w:r>
      <w:r>
        <w:rPr>
          <w:rFonts w:eastAsia="仿宋_GB2312" w:cs="Times New Roman"/>
        </w:rPr>
        <w:fldChar w:fldCharType="separate"/>
      </w:r>
      <w:r>
        <w:rPr>
          <w:rFonts w:eastAsia="仿宋_GB2312" w:cs="Times New Roman"/>
        </w:rPr>
        <w:t>表3</w:t>
      </w:r>
      <w:r>
        <w:rPr>
          <w:rFonts w:eastAsia="仿宋_GB2312" w:cs="Times New Roman"/>
        </w:rPr>
        <w:noBreakHyphen/>
      </w:r>
      <w:r>
        <w:rPr>
          <w:rFonts w:eastAsia="仿宋_GB2312" w:cs="Times New Roman"/>
        </w:rPr>
        <w:t>25</w:t>
      </w:r>
      <w:r>
        <w:rPr>
          <w:rFonts w:eastAsia="仿宋_GB2312" w:cs="Times New Roman"/>
        </w:rPr>
        <w:fldChar w:fldCharType="end"/>
      </w:r>
      <w:r>
        <w:rPr>
          <w:rFonts w:eastAsia="仿宋_GB2312" w:cs="Times New Roman"/>
        </w:rPr>
        <w:t>所示。</w:t>
      </w:r>
    </w:p>
    <w:p>
      <w:pPr>
        <w:adjustRightInd w:val="0"/>
        <w:snapToGrid w:val="0"/>
        <w:ind w:firstLine="560"/>
        <w:rPr>
          <w:rFonts w:eastAsia="仿宋_GB2312" w:cs="Times New Roman"/>
        </w:rPr>
      </w:pPr>
    </w:p>
    <w:p>
      <w:pPr>
        <w:pStyle w:val="19"/>
        <w:rPr>
          <w:rFonts w:eastAsia="仿宋_GB2312" w:cs="Times New Roman"/>
        </w:rPr>
      </w:pPr>
      <w:bookmarkStart w:id="123" w:name="_Ref114150038"/>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25</w:t>
      </w:r>
      <w:r>
        <w:rPr>
          <w:rFonts w:eastAsia="仿宋_GB2312" w:cs="Times New Roman"/>
        </w:rPr>
        <w:fldChar w:fldCharType="end"/>
      </w:r>
      <w:bookmarkEnd w:id="123"/>
      <w:r>
        <w:rPr>
          <w:rFonts w:eastAsia="仿宋_GB2312" w:cs="Times New Roman"/>
        </w:rPr>
        <w:t>公共</w:t>
      </w:r>
      <w:r>
        <w:rPr>
          <w:rFonts w:eastAsia="仿宋_GB2312" w:cs="Times New Roman"/>
        </w:rPr>
        <w:tab/>
      </w:r>
      <w:r>
        <w:rPr>
          <w:rFonts w:eastAsia="仿宋_GB2312" w:cs="Times New Roman"/>
        </w:rPr>
        <w:t>充电设施预测汇总表</w:t>
      </w:r>
    </w:p>
    <w:tbl>
      <w:tblPr>
        <w:tblStyle w:val="76"/>
        <w:tblW w:w="5057" w:type="pct"/>
        <w:tblInd w:w="0" w:type="dxa"/>
        <w:tblLayout w:type="autofit"/>
        <w:tblCellMar>
          <w:top w:w="0" w:type="dxa"/>
          <w:left w:w="0" w:type="dxa"/>
          <w:bottom w:w="0" w:type="dxa"/>
          <w:right w:w="0" w:type="dxa"/>
        </w:tblCellMar>
      </w:tblPr>
      <w:tblGrid>
        <w:gridCol w:w="1103"/>
        <w:gridCol w:w="1101"/>
        <w:gridCol w:w="1156"/>
        <w:gridCol w:w="1240"/>
        <w:gridCol w:w="1102"/>
        <w:gridCol w:w="1607"/>
        <w:gridCol w:w="1102"/>
      </w:tblGrid>
      <w:tr>
        <w:tblPrEx>
          <w:tblCellMar>
            <w:top w:w="0" w:type="dxa"/>
            <w:left w:w="0" w:type="dxa"/>
            <w:bottom w:w="0" w:type="dxa"/>
            <w:right w:w="0" w:type="dxa"/>
          </w:tblCellMar>
        </w:tblPrEx>
        <w:trPr>
          <w:trHeight w:val="265" w:hRule="atLeast"/>
        </w:trPr>
        <w:tc>
          <w:tcPr>
            <w:tcW w:w="1998" w:type="pct"/>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充电车辆（辆）</w:t>
            </w:r>
          </w:p>
        </w:tc>
        <w:tc>
          <w:tcPr>
            <w:tcW w:w="2347" w:type="pct"/>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需求充电桩（个）</w:t>
            </w:r>
          </w:p>
        </w:tc>
        <w:tc>
          <w:tcPr>
            <w:tcW w:w="65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充电桩类型</w:t>
            </w:r>
          </w:p>
        </w:tc>
      </w:tr>
      <w:tr>
        <w:tblPrEx>
          <w:tblCellMar>
            <w:top w:w="0" w:type="dxa"/>
            <w:left w:w="0" w:type="dxa"/>
            <w:bottom w:w="0" w:type="dxa"/>
            <w:right w:w="0" w:type="dxa"/>
          </w:tblCellMar>
        </w:tblPrEx>
        <w:trPr>
          <w:trHeight w:val="265" w:hRule="atLeast"/>
        </w:trPr>
        <w:tc>
          <w:tcPr>
            <w:tcW w:w="65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2021年</w:t>
            </w:r>
          </w:p>
        </w:tc>
        <w:tc>
          <w:tcPr>
            <w:tcW w:w="6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2025年</w:t>
            </w:r>
          </w:p>
        </w:tc>
        <w:tc>
          <w:tcPr>
            <w:tcW w:w="687"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2030年</w:t>
            </w:r>
          </w:p>
        </w:tc>
        <w:tc>
          <w:tcPr>
            <w:tcW w:w="737"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2021年</w:t>
            </w:r>
          </w:p>
        </w:tc>
        <w:tc>
          <w:tcPr>
            <w:tcW w:w="655"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2025年</w:t>
            </w:r>
          </w:p>
        </w:tc>
        <w:tc>
          <w:tcPr>
            <w:tcW w:w="955" w:type="pct"/>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2030年</w:t>
            </w:r>
          </w:p>
        </w:tc>
        <w:tc>
          <w:tcPr>
            <w:tcW w:w="655" w:type="pct"/>
            <w:vMerge w:val="restart"/>
            <w:tcBorders>
              <w:top w:val="nil"/>
              <w:left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快充桩</w:t>
            </w:r>
          </w:p>
        </w:tc>
      </w:tr>
      <w:tr>
        <w:tblPrEx>
          <w:tblCellMar>
            <w:top w:w="0" w:type="dxa"/>
            <w:left w:w="0" w:type="dxa"/>
            <w:bottom w:w="0" w:type="dxa"/>
            <w:right w:w="0" w:type="dxa"/>
          </w:tblCellMar>
        </w:tblPrEx>
        <w:trPr>
          <w:trHeight w:val="265" w:hRule="atLeast"/>
        </w:trPr>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3399</w:t>
            </w:r>
          </w:p>
        </w:tc>
        <w:tc>
          <w:tcPr>
            <w:tcW w:w="6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20241</w:t>
            </w:r>
          </w:p>
        </w:tc>
        <w:tc>
          <w:tcPr>
            <w:tcW w:w="68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70182</w:t>
            </w:r>
          </w:p>
        </w:tc>
        <w:tc>
          <w:tcPr>
            <w:tcW w:w="73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425</w:t>
            </w:r>
          </w:p>
        </w:tc>
        <w:tc>
          <w:tcPr>
            <w:tcW w:w="6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2531</w:t>
            </w:r>
          </w:p>
        </w:tc>
        <w:tc>
          <w:tcPr>
            <w:tcW w:w="9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8773</w:t>
            </w:r>
          </w:p>
        </w:tc>
        <w:tc>
          <w:tcPr>
            <w:tcW w:w="655" w:type="pct"/>
            <w:vMerge w:val="continue"/>
            <w:tcBorders>
              <w:left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r>
      <w:tr>
        <w:tblPrEx>
          <w:tblCellMar>
            <w:top w:w="0" w:type="dxa"/>
            <w:left w:w="0" w:type="dxa"/>
            <w:bottom w:w="0" w:type="dxa"/>
            <w:right w:w="0" w:type="dxa"/>
          </w:tblCellMar>
        </w:tblPrEx>
        <w:trPr>
          <w:trHeight w:val="265" w:hRule="atLeast"/>
        </w:trPr>
        <w:tc>
          <w:tcPr>
            <w:tcW w:w="1998" w:type="pct"/>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小区公用</w:t>
            </w:r>
          </w:p>
        </w:tc>
        <w:tc>
          <w:tcPr>
            <w:tcW w:w="73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228</w:t>
            </w:r>
          </w:p>
        </w:tc>
        <w:tc>
          <w:tcPr>
            <w:tcW w:w="6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1303</w:t>
            </w:r>
          </w:p>
        </w:tc>
        <w:tc>
          <w:tcPr>
            <w:tcW w:w="9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4656</w:t>
            </w:r>
          </w:p>
        </w:tc>
        <w:tc>
          <w:tcPr>
            <w:tcW w:w="655" w:type="pct"/>
            <w:vMerge w:val="continue"/>
            <w:tcBorders>
              <w:left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r>
      <w:tr>
        <w:tblPrEx>
          <w:tblCellMar>
            <w:top w:w="0" w:type="dxa"/>
            <w:left w:w="0" w:type="dxa"/>
            <w:bottom w:w="0" w:type="dxa"/>
            <w:right w:w="0" w:type="dxa"/>
          </w:tblCellMar>
        </w:tblPrEx>
        <w:trPr>
          <w:trHeight w:val="265" w:hRule="atLeast"/>
        </w:trPr>
        <w:tc>
          <w:tcPr>
            <w:tcW w:w="1998" w:type="pct"/>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社会公用</w:t>
            </w:r>
          </w:p>
        </w:tc>
        <w:tc>
          <w:tcPr>
            <w:tcW w:w="73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197</w:t>
            </w:r>
          </w:p>
        </w:tc>
        <w:tc>
          <w:tcPr>
            <w:tcW w:w="6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1228</w:t>
            </w:r>
          </w:p>
        </w:tc>
        <w:tc>
          <w:tcPr>
            <w:tcW w:w="9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4117</w:t>
            </w:r>
          </w:p>
        </w:tc>
        <w:tc>
          <w:tcPr>
            <w:tcW w:w="655" w:type="pct"/>
            <w:vMerge w:val="continue"/>
            <w:tcBorders>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r>
    </w:tbl>
    <w:p>
      <w:pPr>
        <w:pStyle w:val="581"/>
        <w:ind w:firstLine="560"/>
        <w:rPr>
          <w:rFonts w:eastAsia="仿宋_GB2312"/>
        </w:rPr>
      </w:pPr>
      <w:r>
        <w:rPr>
          <w:rFonts w:eastAsia="仿宋_GB2312"/>
        </w:rPr>
        <w:t>公用充电桩分为小区内部公共停车位上公用充电桩和小区外公用充电桩，其中小区内部公用桩按小区充电桩20%考虑公用快充桩，2025年、2030年分别为1303个和4656个；社会公用充电桩2025年、2030年分别为1228个和4117个。</w:t>
      </w:r>
    </w:p>
    <w:p>
      <w:pPr>
        <w:pStyle w:val="4"/>
        <w:spacing w:before="156"/>
        <w:rPr>
          <w:rFonts w:eastAsia="仿宋_GB2312"/>
        </w:rPr>
      </w:pPr>
      <w:bookmarkStart w:id="124" w:name="_Toc117243207"/>
      <w:r>
        <w:rPr>
          <w:rFonts w:eastAsia="仿宋_GB2312"/>
        </w:rPr>
        <w:t>自用桩</w:t>
      </w:r>
      <w:bookmarkEnd w:id="124"/>
    </w:p>
    <w:p>
      <w:pPr>
        <w:pStyle w:val="173"/>
        <w:ind w:firstLine="560"/>
        <w:rPr>
          <w:rFonts w:ascii="Times New Roman" w:hAnsi="Times New Roman" w:cs="Times New Roman"/>
        </w:rPr>
      </w:pPr>
      <w:r>
        <w:rPr>
          <w:rFonts w:ascii="Times New Roman" w:hAnsi="Times New Roman" w:cs="Times New Roman"/>
        </w:rPr>
        <w:t>自用桩主要建在居民小区私人停车位上，服务车辆类型主要为小区新能源私家车，新能源私家车的充电高峰期为晚上19:00-4:00，该时段每车单次充电时长8h左右（主要为慢充）。前面分析新能源私家车的桩车比按1:4配置充电桩，自用桩按小区内充电桩80%配置慢充桩。结合前文新能源汽车预测，在2025年、2030年新能源私家车规模将达到26046、93106辆。在充电高峰时段，新能源私家车在2025年、2030年对自用桩需求分别为5210、18622个。新能源私家车自用桩需求如</w:t>
      </w:r>
      <w:r>
        <w:rPr>
          <w:rFonts w:ascii="Times New Roman" w:hAnsi="Times New Roman" w:cs="Times New Roman"/>
        </w:rPr>
        <w:fldChar w:fldCharType="begin"/>
      </w:r>
      <w:r>
        <w:rPr>
          <w:rFonts w:ascii="Times New Roman" w:hAnsi="Times New Roman" w:cs="Times New Roman"/>
        </w:rPr>
        <w:instrText xml:space="preserve"> REF _Ref114150047 \h  \* MERGEFORMAT </w:instrText>
      </w:r>
      <w:r>
        <w:rPr>
          <w:rFonts w:ascii="Times New Roman" w:hAnsi="Times New Roman" w:cs="Times New Roman"/>
        </w:rPr>
        <w:fldChar w:fldCharType="separate"/>
      </w:r>
      <w:r>
        <w:rPr>
          <w:rFonts w:ascii="Times New Roman" w:hAnsi="Times New Roman" w:cs="Times New Roman"/>
        </w:rPr>
        <w:t>表3</w:t>
      </w:r>
      <w:r>
        <w:rPr>
          <w:rFonts w:ascii="Times New Roman" w:hAnsi="Times New Roman" w:cs="Times New Roman"/>
        </w:rPr>
        <w:noBreakHyphen/>
      </w:r>
      <w:r>
        <w:rPr>
          <w:rFonts w:ascii="Times New Roman" w:hAnsi="Times New Roman" w:cs="Times New Roman"/>
        </w:rPr>
        <w:t>26</w:t>
      </w:r>
      <w:r>
        <w:rPr>
          <w:rFonts w:ascii="Times New Roman" w:hAnsi="Times New Roman" w:cs="Times New Roman"/>
        </w:rPr>
        <w:fldChar w:fldCharType="end"/>
      </w:r>
      <w:r>
        <w:rPr>
          <w:rFonts w:ascii="Times New Roman" w:hAnsi="Times New Roman" w:cs="Times New Roman"/>
        </w:rPr>
        <w:t>所示。</w:t>
      </w:r>
    </w:p>
    <w:p>
      <w:pPr>
        <w:pStyle w:val="19"/>
        <w:rPr>
          <w:rFonts w:eastAsia="仿宋_GB2312" w:cs="Times New Roman"/>
        </w:rPr>
      </w:pPr>
      <w:bookmarkStart w:id="125" w:name="_Ref114150047"/>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26</w:t>
      </w:r>
      <w:r>
        <w:rPr>
          <w:rFonts w:eastAsia="仿宋_GB2312" w:cs="Times New Roman"/>
        </w:rPr>
        <w:fldChar w:fldCharType="end"/>
      </w:r>
      <w:bookmarkEnd w:id="125"/>
      <w:r>
        <w:rPr>
          <w:rFonts w:eastAsia="仿宋_GB2312" w:cs="Times New Roman"/>
        </w:rPr>
        <w:t>新能源私家车</w:t>
      </w:r>
      <w:r>
        <w:rPr>
          <w:rFonts w:eastAsia="仿宋_GB2312" w:cs="Times New Roman"/>
        </w:rPr>
        <w:tab/>
      </w:r>
      <w:r>
        <w:rPr>
          <w:rFonts w:eastAsia="仿宋_GB2312" w:cs="Times New Roman"/>
        </w:rPr>
        <w:t>自用桩需求表</w:t>
      </w:r>
    </w:p>
    <w:tbl>
      <w:tblPr>
        <w:tblStyle w:val="76"/>
        <w:tblW w:w="5067" w:type="pct"/>
        <w:tblInd w:w="0" w:type="dxa"/>
        <w:tblLayout w:type="autofit"/>
        <w:tblCellMar>
          <w:top w:w="0" w:type="dxa"/>
          <w:left w:w="0" w:type="dxa"/>
          <w:bottom w:w="0" w:type="dxa"/>
          <w:right w:w="0" w:type="dxa"/>
        </w:tblCellMar>
      </w:tblPr>
      <w:tblGrid>
        <w:gridCol w:w="1202"/>
        <w:gridCol w:w="1202"/>
        <w:gridCol w:w="1202"/>
        <w:gridCol w:w="1202"/>
        <w:gridCol w:w="1202"/>
        <w:gridCol w:w="1203"/>
        <w:gridCol w:w="1225"/>
      </w:tblGrid>
      <w:tr>
        <w:tblPrEx>
          <w:tblCellMar>
            <w:top w:w="0" w:type="dxa"/>
            <w:left w:w="0" w:type="dxa"/>
            <w:bottom w:w="0" w:type="dxa"/>
            <w:right w:w="0" w:type="dxa"/>
          </w:tblCellMar>
        </w:tblPrEx>
        <w:trPr>
          <w:trHeight w:val="283" w:hRule="atLeast"/>
        </w:trPr>
        <w:tc>
          <w:tcPr>
            <w:tcW w:w="2137" w:type="pct"/>
            <w:gridSpan w:val="3"/>
            <w:tcBorders>
              <w:top w:val="single" w:color="auto" w:sz="8" w:space="0"/>
              <w:left w:val="single" w:color="auto" w:sz="8" w:space="0"/>
              <w:bottom w:val="single" w:color="auto" w:sz="8" w:space="0"/>
              <w:right w:val="single" w:color="000000"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充电车辆（辆）</w:t>
            </w:r>
          </w:p>
        </w:tc>
        <w:tc>
          <w:tcPr>
            <w:tcW w:w="2137" w:type="pct"/>
            <w:gridSpan w:val="3"/>
            <w:tcBorders>
              <w:top w:val="single" w:color="auto" w:sz="8" w:space="0"/>
              <w:left w:val="nil"/>
              <w:bottom w:val="single" w:color="auto" w:sz="8" w:space="0"/>
              <w:right w:val="single" w:color="000000"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需求充电桩（个）</w:t>
            </w:r>
          </w:p>
        </w:tc>
        <w:tc>
          <w:tcPr>
            <w:tcW w:w="726" w:type="pct"/>
            <w:tcBorders>
              <w:top w:val="single" w:color="auto" w:sz="8" w:space="0"/>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充电桩类型</w:t>
            </w:r>
          </w:p>
        </w:tc>
      </w:tr>
      <w:tr>
        <w:tblPrEx>
          <w:tblCellMar>
            <w:top w:w="0" w:type="dxa"/>
            <w:left w:w="0" w:type="dxa"/>
            <w:bottom w:w="0" w:type="dxa"/>
            <w:right w:w="0" w:type="dxa"/>
          </w:tblCellMar>
        </w:tblPrEx>
        <w:trPr>
          <w:trHeight w:val="283" w:hRule="atLeast"/>
        </w:trPr>
        <w:tc>
          <w:tcPr>
            <w:tcW w:w="713" w:type="pct"/>
            <w:tcBorders>
              <w:top w:val="nil"/>
              <w:left w:val="single" w:color="auto" w:sz="8" w:space="0"/>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2021年</w:t>
            </w:r>
          </w:p>
        </w:tc>
        <w:tc>
          <w:tcPr>
            <w:tcW w:w="712"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2025年</w:t>
            </w:r>
          </w:p>
        </w:tc>
        <w:tc>
          <w:tcPr>
            <w:tcW w:w="712"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2030年</w:t>
            </w:r>
          </w:p>
        </w:tc>
        <w:tc>
          <w:tcPr>
            <w:tcW w:w="712"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2021年</w:t>
            </w:r>
          </w:p>
        </w:tc>
        <w:tc>
          <w:tcPr>
            <w:tcW w:w="712"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2025年</w:t>
            </w:r>
          </w:p>
        </w:tc>
        <w:tc>
          <w:tcPr>
            <w:tcW w:w="713"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2030年</w:t>
            </w:r>
          </w:p>
        </w:tc>
        <w:tc>
          <w:tcPr>
            <w:tcW w:w="726" w:type="pct"/>
            <w:vMerge w:val="restart"/>
            <w:tcBorders>
              <w:top w:val="nil"/>
              <w:left w:val="single" w:color="auto" w:sz="8" w:space="0"/>
              <w:bottom w:val="single" w:color="000000"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慢充桩</w:t>
            </w:r>
          </w:p>
        </w:tc>
      </w:tr>
      <w:tr>
        <w:tblPrEx>
          <w:tblCellMar>
            <w:top w:w="0" w:type="dxa"/>
            <w:left w:w="0" w:type="dxa"/>
            <w:bottom w:w="0" w:type="dxa"/>
            <w:right w:w="0" w:type="dxa"/>
          </w:tblCellMar>
        </w:tblPrEx>
        <w:trPr>
          <w:trHeight w:val="283" w:hRule="atLeast"/>
        </w:trPr>
        <w:tc>
          <w:tcPr>
            <w:tcW w:w="713" w:type="pct"/>
            <w:tcBorders>
              <w:top w:val="nil"/>
              <w:left w:val="single" w:color="auto" w:sz="8" w:space="0"/>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4545</w:t>
            </w:r>
          </w:p>
        </w:tc>
        <w:tc>
          <w:tcPr>
            <w:tcW w:w="712"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26046</w:t>
            </w:r>
          </w:p>
        </w:tc>
        <w:tc>
          <w:tcPr>
            <w:tcW w:w="712"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sz w:val="21"/>
                <w:szCs w:val="21"/>
              </w:rPr>
              <w:t>93106</w:t>
            </w:r>
          </w:p>
        </w:tc>
        <w:tc>
          <w:tcPr>
            <w:tcW w:w="712"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等线" w:cs="Times New Roman"/>
                <w:color w:val="000000"/>
                <w:sz w:val="21"/>
                <w:szCs w:val="21"/>
              </w:rPr>
              <w:t>910</w:t>
            </w:r>
          </w:p>
        </w:tc>
        <w:tc>
          <w:tcPr>
            <w:tcW w:w="712"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等线" w:cs="Times New Roman"/>
                <w:color w:val="000000"/>
                <w:sz w:val="21"/>
                <w:szCs w:val="21"/>
              </w:rPr>
              <w:t>5210</w:t>
            </w:r>
          </w:p>
        </w:tc>
        <w:tc>
          <w:tcPr>
            <w:tcW w:w="713" w:type="pct"/>
            <w:tcBorders>
              <w:top w:val="nil"/>
              <w:left w:val="nil"/>
              <w:bottom w:val="single" w:color="auto" w:sz="8" w:space="0"/>
              <w:right w:val="single" w:color="auto" w:sz="8"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等线" w:cs="Times New Roman"/>
                <w:color w:val="000000"/>
                <w:sz w:val="21"/>
                <w:szCs w:val="21"/>
              </w:rPr>
              <w:t>18622</w:t>
            </w:r>
          </w:p>
        </w:tc>
        <w:tc>
          <w:tcPr>
            <w:tcW w:w="726" w:type="pct"/>
            <w:vMerge w:val="continue"/>
            <w:tcBorders>
              <w:top w:val="nil"/>
              <w:left w:val="single" w:color="auto" w:sz="8" w:space="0"/>
              <w:bottom w:val="single" w:color="000000" w:sz="8" w:space="0"/>
              <w:right w:val="single" w:color="auto" w:sz="8"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1"/>
              </w:rPr>
            </w:pPr>
          </w:p>
        </w:tc>
      </w:tr>
    </w:tbl>
    <w:p>
      <w:pPr>
        <w:pStyle w:val="4"/>
        <w:spacing w:before="312" w:beforeLines="100"/>
        <w:rPr>
          <w:rFonts w:eastAsia="仿宋_GB2312"/>
        </w:rPr>
      </w:pPr>
      <w:bookmarkStart w:id="126" w:name="_Toc117243208"/>
      <w:r>
        <w:rPr>
          <w:rFonts w:eastAsia="仿宋_GB2312"/>
        </w:rPr>
        <w:t>设施需求汇总</w:t>
      </w:r>
      <w:bookmarkEnd w:id="126"/>
    </w:p>
    <w:p>
      <w:pPr>
        <w:pStyle w:val="173"/>
        <w:ind w:firstLine="560"/>
        <w:rPr>
          <w:rFonts w:ascii="Times New Roman" w:hAnsi="Times New Roman" w:cs="Times New Roman"/>
        </w:rPr>
      </w:pPr>
      <w:r>
        <w:rPr>
          <w:rFonts w:ascii="Times New Roman" w:hAnsi="Times New Roman" w:cs="Times New Roman"/>
        </w:rPr>
        <w:t>预测至2025年，各类新能源汽车充电桩需求为9064个，充电桩缺口为8325个，总体桩车比达1:3.3。其中自用桩缺口5210个，公共桩缺口2219个，专用桩缺口896个。全市2025年各类型充电桩缺口预测结果如</w:t>
      </w:r>
      <w:bookmarkStart w:id="127" w:name="_Ref114150056"/>
      <w:r>
        <w:rPr>
          <w:rFonts w:ascii="Times New Roman" w:hAnsi="Times New Roman" w:cs="Times New Roman"/>
        </w:rPr>
        <w:fldChar w:fldCharType="begin"/>
      </w:r>
      <w:r>
        <w:rPr>
          <w:rFonts w:ascii="Times New Roman" w:hAnsi="Times New Roman" w:cs="Times New Roman"/>
        </w:rPr>
        <w:instrText xml:space="preserve"> REF _Ref117243338 \h </w:instrText>
      </w:r>
      <w:r>
        <w:rPr>
          <w:rFonts w:ascii="Times New Roman" w:hAnsi="Times New Roman" w:cs="Times New Roman"/>
        </w:rPr>
        <w:fldChar w:fldCharType="separate"/>
      </w:r>
      <w:r>
        <w:rPr>
          <w:rFonts w:cs="Times New Roman"/>
        </w:rPr>
        <w:t>表3</w:t>
      </w:r>
      <w:r>
        <w:rPr>
          <w:rFonts w:cs="Times New Roman"/>
        </w:rPr>
        <w:noBreakHyphen/>
      </w:r>
      <w:r>
        <w:rPr>
          <w:rFonts w:cs="Times New Roman"/>
        </w:rPr>
        <w:t>27</w:t>
      </w:r>
      <w:r>
        <w:rPr>
          <w:rFonts w:ascii="Times New Roman" w:hAnsi="Times New Roman" w:cs="Times New Roman"/>
        </w:rPr>
        <w:fldChar w:fldCharType="end"/>
      </w:r>
      <w:r>
        <w:rPr>
          <w:rFonts w:hint="eastAsia" w:ascii="Times New Roman" w:hAnsi="Times New Roman" w:cs="Times New Roman"/>
        </w:rPr>
        <w:t>所示。</w:t>
      </w:r>
    </w:p>
    <w:p>
      <w:pPr>
        <w:pStyle w:val="19"/>
        <w:ind w:firstLine="360"/>
        <w:rPr>
          <w:rFonts w:eastAsia="仿宋_GB2312" w:cs="Times New Roman"/>
        </w:rPr>
      </w:pPr>
      <w:bookmarkStart w:id="128" w:name="_Ref116554534"/>
    </w:p>
    <w:p>
      <w:pPr>
        <w:pStyle w:val="19"/>
        <w:ind w:firstLine="360"/>
        <w:rPr>
          <w:rFonts w:eastAsia="仿宋_GB2312" w:cs="Times New Roman"/>
        </w:rPr>
      </w:pPr>
    </w:p>
    <w:p>
      <w:pPr>
        <w:pStyle w:val="19"/>
        <w:ind w:firstLine="360"/>
        <w:rPr>
          <w:rFonts w:eastAsia="仿宋_GB2312" w:cs="Times New Roman"/>
        </w:rPr>
      </w:pPr>
      <w:bookmarkStart w:id="129" w:name="_Ref117243338"/>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27</w:t>
      </w:r>
      <w:r>
        <w:rPr>
          <w:rFonts w:eastAsia="仿宋_GB2312" w:cs="Times New Roman"/>
        </w:rPr>
        <w:fldChar w:fldCharType="end"/>
      </w:r>
      <w:bookmarkEnd w:id="127"/>
      <w:bookmarkEnd w:id="128"/>
      <w:bookmarkEnd w:id="129"/>
      <w:r>
        <w:rPr>
          <w:rFonts w:eastAsia="仿宋_GB2312" w:cs="Times New Roman"/>
        </w:rPr>
        <w:t>全市2025年各类充电桩缺口汇总表</w:t>
      </w:r>
    </w:p>
    <w:tbl>
      <w:tblPr>
        <w:tblStyle w:val="76"/>
        <w:tblW w:w="3676" w:type="pct"/>
        <w:tblInd w:w="0" w:type="dxa"/>
        <w:tblLayout w:type="autofit"/>
        <w:tblCellMar>
          <w:top w:w="0" w:type="dxa"/>
          <w:left w:w="108" w:type="dxa"/>
          <w:bottom w:w="0" w:type="dxa"/>
          <w:right w:w="108" w:type="dxa"/>
        </w:tblCellMar>
      </w:tblPr>
      <w:tblGrid>
        <w:gridCol w:w="442"/>
        <w:gridCol w:w="732"/>
        <w:gridCol w:w="1522"/>
        <w:gridCol w:w="1277"/>
        <w:gridCol w:w="855"/>
        <w:gridCol w:w="783"/>
        <w:gridCol w:w="1009"/>
        <w:gridCol w:w="783"/>
        <w:gridCol w:w="1119"/>
      </w:tblGrid>
      <w:tr>
        <w:tblPrEx>
          <w:tblCellMar>
            <w:top w:w="0" w:type="dxa"/>
            <w:left w:w="108" w:type="dxa"/>
            <w:bottom w:w="0" w:type="dxa"/>
            <w:right w:w="108" w:type="dxa"/>
          </w:tblCellMar>
        </w:tblPrEx>
        <w:trPr>
          <w:trHeight w:val="199" w:hRule="atLeast"/>
          <w:tblHeader/>
        </w:trPr>
        <w:tc>
          <w:tcPr>
            <w:tcW w:w="26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全市</w:t>
            </w:r>
          </w:p>
        </w:tc>
        <w:tc>
          <w:tcPr>
            <w:tcW w:w="43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桩类型</w:t>
            </w:r>
          </w:p>
        </w:tc>
        <w:tc>
          <w:tcPr>
            <w:tcW w:w="89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类型</w:t>
            </w:r>
          </w:p>
        </w:tc>
        <w:tc>
          <w:tcPr>
            <w:tcW w:w="761"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充电汽车数量</w:t>
            </w:r>
          </w:p>
        </w:tc>
        <w:tc>
          <w:tcPr>
            <w:tcW w:w="48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车桩比</w:t>
            </w:r>
          </w:p>
        </w:tc>
        <w:tc>
          <w:tcPr>
            <w:tcW w:w="461"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充电桩数量</w:t>
            </w:r>
          </w:p>
        </w:tc>
        <w:tc>
          <w:tcPr>
            <w:tcW w:w="592"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现状充电桩数量</w:t>
            </w:r>
          </w:p>
        </w:tc>
        <w:tc>
          <w:tcPr>
            <w:tcW w:w="461"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充电桩缺口</w:t>
            </w:r>
          </w:p>
        </w:tc>
        <w:tc>
          <w:tcPr>
            <w:tcW w:w="65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主要充电场合</w:t>
            </w:r>
          </w:p>
        </w:tc>
      </w:tr>
      <w:tr>
        <w:tblPrEx>
          <w:tblCellMar>
            <w:top w:w="0" w:type="dxa"/>
            <w:left w:w="108" w:type="dxa"/>
            <w:bottom w:w="0" w:type="dxa"/>
            <w:right w:w="108" w:type="dxa"/>
          </w:tblCellMar>
        </w:tblPrEx>
        <w:trPr>
          <w:trHeight w:val="143" w:hRule="atLeast"/>
          <w:tblHeader/>
        </w:trPr>
        <w:tc>
          <w:tcPr>
            <w:tcW w:w="26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4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专用</w:t>
            </w:r>
          </w:p>
        </w:tc>
        <w:tc>
          <w:tcPr>
            <w:tcW w:w="8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新能源公交车</w:t>
            </w:r>
          </w:p>
        </w:tc>
        <w:tc>
          <w:tcPr>
            <w:tcW w:w="7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1209</w:t>
            </w:r>
          </w:p>
        </w:tc>
        <w:tc>
          <w:tcPr>
            <w:tcW w:w="48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403</w:t>
            </w:r>
          </w:p>
        </w:tc>
        <w:tc>
          <w:tcPr>
            <w:tcW w:w="59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639</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0</w:t>
            </w:r>
          </w:p>
        </w:tc>
        <w:tc>
          <w:tcPr>
            <w:tcW w:w="65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公交站</w:t>
            </w:r>
          </w:p>
        </w:tc>
      </w:tr>
      <w:tr>
        <w:tblPrEx>
          <w:tblCellMar>
            <w:top w:w="0" w:type="dxa"/>
            <w:left w:w="108" w:type="dxa"/>
            <w:bottom w:w="0" w:type="dxa"/>
            <w:right w:w="108" w:type="dxa"/>
          </w:tblCellMar>
        </w:tblPrEx>
        <w:trPr>
          <w:trHeight w:val="143" w:hRule="atLeast"/>
          <w:tblHeader/>
        </w:trPr>
        <w:tc>
          <w:tcPr>
            <w:tcW w:w="26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4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专用</w:t>
            </w:r>
          </w:p>
        </w:tc>
        <w:tc>
          <w:tcPr>
            <w:tcW w:w="8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新能源物流车</w:t>
            </w:r>
          </w:p>
        </w:tc>
        <w:tc>
          <w:tcPr>
            <w:tcW w:w="7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810</w:t>
            </w:r>
          </w:p>
        </w:tc>
        <w:tc>
          <w:tcPr>
            <w:tcW w:w="48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270</w:t>
            </w:r>
          </w:p>
        </w:tc>
        <w:tc>
          <w:tcPr>
            <w:tcW w:w="59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24</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246</w:t>
            </w:r>
          </w:p>
        </w:tc>
        <w:tc>
          <w:tcPr>
            <w:tcW w:w="65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物流园</w:t>
            </w:r>
          </w:p>
        </w:tc>
      </w:tr>
      <w:tr>
        <w:tblPrEx>
          <w:tblCellMar>
            <w:top w:w="0" w:type="dxa"/>
            <w:left w:w="108" w:type="dxa"/>
            <w:bottom w:w="0" w:type="dxa"/>
            <w:right w:w="108" w:type="dxa"/>
          </w:tblCellMar>
        </w:tblPrEx>
        <w:trPr>
          <w:trHeight w:val="143" w:hRule="atLeast"/>
          <w:tblHeader/>
        </w:trPr>
        <w:tc>
          <w:tcPr>
            <w:tcW w:w="26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4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专用</w:t>
            </w:r>
          </w:p>
        </w:tc>
        <w:tc>
          <w:tcPr>
            <w:tcW w:w="8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新能源环卫车</w:t>
            </w:r>
          </w:p>
        </w:tc>
        <w:tc>
          <w:tcPr>
            <w:tcW w:w="7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312</w:t>
            </w:r>
          </w:p>
        </w:tc>
        <w:tc>
          <w:tcPr>
            <w:tcW w:w="48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104</w:t>
            </w:r>
          </w:p>
        </w:tc>
        <w:tc>
          <w:tcPr>
            <w:tcW w:w="59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0</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104</w:t>
            </w:r>
          </w:p>
        </w:tc>
        <w:tc>
          <w:tcPr>
            <w:tcW w:w="65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环卫站</w:t>
            </w:r>
          </w:p>
        </w:tc>
      </w:tr>
      <w:tr>
        <w:tblPrEx>
          <w:tblCellMar>
            <w:top w:w="0" w:type="dxa"/>
            <w:left w:w="108" w:type="dxa"/>
            <w:bottom w:w="0" w:type="dxa"/>
            <w:right w:w="108" w:type="dxa"/>
          </w:tblCellMar>
        </w:tblPrEx>
        <w:trPr>
          <w:trHeight w:val="149" w:hRule="atLeast"/>
          <w:tblHeader/>
        </w:trPr>
        <w:tc>
          <w:tcPr>
            <w:tcW w:w="26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4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专用</w:t>
            </w:r>
          </w:p>
        </w:tc>
        <w:tc>
          <w:tcPr>
            <w:tcW w:w="8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新能源公务车</w:t>
            </w:r>
          </w:p>
        </w:tc>
        <w:tc>
          <w:tcPr>
            <w:tcW w:w="7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1091</w:t>
            </w:r>
          </w:p>
        </w:tc>
        <w:tc>
          <w:tcPr>
            <w:tcW w:w="48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546</w:t>
            </w:r>
          </w:p>
        </w:tc>
        <w:tc>
          <w:tcPr>
            <w:tcW w:w="59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0</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546</w:t>
            </w:r>
          </w:p>
        </w:tc>
        <w:tc>
          <w:tcPr>
            <w:tcW w:w="65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事业单位公务场所</w:t>
            </w:r>
          </w:p>
        </w:tc>
      </w:tr>
      <w:tr>
        <w:tblPrEx>
          <w:tblCellMar>
            <w:top w:w="0" w:type="dxa"/>
            <w:left w:w="108" w:type="dxa"/>
            <w:bottom w:w="0" w:type="dxa"/>
            <w:right w:w="108" w:type="dxa"/>
          </w:tblCellMar>
        </w:tblPrEx>
        <w:trPr>
          <w:trHeight w:val="143" w:hRule="atLeast"/>
          <w:tblHeader/>
        </w:trPr>
        <w:tc>
          <w:tcPr>
            <w:tcW w:w="26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4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公用</w:t>
            </w:r>
          </w:p>
        </w:tc>
        <w:tc>
          <w:tcPr>
            <w:tcW w:w="8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新能源出租车</w:t>
            </w:r>
          </w:p>
        </w:tc>
        <w:tc>
          <w:tcPr>
            <w:tcW w:w="7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678</w:t>
            </w:r>
          </w:p>
        </w:tc>
        <w:tc>
          <w:tcPr>
            <w:tcW w:w="48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1228</w:t>
            </w:r>
          </w:p>
        </w:tc>
        <w:tc>
          <w:tcPr>
            <w:tcW w:w="59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312</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916</w:t>
            </w:r>
          </w:p>
        </w:tc>
        <w:tc>
          <w:tcPr>
            <w:tcW w:w="65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公共停车场</w:t>
            </w:r>
          </w:p>
        </w:tc>
      </w:tr>
      <w:tr>
        <w:tblPrEx>
          <w:tblCellMar>
            <w:top w:w="0" w:type="dxa"/>
            <w:left w:w="108" w:type="dxa"/>
            <w:bottom w:w="0" w:type="dxa"/>
            <w:right w:w="108" w:type="dxa"/>
          </w:tblCellMar>
        </w:tblPrEx>
        <w:trPr>
          <w:trHeight w:val="143" w:hRule="atLeast"/>
          <w:tblHeader/>
        </w:trPr>
        <w:tc>
          <w:tcPr>
            <w:tcW w:w="26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4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公用+自用</w:t>
            </w:r>
          </w:p>
        </w:tc>
        <w:tc>
          <w:tcPr>
            <w:tcW w:w="8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新能源私家车</w:t>
            </w:r>
          </w:p>
        </w:tc>
        <w:tc>
          <w:tcPr>
            <w:tcW w:w="7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26046</w:t>
            </w:r>
          </w:p>
        </w:tc>
        <w:tc>
          <w:tcPr>
            <w:tcW w:w="48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等线" w:hAnsi="等线" w:eastAsia="等线" w:cs="宋体"/>
                <w:color w:val="000000"/>
                <w:kern w:val="0"/>
                <w:sz w:val="22"/>
                <w:szCs w:val="22"/>
              </w:rPr>
            </w:pPr>
            <w:r>
              <w:rPr>
                <w:rFonts w:hint="eastAsia" w:ascii="等线" w:hAnsi="等线" w:eastAsia="等线"/>
                <w:color w:val="000000"/>
                <w:sz w:val="22"/>
                <w:szCs w:val="22"/>
              </w:rPr>
              <w:t>6512</w:t>
            </w:r>
          </w:p>
        </w:tc>
        <w:tc>
          <w:tcPr>
            <w:tcW w:w="59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0</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6512</w:t>
            </w:r>
          </w:p>
        </w:tc>
        <w:tc>
          <w:tcPr>
            <w:tcW w:w="65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小区</w:t>
            </w:r>
          </w:p>
        </w:tc>
      </w:tr>
      <w:tr>
        <w:tblPrEx>
          <w:tblCellMar>
            <w:top w:w="0" w:type="dxa"/>
            <w:left w:w="108" w:type="dxa"/>
            <w:bottom w:w="0" w:type="dxa"/>
            <w:right w:w="108" w:type="dxa"/>
          </w:tblCellMar>
        </w:tblPrEx>
        <w:trPr>
          <w:trHeight w:val="170" w:hRule="atLeast"/>
          <w:tblHeader/>
        </w:trPr>
        <w:tc>
          <w:tcPr>
            <w:tcW w:w="26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320"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预测汇总</w:t>
            </w:r>
          </w:p>
        </w:tc>
        <w:tc>
          <w:tcPr>
            <w:tcW w:w="7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30146</w:t>
            </w:r>
          </w:p>
        </w:tc>
        <w:tc>
          <w:tcPr>
            <w:tcW w:w="48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9064</w:t>
            </w:r>
          </w:p>
        </w:tc>
        <w:tc>
          <w:tcPr>
            <w:tcW w:w="59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975</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8324</w:t>
            </w:r>
          </w:p>
        </w:tc>
        <w:tc>
          <w:tcPr>
            <w:tcW w:w="65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w:t>
            </w:r>
          </w:p>
        </w:tc>
      </w:tr>
      <w:tr>
        <w:tblPrEx>
          <w:tblCellMar>
            <w:top w:w="0" w:type="dxa"/>
            <w:left w:w="108" w:type="dxa"/>
            <w:bottom w:w="0" w:type="dxa"/>
            <w:right w:w="108" w:type="dxa"/>
          </w:tblCellMar>
        </w:tblPrEx>
        <w:trPr>
          <w:trHeight w:val="143" w:hRule="atLeast"/>
          <w:tblHeader/>
        </w:trPr>
        <w:tc>
          <w:tcPr>
            <w:tcW w:w="26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4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1.自用桩</w:t>
            </w:r>
          </w:p>
        </w:tc>
        <w:tc>
          <w:tcPr>
            <w:tcW w:w="8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其中小区私人桩</w:t>
            </w:r>
          </w:p>
        </w:tc>
        <w:tc>
          <w:tcPr>
            <w:tcW w:w="1249"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其中自用桩按小区桩80%建设私人桩</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5210</w:t>
            </w:r>
          </w:p>
        </w:tc>
        <w:tc>
          <w:tcPr>
            <w:tcW w:w="59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0</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5210</w:t>
            </w:r>
          </w:p>
        </w:tc>
        <w:tc>
          <w:tcPr>
            <w:tcW w:w="65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小区</w:t>
            </w:r>
          </w:p>
        </w:tc>
      </w:tr>
      <w:tr>
        <w:tblPrEx>
          <w:tblCellMar>
            <w:top w:w="0" w:type="dxa"/>
            <w:left w:w="108" w:type="dxa"/>
            <w:bottom w:w="0" w:type="dxa"/>
            <w:right w:w="108" w:type="dxa"/>
          </w:tblCellMar>
        </w:tblPrEx>
        <w:trPr>
          <w:trHeight w:val="288" w:hRule="atLeast"/>
          <w:tblHeader/>
        </w:trPr>
        <w:tc>
          <w:tcPr>
            <w:tcW w:w="26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4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2.公用桩</w:t>
            </w:r>
          </w:p>
        </w:tc>
        <w:tc>
          <w:tcPr>
            <w:tcW w:w="8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小区内部公用+外部公用桩</w:t>
            </w:r>
          </w:p>
        </w:tc>
        <w:tc>
          <w:tcPr>
            <w:tcW w:w="7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20241</w:t>
            </w:r>
          </w:p>
        </w:tc>
        <w:tc>
          <w:tcPr>
            <w:tcW w:w="48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2531</w:t>
            </w:r>
          </w:p>
        </w:tc>
        <w:tc>
          <w:tcPr>
            <w:tcW w:w="59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312</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2219</w:t>
            </w:r>
          </w:p>
        </w:tc>
        <w:tc>
          <w:tcPr>
            <w:tcW w:w="65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小区公共停车区域+外面公共停车场</w:t>
            </w:r>
          </w:p>
        </w:tc>
      </w:tr>
      <w:tr>
        <w:tblPrEx>
          <w:tblCellMar>
            <w:top w:w="0" w:type="dxa"/>
            <w:left w:w="108" w:type="dxa"/>
            <w:bottom w:w="0" w:type="dxa"/>
            <w:right w:w="108" w:type="dxa"/>
          </w:tblCellMar>
        </w:tblPrEx>
        <w:trPr>
          <w:trHeight w:val="143" w:hRule="atLeast"/>
          <w:tblHeader/>
        </w:trPr>
        <w:tc>
          <w:tcPr>
            <w:tcW w:w="26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4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2.1</w:t>
            </w:r>
          </w:p>
        </w:tc>
        <w:tc>
          <w:tcPr>
            <w:tcW w:w="8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其中小区内部公用桩</w:t>
            </w:r>
          </w:p>
        </w:tc>
        <w:tc>
          <w:tcPr>
            <w:tcW w:w="1249"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按小区桩20%建设公共桩</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1303</w:t>
            </w:r>
          </w:p>
        </w:tc>
        <w:tc>
          <w:tcPr>
            <w:tcW w:w="59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0</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1303</w:t>
            </w:r>
          </w:p>
        </w:tc>
        <w:tc>
          <w:tcPr>
            <w:tcW w:w="65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小区公共停车区域</w:t>
            </w:r>
          </w:p>
        </w:tc>
      </w:tr>
      <w:tr>
        <w:tblPrEx>
          <w:tblCellMar>
            <w:top w:w="0" w:type="dxa"/>
            <w:left w:w="108" w:type="dxa"/>
            <w:bottom w:w="0" w:type="dxa"/>
            <w:right w:w="108" w:type="dxa"/>
          </w:tblCellMar>
        </w:tblPrEx>
        <w:trPr>
          <w:trHeight w:val="143" w:hRule="atLeast"/>
          <w:tblHeader/>
        </w:trPr>
        <w:tc>
          <w:tcPr>
            <w:tcW w:w="26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4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w:t>
            </w:r>
          </w:p>
        </w:tc>
        <w:tc>
          <w:tcPr>
            <w:tcW w:w="8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外部公用</w:t>
            </w:r>
          </w:p>
        </w:tc>
        <w:tc>
          <w:tcPr>
            <w:tcW w:w="1249"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1228</w:t>
            </w:r>
          </w:p>
        </w:tc>
        <w:tc>
          <w:tcPr>
            <w:tcW w:w="59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312</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916</w:t>
            </w:r>
          </w:p>
        </w:tc>
        <w:tc>
          <w:tcPr>
            <w:tcW w:w="65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外部公共停车场</w:t>
            </w:r>
          </w:p>
        </w:tc>
      </w:tr>
      <w:tr>
        <w:tblPrEx>
          <w:tblCellMar>
            <w:top w:w="0" w:type="dxa"/>
            <w:left w:w="108" w:type="dxa"/>
            <w:bottom w:w="0" w:type="dxa"/>
            <w:right w:w="108" w:type="dxa"/>
          </w:tblCellMar>
        </w:tblPrEx>
        <w:trPr>
          <w:trHeight w:val="143" w:hRule="atLeast"/>
          <w:tblHeader/>
        </w:trPr>
        <w:tc>
          <w:tcPr>
            <w:tcW w:w="26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4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3.专用桩</w:t>
            </w:r>
          </w:p>
        </w:tc>
        <w:tc>
          <w:tcPr>
            <w:tcW w:w="8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公交环卫物流公务</w:t>
            </w:r>
          </w:p>
        </w:tc>
        <w:tc>
          <w:tcPr>
            <w:tcW w:w="7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3422</w:t>
            </w:r>
          </w:p>
        </w:tc>
        <w:tc>
          <w:tcPr>
            <w:tcW w:w="48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2.59</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1323</w:t>
            </w:r>
          </w:p>
        </w:tc>
        <w:tc>
          <w:tcPr>
            <w:tcW w:w="59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663</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896</w:t>
            </w:r>
          </w:p>
        </w:tc>
        <w:tc>
          <w:tcPr>
            <w:tcW w:w="65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专用停车场</w:t>
            </w:r>
          </w:p>
        </w:tc>
      </w:tr>
      <w:tr>
        <w:tblPrEx>
          <w:tblCellMar>
            <w:top w:w="0" w:type="dxa"/>
            <w:left w:w="108" w:type="dxa"/>
            <w:bottom w:w="0" w:type="dxa"/>
            <w:right w:w="108" w:type="dxa"/>
          </w:tblCellMar>
        </w:tblPrEx>
        <w:trPr>
          <w:trHeight w:val="181" w:hRule="atLeast"/>
          <w:tblHeader/>
        </w:trPr>
        <w:tc>
          <w:tcPr>
            <w:tcW w:w="26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320"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预测汇总</w:t>
            </w:r>
          </w:p>
        </w:tc>
        <w:tc>
          <w:tcPr>
            <w:tcW w:w="7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30146</w:t>
            </w:r>
          </w:p>
        </w:tc>
        <w:tc>
          <w:tcPr>
            <w:tcW w:w="48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2.68</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9064</w:t>
            </w:r>
          </w:p>
        </w:tc>
        <w:tc>
          <w:tcPr>
            <w:tcW w:w="59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975</w:t>
            </w:r>
          </w:p>
        </w:tc>
        <w:tc>
          <w:tcPr>
            <w:tcW w:w="46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8325</w:t>
            </w:r>
          </w:p>
        </w:tc>
        <w:tc>
          <w:tcPr>
            <w:tcW w:w="65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w:t>
            </w:r>
          </w:p>
        </w:tc>
      </w:tr>
    </w:tbl>
    <w:p>
      <w:pPr>
        <w:adjustRightInd w:val="0"/>
        <w:snapToGrid w:val="0"/>
        <w:spacing w:before="312" w:beforeLines="100"/>
        <w:ind w:firstLine="560"/>
        <w:rPr>
          <w:rFonts w:eastAsia="仿宋_GB2312" w:cs="Times New Roman"/>
        </w:rPr>
      </w:pPr>
      <w:r>
        <w:rPr>
          <w:rFonts w:eastAsia="仿宋_GB2312" w:cs="Times New Roman"/>
        </w:rPr>
        <w:t>以咸宁全市及各区县新能源汽车预测结果为边界条件，再根据各区县现状充电桩数量，给出合理的桩车比，预测出各区县新能源车充电桩缺口。</w:t>
      </w:r>
    </w:p>
    <w:p>
      <w:pPr>
        <w:adjustRightInd w:val="0"/>
        <w:snapToGrid w:val="0"/>
        <w:ind w:firstLine="562"/>
        <w:rPr>
          <w:rFonts w:eastAsia="仿宋_GB2312" w:cs="Times New Roman"/>
          <w:b/>
          <w:bCs/>
        </w:rPr>
      </w:pPr>
      <w:r>
        <w:rPr>
          <w:rFonts w:eastAsia="仿宋_GB2312" w:cs="Times New Roman"/>
          <w:b/>
          <w:bCs/>
        </w:rPr>
        <w:t>1.咸安区</w:t>
      </w:r>
    </w:p>
    <w:p>
      <w:pPr>
        <w:adjustRightInd w:val="0"/>
        <w:snapToGrid w:val="0"/>
        <w:ind w:firstLine="560"/>
        <w:rPr>
          <w:rFonts w:eastAsia="仿宋_GB2312" w:cs="Times New Roman"/>
        </w:rPr>
      </w:pPr>
      <w:r>
        <w:rPr>
          <w:rFonts w:eastAsia="仿宋_GB2312" w:cs="Times New Roman"/>
        </w:rPr>
        <w:t>预测至2025年，各类新能源汽车充电桩需求为2959个，充电桩缺口为2673个，总体桩车比达1:3.33。其中自用桩缺口1702个，公共桩缺口645个，专用桩缺口327个。咸安区2025年各类型充电桩缺口预测结果如</w:t>
      </w:r>
      <w:r>
        <w:rPr>
          <w:rFonts w:eastAsia="仿宋_GB2312" w:cs="Times New Roman"/>
        </w:rPr>
        <w:fldChar w:fldCharType="begin"/>
      </w:r>
      <w:r>
        <w:rPr>
          <w:rFonts w:eastAsia="仿宋_GB2312" w:cs="Times New Roman"/>
        </w:rPr>
        <w:instrText xml:space="preserve"> REF _Ref116554621 \h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28</w:t>
      </w:r>
      <w:r>
        <w:rPr>
          <w:rFonts w:eastAsia="仿宋_GB2312" w:cs="Times New Roman"/>
        </w:rPr>
        <w:fldChar w:fldCharType="end"/>
      </w:r>
      <w:r>
        <w:rPr>
          <w:rFonts w:hint="eastAsia" w:eastAsia="仿宋_GB2312" w:cs="Times New Roman"/>
        </w:rPr>
        <w:t>所示。</w:t>
      </w:r>
      <w:bookmarkStart w:id="130" w:name="_Ref114150074"/>
    </w:p>
    <w:p>
      <w:pPr>
        <w:adjustRightInd w:val="0"/>
        <w:snapToGrid w:val="0"/>
        <w:ind w:firstLine="560"/>
        <w:rPr>
          <w:rFonts w:eastAsia="仿宋_GB2312" w:cs="Times New Roman"/>
        </w:rPr>
      </w:pPr>
    </w:p>
    <w:p>
      <w:pPr>
        <w:adjustRightInd w:val="0"/>
        <w:snapToGrid w:val="0"/>
        <w:ind w:firstLine="560"/>
        <w:rPr>
          <w:rFonts w:eastAsia="仿宋_GB2312" w:cs="Times New Roman"/>
        </w:rPr>
      </w:pPr>
    </w:p>
    <w:p>
      <w:pPr>
        <w:adjustRightInd w:val="0"/>
        <w:snapToGrid w:val="0"/>
        <w:ind w:firstLine="560"/>
        <w:rPr>
          <w:rFonts w:eastAsia="仿宋_GB2312" w:cs="Times New Roman"/>
        </w:rPr>
      </w:pPr>
    </w:p>
    <w:p>
      <w:pPr>
        <w:pStyle w:val="19"/>
        <w:ind w:firstLine="360"/>
        <w:rPr>
          <w:rFonts w:eastAsia="仿宋_GB2312" w:cs="Times New Roman"/>
        </w:rPr>
      </w:pPr>
      <w:bookmarkStart w:id="131" w:name="_Ref116554621"/>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28</w:t>
      </w:r>
      <w:r>
        <w:rPr>
          <w:rFonts w:eastAsia="仿宋_GB2312" w:cs="Times New Roman"/>
        </w:rPr>
        <w:fldChar w:fldCharType="end"/>
      </w:r>
      <w:bookmarkEnd w:id="130"/>
      <w:bookmarkEnd w:id="131"/>
      <w:r>
        <w:rPr>
          <w:rFonts w:eastAsia="仿宋_GB2312" w:cs="Times New Roman"/>
        </w:rPr>
        <w:t xml:space="preserve">咸安区2025年各类充电桩缺口汇总表 </w:t>
      </w:r>
    </w:p>
    <w:tbl>
      <w:tblPr>
        <w:tblStyle w:val="76"/>
        <w:tblW w:w="5000" w:type="pct"/>
        <w:tblInd w:w="0" w:type="dxa"/>
        <w:tblLayout w:type="autofit"/>
        <w:tblCellMar>
          <w:top w:w="0" w:type="dxa"/>
          <w:left w:w="108" w:type="dxa"/>
          <w:bottom w:w="0" w:type="dxa"/>
          <w:right w:w="108" w:type="dxa"/>
        </w:tblCellMar>
      </w:tblPr>
      <w:tblGrid>
        <w:gridCol w:w="548"/>
        <w:gridCol w:w="723"/>
        <w:gridCol w:w="1499"/>
        <w:gridCol w:w="943"/>
        <w:gridCol w:w="1164"/>
        <w:gridCol w:w="773"/>
        <w:gridCol w:w="996"/>
        <w:gridCol w:w="773"/>
        <w:gridCol w:w="1103"/>
      </w:tblGrid>
      <w:tr>
        <w:tblPrEx>
          <w:tblCellMar>
            <w:top w:w="0" w:type="dxa"/>
            <w:left w:w="108" w:type="dxa"/>
            <w:bottom w:w="0" w:type="dxa"/>
            <w:right w:w="108" w:type="dxa"/>
          </w:tblCellMar>
        </w:tblPrEx>
        <w:trPr>
          <w:trHeight w:val="300" w:hRule="atLeast"/>
          <w:tblHeader/>
        </w:trPr>
        <w:tc>
          <w:tcPr>
            <w:tcW w:w="325"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咸安区</w:t>
            </w:r>
          </w:p>
        </w:tc>
        <w:tc>
          <w:tcPr>
            <w:tcW w:w="433"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桩类型</w:t>
            </w:r>
          </w:p>
        </w:tc>
        <w:tc>
          <w:tcPr>
            <w:tcW w:w="87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类型</w:t>
            </w:r>
          </w:p>
        </w:tc>
        <w:tc>
          <w:tcPr>
            <w:tcW w:w="54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充电汽车数量</w:t>
            </w:r>
          </w:p>
        </w:tc>
        <w:tc>
          <w:tcPr>
            <w:tcW w:w="682"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车桩比</w:t>
            </w:r>
          </w:p>
        </w:tc>
        <w:tc>
          <w:tcPr>
            <w:tcW w:w="45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充电桩数量</w:t>
            </w:r>
          </w:p>
        </w:tc>
        <w:tc>
          <w:tcPr>
            <w:tcW w:w="58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现状充电桩数量</w:t>
            </w:r>
          </w:p>
        </w:tc>
        <w:tc>
          <w:tcPr>
            <w:tcW w:w="372"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充电桩缺口</w:t>
            </w:r>
          </w:p>
        </w:tc>
        <w:tc>
          <w:tcPr>
            <w:tcW w:w="731"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主要充电场合</w:t>
            </w:r>
          </w:p>
        </w:tc>
      </w:tr>
      <w:tr>
        <w:tblPrEx>
          <w:tblCellMar>
            <w:top w:w="0" w:type="dxa"/>
            <w:left w:w="108" w:type="dxa"/>
            <w:bottom w:w="0" w:type="dxa"/>
            <w:right w:w="108" w:type="dxa"/>
          </w:tblCellMar>
        </w:tblPrEx>
        <w:trPr>
          <w:trHeight w:val="276" w:hRule="atLeast"/>
          <w:tblHeader/>
        </w:trPr>
        <w:tc>
          <w:tcPr>
            <w:tcW w:w="3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43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7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新能源公交车</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394</w:t>
            </w:r>
          </w:p>
        </w:tc>
        <w:tc>
          <w:tcPr>
            <w:tcW w:w="6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131</w:t>
            </w:r>
          </w:p>
        </w:tc>
        <w:tc>
          <w:tcPr>
            <w:tcW w:w="5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80</w:t>
            </w:r>
          </w:p>
        </w:tc>
        <w:tc>
          <w:tcPr>
            <w:tcW w:w="37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51</w:t>
            </w:r>
          </w:p>
        </w:tc>
        <w:tc>
          <w:tcPr>
            <w:tcW w:w="7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公交站</w:t>
            </w:r>
          </w:p>
        </w:tc>
      </w:tr>
      <w:tr>
        <w:tblPrEx>
          <w:tblCellMar>
            <w:top w:w="0" w:type="dxa"/>
            <w:left w:w="108" w:type="dxa"/>
            <w:bottom w:w="0" w:type="dxa"/>
            <w:right w:w="108" w:type="dxa"/>
          </w:tblCellMar>
        </w:tblPrEx>
        <w:trPr>
          <w:trHeight w:val="276" w:hRule="atLeast"/>
          <w:tblHeader/>
        </w:trPr>
        <w:tc>
          <w:tcPr>
            <w:tcW w:w="3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43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7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新能源物流车</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264</w:t>
            </w:r>
          </w:p>
        </w:tc>
        <w:tc>
          <w:tcPr>
            <w:tcW w:w="6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88</w:t>
            </w:r>
          </w:p>
        </w:tc>
        <w:tc>
          <w:tcPr>
            <w:tcW w:w="5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24</w:t>
            </w:r>
          </w:p>
        </w:tc>
        <w:tc>
          <w:tcPr>
            <w:tcW w:w="37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64</w:t>
            </w:r>
          </w:p>
        </w:tc>
        <w:tc>
          <w:tcPr>
            <w:tcW w:w="7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物流园</w:t>
            </w:r>
          </w:p>
        </w:tc>
      </w:tr>
      <w:tr>
        <w:tblPrEx>
          <w:tblCellMar>
            <w:top w:w="0" w:type="dxa"/>
            <w:left w:w="108" w:type="dxa"/>
            <w:bottom w:w="0" w:type="dxa"/>
            <w:right w:w="108" w:type="dxa"/>
          </w:tblCellMar>
        </w:tblPrEx>
        <w:trPr>
          <w:trHeight w:val="276" w:hRule="atLeast"/>
          <w:tblHeader/>
        </w:trPr>
        <w:tc>
          <w:tcPr>
            <w:tcW w:w="3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43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7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新能源环卫车</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101</w:t>
            </w:r>
          </w:p>
        </w:tc>
        <w:tc>
          <w:tcPr>
            <w:tcW w:w="6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33</w:t>
            </w:r>
          </w:p>
        </w:tc>
        <w:tc>
          <w:tcPr>
            <w:tcW w:w="5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37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33</w:t>
            </w:r>
          </w:p>
        </w:tc>
        <w:tc>
          <w:tcPr>
            <w:tcW w:w="7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环卫站</w:t>
            </w:r>
          </w:p>
        </w:tc>
      </w:tr>
      <w:tr>
        <w:tblPrEx>
          <w:tblCellMar>
            <w:top w:w="0" w:type="dxa"/>
            <w:left w:w="108" w:type="dxa"/>
            <w:bottom w:w="0" w:type="dxa"/>
            <w:right w:w="108" w:type="dxa"/>
          </w:tblCellMar>
        </w:tblPrEx>
        <w:trPr>
          <w:trHeight w:val="276" w:hRule="atLeast"/>
          <w:tblHeader/>
        </w:trPr>
        <w:tc>
          <w:tcPr>
            <w:tcW w:w="3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43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7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新能源公务车</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356</w:t>
            </w:r>
          </w:p>
        </w:tc>
        <w:tc>
          <w:tcPr>
            <w:tcW w:w="6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179</w:t>
            </w:r>
          </w:p>
        </w:tc>
        <w:tc>
          <w:tcPr>
            <w:tcW w:w="5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37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179</w:t>
            </w:r>
          </w:p>
        </w:tc>
        <w:tc>
          <w:tcPr>
            <w:tcW w:w="7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事业单位公务场所</w:t>
            </w:r>
          </w:p>
        </w:tc>
      </w:tr>
      <w:tr>
        <w:tblPrEx>
          <w:tblCellMar>
            <w:top w:w="0" w:type="dxa"/>
            <w:left w:w="108" w:type="dxa"/>
            <w:bottom w:w="0" w:type="dxa"/>
            <w:right w:w="108" w:type="dxa"/>
          </w:tblCellMar>
        </w:tblPrEx>
        <w:trPr>
          <w:trHeight w:val="276" w:hRule="atLeast"/>
          <w:tblHeader/>
        </w:trPr>
        <w:tc>
          <w:tcPr>
            <w:tcW w:w="3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43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公用</w:t>
            </w:r>
          </w:p>
        </w:tc>
        <w:tc>
          <w:tcPr>
            <w:tcW w:w="87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新能源出租车</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222</w:t>
            </w:r>
          </w:p>
        </w:tc>
        <w:tc>
          <w:tcPr>
            <w:tcW w:w="6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401</w:t>
            </w:r>
          </w:p>
        </w:tc>
        <w:tc>
          <w:tcPr>
            <w:tcW w:w="5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182</w:t>
            </w:r>
          </w:p>
        </w:tc>
        <w:tc>
          <w:tcPr>
            <w:tcW w:w="37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219</w:t>
            </w:r>
          </w:p>
        </w:tc>
        <w:tc>
          <w:tcPr>
            <w:tcW w:w="7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公共停车场</w:t>
            </w:r>
          </w:p>
        </w:tc>
      </w:tr>
      <w:tr>
        <w:tblPrEx>
          <w:tblCellMar>
            <w:top w:w="0" w:type="dxa"/>
            <w:left w:w="108" w:type="dxa"/>
            <w:bottom w:w="0" w:type="dxa"/>
            <w:right w:w="108" w:type="dxa"/>
          </w:tblCellMar>
        </w:tblPrEx>
        <w:trPr>
          <w:trHeight w:val="276" w:hRule="atLeast"/>
          <w:tblHeader/>
        </w:trPr>
        <w:tc>
          <w:tcPr>
            <w:tcW w:w="3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43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公用+自用</w:t>
            </w:r>
          </w:p>
        </w:tc>
        <w:tc>
          <w:tcPr>
            <w:tcW w:w="87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新能源私家车</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8507</w:t>
            </w:r>
          </w:p>
        </w:tc>
        <w:tc>
          <w:tcPr>
            <w:tcW w:w="6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2127</w:t>
            </w:r>
          </w:p>
        </w:tc>
        <w:tc>
          <w:tcPr>
            <w:tcW w:w="5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37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2127</w:t>
            </w:r>
          </w:p>
        </w:tc>
        <w:tc>
          <w:tcPr>
            <w:tcW w:w="7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w:t>
            </w:r>
          </w:p>
        </w:tc>
      </w:tr>
      <w:tr>
        <w:tblPrEx>
          <w:tblCellMar>
            <w:top w:w="0" w:type="dxa"/>
            <w:left w:w="108" w:type="dxa"/>
            <w:bottom w:w="0" w:type="dxa"/>
            <w:right w:w="108" w:type="dxa"/>
          </w:tblCellMar>
        </w:tblPrEx>
        <w:trPr>
          <w:trHeight w:val="276" w:hRule="atLeast"/>
          <w:tblHeader/>
        </w:trPr>
        <w:tc>
          <w:tcPr>
            <w:tcW w:w="3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1310"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预测汇总</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9844</w:t>
            </w:r>
          </w:p>
        </w:tc>
        <w:tc>
          <w:tcPr>
            <w:tcW w:w="6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2959</w:t>
            </w:r>
          </w:p>
        </w:tc>
        <w:tc>
          <w:tcPr>
            <w:tcW w:w="5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286</w:t>
            </w:r>
          </w:p>
        </w:tc>
        <w:tc>
          <w:tcPr>
            <w:tcW w:w="37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2673</w:t>
            </w:r>
          </w:p>
        </w:tc>
        <w:tc>
          <w:tcPr>
            <w:tcW w:w="7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r>
      <w:tr>
        <w:tblPrEx>
          <w:tblCellMar>
            <w:top w:w="0" w:type="dxa"/>
            <w:left w:w="108" w:type="dxa"/>
            <w:bottom w:w="0" w:type="dxa"/>
            <w:right w:w="108" w:type="dxa"/>
          </w:tblCellMar>
        </w:tblPrEx>
        <w:trPr>
          <w:trHeight w:val="276" w:hRule="atLeast"/>
          <w:tblHeader/>
        </w:trPr>
        <w:tc>
          <w:tcPr>
            <w:tcW w:w="3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43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1.自用桩</w:t>
            </w:r>
          </w:p>
        </w:tc>
        <w:tc>
          <w:tcPr>
            <w:tcW w:w="87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其中小区私人桩</w:t>
            </w:r>
          </w:p>
        </w:tc>
        <w:tc>
          <w:tcPr>
            <w:tcW w:w="1222"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其中自用桩按小区桩80%建设私人桩</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1702</w:t>
            </w:r>
          </w:p>
        </w:tc>
        <w:tc>
          <w:tcPr>
            <w:tcW w:w="5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37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1702</w:t>
            </w:r>
          </w:p>
        </w:tc>
        <w:tc>
          <w:tcPr>
            <w:tcW w:w="7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w:t>
            </w:r>
          </w:p>
        </w:tc>
      </w:tr>
      <w:tr>
        <w:tblPrEx>
          <w:tblCellMar>
            <w:top w:w="0" w:type="dxa"/>
            <w:left w:w="108" w:type="dxa"/>
            <w:bottom w:w="0" w:type="dxa"/>
            <w:right w:w="108" w:type="dxa"/>
          </w:tblCellMar>
        </w:tblPrEx>
        <w:trPr>
          <w:trHeight w:val="444" w:hRule="atLeast"/>
          <w:tblHeader/>
        </w:trPr>
        <w:tc>
          <w:tcPr>
            <w:tcW w:w="3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43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2.公用桩</w:t>
            </w:r>
          </w:p>
        </w:tc>
        <w:tc>
          <w:tcPr>
            <w:tcW w:w="87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小区内部公用+外部公用桩</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6611</w:t>
            </w:r>
          </w:p>
        </w:tc>
        <w:tc>
          <w:tcPr>
            <w:tcW w:w="6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827</w:t>
            </w:r>
          </w:p>
        </w:tc>
        <w:tc>
          <w:tcPr>
            <w:tcW w:w="5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182</w:t>
            </w:r>
          </w:p>
        </w:tc>
        <w:tc>
          <w:tcPr>
            <w:tcW w:w="37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645</w:t>
            </w:r>
          </w:p>
        </w:tc>
        <w:tc>
          <w:tcPr>
            <w:tcW w:w="73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小区公共停车区域+外面公共停车场</w:t>
            </w:r>
          </w:p>
        </w:tc>
      </w:tr>
      <w:tr>
        <w:tblPrEx>
          <w:tblCellMar>
            <w:top w:w="0" w:type="dxa"/>
            <w:left w:w="108" w:type="dxa"/>
            <w:bottom w:w="0" w:type="dxa"/>
            <w:right w:w="108" w:type="dxa"/>
          </w:tblCellMar>
        </w:tblPrEx>
        <w:trPr>
          <w:trHeight w:val="276" w:hRule="atLeast"/>
          <w:tblHeader/>
        </w:trPr>
        <w:tc>
          <w:tcPr>
            <w:tcW w:w="3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43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2.1</w:t>
            </w:r>
          </w:p>
        </w:tc>
        <w:tc>
          <w:tcPr>
            <w:tcW w:w="87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其中小区内部公用桩</w:t>
            </w:r>
          </w:p>
        </w:tc>
        <w:tc>
          <w:tcPr>
            <w:tcW w:w="1222"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按小区桩20%建设公共桩</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426</w:t>
            </w:r>
          </w:p>
        </w:tc>
        <w:tc>
          <w:tcPr>
            <w:tcW w:w="5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37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426</w:t>
            </w:r>
          </w:p>
        </w:tc>
        <w:tc>
          <w:tcPr>
            <w:tcW w:w="7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小区公共停车区域</w:t>
            </w:r>
          </w:p>
        </w:tc>
      </w:tr>
      <w:tr>
        <w:tblPrEx>
          <w:tblCellMar>
            <w:top w:w="0" w:type="dxa"/>
            <w:left w:w="108" w:type="dxa"/>
            <w:bottom w:w="0" w:type="dxa"/>
            <w:right w:w="108" w:type="dxa"/>
          </w:tblCellMar>
        </w:tblPrEx>
        <w:trPr>
          <w:trHeight w:val="276" w:hRule="atLeast"/>
          <w:tblHeader/>
        </w:trPr>
        <w:tc>
          <w:tcPr>
            <w:tcW w:w="3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43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2.2</w:t>
            </w:r>
          </w:p>
        </w:tc>
        <w:tc>
          <w:tcPr>
            <w:tcW w:w="87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1"/>
                <w:szCs w:val="21"/>
              </w:rPr>
              <w:t>外部公用</w:t>
            </w:r>
          </w:p>
        </w:tc>
        <w:tc>
          <w:tcPr>
            <w:tcW w:w="1222"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401</w:t>
            </w:r>
          </w:p>
        </w:tc>
        <w:tc>
          <w:tcPr>
            <w:tcW w:w="5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182</w:t>
            </w:r>
          </w:p>
        </w:tc>
        <w:tc>
          <w:tcPr>
            <w:tcW w:w="37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219</w:t>
            </w:r>
          </w:p>
        </w:tc>
        <w:tc>
          <w:tcPr>
            <w:tcW w:w="7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外部公共停车场</w:t>
            </w:r>
          </w:p>
        </w:tc>
      </w:tr>
      <w:tr>
        <w:tblPrEx>
          <w:tblCellMar>
            <w:top w:w="0" w:type="dxa"/>
            <w:left w:w="108" w:type="dxa"/>
            <w:bottom w:w="0" w:type="dxa"/>
            <w:right w:w="108" w:type="dxa"/>
          </w:tblCellMar>
        </w:tblPrEx>
        <w:trPr>
          <w:trHeight w:val="276" w:hRule="atLeast"/>
          <w:tblHeader/>
        </w:trPr>
        <w:tc>
          <w:tcPr>
            <w:tcW w:w="3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43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3.专用桩</w:t>
            </w:r>
          </w:p>
        </w:tc>
        <w:tc>
          <w:tcPr>
            <w:tcW w:w="87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公交环卫物流公务</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1115</w:t>
            </w:r>
          </w:p>
        </w:tc>
        <w:tc>
          <w:tcPr>
            <w:tcW w:w="6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2.59</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431</w:t>
            </w:r>
          </w:p>
        </w:tc>
        <w:tc>
          <w:tcPr>
            <w:tcW w:w="5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104</w:t>
            </w:r>
          </w:p>
        </w:tc>
        <w:tc>
          <w:tcPr>
            <w:tcW w:w="37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327</w:t>
            </w:r>
          </w:p>
        </w:tc>
        <w:tc>
          <w:tcPr>
            <w:tcW w:w="7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专用停车场</w:t>
            </w:r>
          </w:p>
        </w:tc>
      </w:tr>
      <w:tr>
        <w:tblPrEx>
          <w:tblCellMar>
            <w:top w:w="0" w:type="dxa"/>
            <w:left w:w="108" w:type="dxa"/>
            <w:bottom w:w="0" w:type="dxa"/>
            <w:right w:w="108" w:type="dxa"/>
          </w:tblCellMar>
        </w:tblPrEx>
        <w:trPr>
          <w:trHeight w:val="276" w:hRule="atLeast"/>
          <w:tblHeader/>
        </w:trPr>
        <w:tc>
          <w:tcPr>
            <w:tcW w:w="3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1310"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预测汇总</w:t>
            </w:r>
          </w:p>
        </w:tc>
        <w:tc>
          <w:tcPr>
            <w:tcW w:w="54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9844</w:t>
            </w:r>
          </w:p>
        </w:tc>
        <w:tc>
          <w:tcPr>
            <w:tcW w:w="6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3.33</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2960</w:t>
            </w:r>
          </w:p>
        </w:tc>
        <w:tc>
          <w:tcPr>
            <w:tcW w:w="5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286</w:t>
            </w:r>
          </w:p>
        </w:tc>
        <w:tc>
          <w:tcPr>
            <w:tcW w:w="37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2674</w:t>
            </w:r>
          </w:p>
        </w:tc>
        <w:tc>
          <w:tcPr>
            <w:tcW w:w="7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r>
    </w:tbl>
    <w:p>
      <w:pPr>
        <w:adjustRightInd w:val="0"/>
        <w:snapToGrid w:val="0"/>
        <w:spacing w:before="156" w:beforeLines="50"/>
        <w:ind w:firstLine="562"/>
        <w:rPr>
          <w:rFonts w:eastAsia="仿宋_GB2312" w:cs="Times New Roman"/>
          <w:b/>
          <w:bCs/>
        </w:rPr>
      </w:pPr>
      <w:r>
        <w:rPr>
          <w:rFonts w:eastAsia="仿宋_GB2312" w:cs="Times New Roman"/>
          <w:b/>
          <w:bCs/>
        </w:rPr>
        <w:t>2.赤壁市</w:t>
      </w:r>
    </w:p>
    <w:p>
      <w:pPr>
        <w:adjustRightInd w:val="0"/>
        <w:snapToGrid w:val="0"/>
        <w:ind w:firstLine="560"/>
        <w:rPr>
          <w:rFonts w:eastAsia="仿宋_GB2312" w:cs="Times New Roman"/>
        </w:rPr>
      </w:pPr>
      <w:r>
        <w:rPr>
          <w:rFonts w:eastAsia="仿宋_GB2312" w:cs="Times New Roman"/>
        </w:rPr>
        <w:t>预测至2025年，各类新能源汽车充电桩需求为1545个，充电桩缺口为1405个，总体桩车比达1:3.33。其中自用桩缺口889个，公共桩缺口360个，专用桩缺口157个。赤壁市2025年各类型充电桩缺口预测结果如</w:t>
      </w:r>
      <w:r>
        <w:rPr>
          <w:rFonts w:eastAsia="仿宋_GB2312" w:cs="Times New Roman"/>
        </w:rPr>
        <w:fldChar w:fldCharType="begin"/>
      </w:r>
      <w:r>
        <w:rPr>
          <w:rFonts w:eastAsia="仿宋_GB2312" w:cs="Times New Roman"/>
        </w:rPr>
        <w:instrText xml:space="preserve"> REF _Ref114150096 \h  \* MERGEFORMAT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29</w:t>
      </w:r>
      <w:r>
        <w:rPr>
          <w:rFonts w:eastAsia="仿宋_GB2312" w:cs="Times New Roman"/>
        </w:rPr>
        <w:fldChar w:fldCharType="end"/>
      </w:r>
      <w:r>
        <w:rPr>
          <w:rFonts w:eastAsia="仿宋_GB2312" w:cs="Times New Roman"/>
        </w:rPr>
        <w:t>所示。</w:t>
      </w:r>
    </w:p>
    <w:p>
      <w:pPr>
        <w:adjustRightInd w:val="0"/>
        <w:snapToGrid w:val="0"/>
        <w:ind w:firstLine="560"/>
        <w:rPr>
          <w:rFonts w:eastAsia="仿宋_GB2312" w:cs="Times New Roman"/>
        </w:rPr>
      </w:pPr>
    </w:p>
    <w:p>
      <w:pPr>
        <w:adjustRightInd w:val="0"/>
        <w:snapToGrid w:val="0"/>
        <w:ind w:firstLine="560"/>
        <w:rPr>
          <w:rFonts w:eastAsia="仿宋_GB2312" w:cs="Times New Roman"/>
        </w:rPr>
      </w:pPr>
    </w:p>
    <w:p>
      <w:pPr>
        <w:pStyle w:val="19"/>
        <w:ind w:firstLine="360"/>
        <w:rPr>
          <w:rFonts w:eastAsia="仿宋_GB2312" w:cs="Times New Roman"/>
        </w:rPr>
      </w:pPr>
      <w:bookmarkStart w:id="132" w:name="_Ref114150096"/>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29</w:t>
      </w:r>
      <w:r>
        <w:rPr>
          <w:rFonts w:eastAsia="仿宋_GB2312" w:cs="Times New Roman"/>
        </w:rPr>
        <w:fldChar w:fldCharType="end"/>
      </w:r>
      <w:bookmarkEnd w:id="132"/>
      <w:r>
        <w:rPr>
          <w:rFonts w:eastAsia="仿宋_GB2312" w:cs="Times New Roman"/>
        </w:rPr>
        <w:t xml:space="preserve">赤壁市2025年各类充电桩缺口汇总表 </w:t>
      </w:r>
    </w:p>
    <w:tbl>
      <w:tblPr>
        <w:tblStyle w:val="76"/>
        <w:tblW w:w="5000" w:type="pct"/>
        <w:tblInd w:w="0" w:type="dxa"/>
        <w:tblLayout w:type="autofit"/>
        <w:tblCellMar>
          <w:top w:w="0" w:type="dxa"/>
          <w:left w:w="108" w:type="dxa"/>
          <w:bottom w:w="0" w:type="dxa"/>
          <w:right w:w="108" w:type="dxa"/>
        </w:tblCellMar>
      </w:tblPr>
      <w:tblGrid>
        <w:gridCol w:w="548"/>
        <w:gridCol w:w="723"/>
        <w:gridCol w:w="1499"/>
        <w:gridCol w:w="930"/>
        <w:gridCol w:w="1177"/>
        <w:gridCol w:w="773"/>
        <w:gridCol w:w="996"/>
        <w:gridCol w:w="773"/>
        <w:gridCol w:w="1103"/>
      </w:tblGrid>
      <w:tr>
        <w:tblPrEx>
          <w:tblCellMar>
            <w:top w:w="0" w:type="dxa"/>
            <w:left w:w="108" w:type="dxa"/>
            <w:bottom w:w="0" w:type="dxa"/>
            <w:right w:w="108" w:type="dxa"/>
          </w:tblCellMar>
        </w:tblPrEx>
        <w:trPr>
          <w:trHeight w:val="279" w:hRule="atLeast"/>
          <w:tblHeader/>
        </w:trPr>
        <w:tc>
          <w:tcPr>
            <w:tcW w:w="32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赤壁市</w:t>
            </w:r>
          </w:p>
        </w:tc>
        <w:tc>
          <w:tcPr>
            <w:tcW w:w="3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桩类型</w:t>
            </w:r>
          </w:p>
        </w:tc>
        <w:tc>
          <w:tcPr>
            <w:tcW w:w="831"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类型</w:t>
            </w:r>
          </w:p>
        </w:tc>
        <w:tc>
          <w:tcPr>
            <w:tcW w:w="49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充电汽车数量</w:t>
            </w:r>
          </w:p>
        </w:tc>
        <w:tc>
          <w:tcPr>
            <w:tcW w:w="64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车桩比</w:t>
            </w:r>
          </w:p>
        </w:tc>
        <w:tc>
          <w:tcPr>
            <w:tcW w:w="46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充电桩数量</w:t>
            </w:r>
          </w:p>
        </w:tc>
        <w:tc>
          <w:tcPr>
            <w:tcW w:w="602"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现状充电桩数量</w:t>
            </w:r>
          </w:p>
        </w:tc>
        <w:tc>
          <w:tcPr>
            <w:tcW w:w="543"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充电桩缺口</w:t>
            </w:r>
          </w:p>
        </w:tc>
        <w:tc>
          <w:tcPr>
            <w:tcW w:w="713"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主要充电场合</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新能源公交车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206</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68</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338</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公交站</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新能源物流车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138</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46</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46</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物流园</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新能源环卫车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53</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17</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17</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环卫站</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新能源公务车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187</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94</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94</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事业单位公务场所</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新能源出租车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116</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209</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2"/>
                <w:szCs w:val="22"/>
              </w:rPr>
            </w:pPr>
            <w:r>
              <w:rPr>
                <w:rFonts w:eastAsia="仿宋_GB2312" w:cs="Times New Roman"/>
                <w:kern w:val="0"/>
                <w:sz w:val="22"/>
                <w:szCs w:val="22"/>
              </w:rPr>
              <w:t>72</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137</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公共停车场</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公用+自用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新能源私家车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4444</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1111</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1111</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1217"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预测汇总</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5144</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1545</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410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1405</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1.自用桩</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其中小区私人桩</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其中自用桩按小区桩80%建设私人桩</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889</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889</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w:t>
            </w:r>
          </w:p>
        </w:tc>
      </w:tr>
      <w:tr>
        <w:tblPrEx>
          <w:tblCellMar>
            <w:top w:w="0" w:type="dxa"/>
            <w:left w:w="108" w:type="dxa"/>
            <w:bottom w:w="0" w:type="dxa"/>
            <w:right w:w="108" w:type="dxa"/>
          </w:tblCellMar>
        </w:tblPrEx>
        <w:trPr>
          <w:trHeight w:val="552"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2.公用桩</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小区内部公用+外部公用桩</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3455</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432</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72</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360</w:t>
            </w:r>
          </w:p>
        </w:tc>
        <w:tc>
          <w:tcPr>
            <w:tcW w:w="71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小区公共停车区域+外面公共停车场</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2.1</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其中小区内部公用桩</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按小区桩20%建设公共桩</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223</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223</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小区公共停车区域</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2.2</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外部公用</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209</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72</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137</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外部公共停车场</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3.专用桩</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公交环卫物流公务</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584</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2.60</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225</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338</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157</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专用停车场</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1217"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预测汇总</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5144</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3.33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1546</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410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1406</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r>
    </w:tbl>
    <w:p>
      <w:pPr>
        <w:adjustRightInd w:val="0"/>
        <w:snapToGrid w:val="0"/>
        <w:spacing w:before="312" w:beforeLines="100"/>
        <w:ind w:firstLine="562"/>
        <w:rPr>
          <w:rFonts w:eastAsia="仿宋_GB2312" w:cs="Times New Roman"/>
          <w:b/>
          <w:bCs/>
        </w:rPr>
      </w:pPr>
      <w:r>
        <w:rPr>
          <w:rFonts w:eastAsia="仿宋_GB2312" w:cs="Times New Roman"/>
          <w:b/>
          <w:bCs/>
        </w:rPr>
        <w:t>3.嘉鱼县</w:t>
      </w:r>
    </w:p>
    <w:p>
      <w:pPr>
        <w:adjustRightInd w:val="0"/>
        <w:snapToGrid w:val="0"/>
        <w:ind w:firstLine="560"/>
        <w:rPr>
          <w:rFonts w:eastAsia="仿宋_GB2312" w:cs="Times New Roman"/>
        </w:rPr>
      </w:pPr>
      <w:r>
        <w:rPr>
          <w:rFonts w:eastAsia="仿宋_GB2312" w:cs="Times New Roman"/>
        </w:rPr>
        <w:t>预测至2025年，各类新能源汽车充电桩需求为842个，充电桩缺口为795个。其中自用桩缺口485个，公共桩缺口226个，专用桩缺口85个。嘉鱼县2025年各类型充电桩缺口预测结果如</w:t>
      </w:r>
      <w:r>
        <w:rPr>
          <w:rFonts w:eastAsia="仿宋_GB2312" w:cs="Times New Roman"/>
        </w:rPr>
        <w:fldChar w:fldCharType="begin"/>
      </w:r>
      <w:r>
        <w:rPr>
          <w:rFonts w:eastAsia="仿宋_GB2312" w:cs="Times New Roman"/>
        </w:rPr>
        <w:instrText xml:space="preserve"> REF _Ref116556708 \h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30</w:t>
      </w:r>
      <w:r>
        <w:rPr>
          <w:rFonts w:eastAsia="仿宋_GB2312" w:cs="Times New Roman"/>
        </w:rPr>
        <w:fldChar w:fldCharType="end"/>
      </w:r>
      <w:r>
        <w:rPr>
          <w:rFonts w:hint="eastAsia" w:eastAsia="仿宋_GB2312" w:cs="Times New Roman"/>
        </w:rPr>
        <w:t>所示。</w:t>
      </w:r>
    </w:p>
    <w:p>
      <w:pPr>
        <w:adjustRightInd w:val="0"/>
        <w:snapToGrid w:val="0"/>
        <w:ind w:firstLine="560"/>
        <w:rPr>
          <w:rFonts w:eastAsia="仿宋_GB2312" w:cs="Times New Roman"/>
        </w:rPr>
      </w:pPr>
    </w:p>
    <w:p>
      <w:pPr>
        <w:pStyle w:val="19"/>
        <w:ind w:firstLine="360"/>
        <w:rPr>
          <w:rFonts w:eastAsia="仿宋_GB2312" w:cs="Times New Roman"/>
        </w:rPr>
      </w:pPr>
      <w:bookmarkStart w:id="133" w:name="_Ref116556708"/>
      <w:bookmarkStart w:id="134" w:name="_Ref114150106"/>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30</w:t>
      </w:r>
      <w:r>
        <w:rPr>
          <w:rFonts w:eastAsia="仿宋_GB2312" w:cs="Times New Roman"/>
        </w:rPr>
        <w:fldChar w:fldCharType="end"/>
      </w:r>
      <w:bookmarkEnd w:id="133"/>
      <w:bookmarkEnd w:id="134"/>
      <w:r>
        <w:rPr>
          <w:rFonts w:eastAsia="仿宋_GB2312" w:cs="Times New Roman"/>
        </w:rPr>
        <w:t xml:space="preserve">嘉鱼县2025年各类充电桩缺口汇总表 </w:t>
      </w:r>
    </w:p>
    <w:tbl>
      <w:tblPr>
        <w:tblStyle w:val="76"/>
        <w:tblW w:w="5000" w:type="pct"/>
        <w:tblInd w:w="0" w:type="dxa"/>
        <w:tblLayout w:type="autofit"/>
        <w:tblCellMar>
          <w:top w:w="0" w:type="dxa"/>
          <w:left w:w="108" w:type="dxa"/>
          <w:bottom w:w="0" w:type="dxa"/>
          <w:right w:w="108" w:type="dxa"/>
        </w:tblCellMar>
      </w:tblPr>
      <w:tblGrid>
        <w:gridCol w:w="548"/>
        <w:gridCol w:w="723"/>
        <w:gridCol w:w="1499"/>
        <w:gridCol w:w="930"/>
        <w:gridCol w:w="1177"/>
        <w:gridCol w:w="773"/>
        <w:gridCol w:w="996"/>
        <w:gridCol w:w="773"/>
        <w:gridCol w:w="1103"/>
      </w:tblGrid>
      <w:tr>
        <w:tblPrEx>
          <w:tblCellMar>
            <w:top w:w="0" w:type="dxa"/>
            <w:left w:w="108" w:type="dxa"/>
            <w:bottom w:w="0" w:type="dxa"/>
            <w:right w:w="108" w:type="dxa"/>
          </w:tblCellMar>
        </w:tblPrEx>
        <w:trPr>
          <w:trHeight w:val="288" w:hRule="atLeast"/>
        </w:trPr>
        <w:tc>
          <w:tcPr>
            <w:tcW w:w="32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嘉鱼县</w:t>
            </w:r>
          </w:p>
        </w:tc>
        <w:tc>
          <w:tcPr>
            <w:tcW w:w="3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桩类型</w:t>
            </w:r>
          </w:p>
        </w:tc>
        <w:tc>
          <w:tcPr>
            <w:tcW w:w="831"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类型</w:t>
            </w:r>
          </w:p>
        </w:tc>
        <w:tc>
          <w:tcPr>
            <w:tcW w:w="49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充电汽车数量</w:t>
            </w:r>
          </w:p>
        </w:tc>
        <w:tc>
          <w:tcPr>
            <w:tcW w:w="64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车桩比</w:t>
            </w:r>
          </w:p>
        </w:tc>
        <w:tc>
          <w:tcPr>
            <w:tcW w:w="46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充电桩数量</w:t>
            </w:r>
          </w:p>
        </w:tc>
        <w:tc>
          <w:tcPr>
            <w:tcW w:w="602"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现状充电桩数量</w:t>
            </w:r>
          </w:p>
        </w:tc>
        <w:tc>
          <w:tcPr>
            <w:tcW w:w="543"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充电桩缺口</w:t>
            </w:r>
          </w:p>
        </w:tc>
        <w:tc>
          <w:tcPr>
            <w:tcW w:w="713"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主要充电场合</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新能源公交车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112</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37</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公交站</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新能源物流车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75</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25</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25</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物流园</w:t>
            </w:r>
          </w:p>
        </w:tc>
      </w:tr>
      <w:tr>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新能源环卫车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29</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9</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9</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环卫站</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新能源公务车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102</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51</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51</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事业单位公务场所</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新能源出租车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64</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114</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104</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公共停车场</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公用+自用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新能源私家车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2423</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606</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606</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w:t>
            </w:r>
          </w:p>
        </w:tc>
      </w:tr>
      <w:tr>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1217"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预测汇总</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2805</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842</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110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795</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1.自用桩</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其中小区私人桩</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其中自用桩按小区桩80%建设私人桩</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485</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485</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w:t>
            </w:r>
          </w:p>
        </w:tc>
      </w:tr>
      <w:tr>
        <w:tblPrEx>
          <w:tblCellMar>
            <w:top w:w="0" w:type="dxa"/>
            <w:left w:w="108" w:type="dxa"/>
            <w:bottom w:w="0" w:type="dxa"/>
            <w:right w:w="108" w:type="dxa"/>
          </w:tblCellMar>
        </w:tblPrEx>
        <w:trPr>
          <w:trHeight w:val="552"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2.公用桩</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小区内部公用+外部公用桩</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1884</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236</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226</w:t>
            </w:r>
          </w:p>
        </w:tc>
        <w:tc>
          <w:tcPr>
            <w:tcW w:w="71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小区公共停车区域+外面公共停车场</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2.1</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其中小区内部公用桩</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按小区桩20%建设公共桩</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122</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122</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小区公共停车区域</w:t>
            </w:r>
          </w:p>
        </w:tc>
      </w:tr>
      <w:tr>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2.2</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外部公用</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114</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104</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外部公共停车场</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3.专用桩</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公交环卫物流公务</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318</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2.61</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122</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85</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专用停车场</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1217"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预测汇总</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2805</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3.33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843</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110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796</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r>
    </w:tbl>
    <w:p>
      <w:pPr>
        <w:adjustRightInd w:val="0"/>
        <w:snapToGrid w:val="0"/>
        <w:spacing w:before="312" w:beforeLines="100"/>
        <w:ind w:firstLine="562"/>
        <w:rPr>
          <w:rFonts w:eastAsia="仿宋_GB2312" w:cs="Times New Roman"/>
          <w:b/>
          <w:bCs/>
        </w:rPr>
      </w:pPr>
      <w:r>
        <w:rPr>
          <w:rFonts w:eastAsia="仿宋_GB2312" w:cs="Times New Roman"/>
          <w:b/>
          <w:bCs/>
        </w:rPr>
        <w:t>4.通城县</w:t>
      </w:r>
    </w:p>
    <w:p>
      <w:pPr>
        <w:adjustRightInd w:val="0"/>
        <w:snapToGrid w:val="0"/>
        <w:ind w:firstLine="560"/>
        <w:rPr>
          <w:rFonts w:eastAsia="仿宋_GB2312" w:cs="Times New Roman"/>
        </w:rPr>
      </w:pPr>
      <w:r>
        <w:rPr>
          <w:rFonts w:eastAsia="仿宋_GB2312" w:cs="Times New Roman"/>
        </w:rPr>
        <w:t>预测至2025年，各类新能源汽车充电桩需求为1269个，充电桩缺口为1205个。其中自用桩缺口731个，公共桩缺口347个，专用桩缺口128个。通城县2025年各类型充电桩缺口预测结果如</w:t>
      </w:r>
      <w:r>
        <w:rPr>
          <w:rFonts w:eastAsia="仿宋_GB2312" w:cs="Times New Roman"/>
        </w:rPr>
        <w:fldChar w:fldCharType="begin"/>
      </w:r>
      <w:r>
        <w:rPr>
          <w:rFonts w:eastAsia="仿宋_GB2312" w:cs="Times New Roman"/>
        </w:rPr>
        <w:instrText xml:space="preserve"> REF _Ref116556784 \h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31</w:t>
      </w:r>
      <w:r>
        <w:rPr>
          <w:rFonts w:eastAsia="仿宋_GB2312" w:cs="Times New Roman"/>
        </w:rPr>
        <w:fldChar w:fldCharType="end"/>
      </w:r>
      <w:r>
        <w:rPr>
          <w:rFonts w:hint="eastAsia" w:eastAsia="仿宋_GB2312" w:cs="Times New Roman"/>
        </w:rPr>
        <w:t>所示。</w:t>
      </w:r>
    </w:p>
    <w:p>
      <w:pPr>
        <w:adjustRightInd w:val="0"/>
        <w:snapToGrid w:val="0"/>
        <w:ind w:firstLine="560"/>
        <w:rPr>
          <w:rFonts w:eastAsia="仿宋_GB2312" w:cs="Times New Roman"/>
        </w:rPr>
      </w:pPr>
    </w:p>
    <w:p>
      <w:pPr>
        <w:pStyle w:val="19"/>
        <w:ind w:firstLine="360"/>
        <w:rPr>
          <w:rFonts w:eastAsia="仿宋_GB2312" w:cs="Times New Roman"/>
        </w:rPr>
      </w:pPr>
      <w:bookmarkStart w:id="135" w:name="_Ref116556784"/>
      <w:bookmarkStart w:id="136" w:name="_Ref114150112"/>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31</w:t>
      </w:r>
      <w:r>
        <w:rPr>
          <w:rFonts w:eastAsia="仿宋_GB2312" w:cs="Times New Roman"/>
        </w:rPr>
        <w:fldChar w:fldCharType="end"/>
      </w:r>
      <w:bookmarkEnd w:id="135"/>
      <w:bookmarkEnd w:id="136"/>
      <w:r>
        <w:rPr>
          <w:rFonts w:eastAsia="仿宋_GB2312" w:cs="Times New Roman"/>
        </w:rPr>
        <w:t xml:space="preserve">通城县2025年各类充电桩缺口汇总表 </w:t>
      </w:r>
    </w:p>
    <w:tbl>
      <w:tblPr>
        <w:tblStyle w:val="76"/>
        <w:tblW w:w="5000" w:type="pct"/>
        <w:tblInd w:w="0" w:type="dxa"/>
        <w:tblLayout w:type="autofit"/>
        <w:tblCellMar>
          <w:top w:w="0" w:type="dxa"/>
          <w:left w:w="108" w:type="dxa"/>
          <w:bottom w:w="0" w:type="dxa"/>
          <w:right w:w="108" w:type="dxa"/>
        </w:tblCellMar>
      </w:tblPr>
      <w:tblGrid>
        <w:gridCol w:w="548"/>
        <w:gridCol w:w="723"/>
        <w:gridCol w:w="1499"/>
        <w:gridCol w:w="930"/>
        <w:gridCol w:w="1177"/>
        <w:gridCol w:w="773"/>
        <w:gridCol w:w="996"/>
        <w:gridCol w:w="773"/>
        <w:gridCol w:w="1103"/>
      </w:tblGrid>
      <w:tr>
        <w:tblPrEx>
          <w:tblCellMar>
            <w:top w:w="0" w:type="dxa"/>
            <w:left w:w="108" w:type="dxa"/>
            <w:bottom w:w="0" w:type="dxa"/>
            <w:right w:w="108" w:type="dxa"/>
          </w:tblCellMar>
        </w:tblPrEx>
        <w:trPr>
          <w:trHeight w:val="288" w:hRule="atLeast"/>
        </w:trPr>
        <w:tc>
          <w:tcPr>
            <w:tcW w:w="32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通城县</w:t>
            </w:r>
          </w:p>
        </w:tc>
        <w:tc>
          <w:tcPr>
            <w:tcW w:w="3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桩类型</w:t>
            </w:r>
          </w:p>
        </w:tc>
        <w:tc>
          <w:tcPr>
            <w:tcW w:w="831"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类型</w:t>
            </w:r>
          </w:p>
        </w:tc>
        <w:tc>
          <w:tcPr>
            <w:tcW w:w="49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充电汽车数量</w:t>
            </w:r>
          </w:p>
        </w:tc>
        <w:tc>
          <w:tcPr>
            <w:tcW w:w="64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车桩比</w:t>
            </w:r>
          </w:p>
        </w:tc>
        <w:tc>
          <w:tcPr>
            <w:tcW w:w="46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充电桩数量</w:t>
            </w:r>
          </w:p>
        </w:tc>
        <w:tc>
          <w:tcPr>
            <w:tcW w:w="602"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现状充电桩数量</w:t>
            </w:r>
          </w:p>
        </w:tc>
        <w:tc>
          <w:tcPr>
            <w:tcW w:w="543"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充电桩缺口</w:t>
            </w:r>
          </w:p>
        </w:tc>
        <w:tc>
          <w:tcPr>
            <w:tcW w:w="713"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主要充电场合</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新能源公交车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169</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56</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60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公交站</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新能源物流车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113</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37</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37</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物流园</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新能源环卫车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43</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14</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14</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环卫站</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新能源公务车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153</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77</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77</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事业单位公务场所</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新能源出租车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96</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172</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2"/>
                <w:szCs w:val="22"/>
              </w:rPr>
            </w:pPr>
            <w:r>
              <w:rPr>
                <w:rFonts w:eastAsia="仿宋_GB2312" w:cs="Times New Roman"/>
                <w:kern w:val="0"/>
                <w:sz w:val="22"/>
                <w:szCs w:val="22"/>
              </w:rPr>
              <w:t>8</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164</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公共停车场</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公用+自用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新能源私家车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3652</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913</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913</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1217"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预测汇总</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4226</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1269</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68</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1205</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1.自用桩</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其中小区私人桩</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其中自用桩按小区桩80%建设私人桩</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731</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731</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w:t>
            </w:r>
          </w:p>
        </w:tc>
      </w:tr>
      <w:tr>
        <w:tblPrEx>
          <w:tblCellMar>
            <w:top w:w="0" w:type="dxa"/>
            <w:left w:w="108" w:type="dxa"/>
            <w:bottom w:w="0" w:type="dxa"/>
            <w:right w:w="108" w:type="dxa"/>
          </w:tblCellMar>
        </w:tblPrEx>
        <w:trPr>
          <w:trHeight w:val="552"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2.公用桩</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小区内部公用+外部公用桩</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2839</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355</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347</w:t>
            </w:r>
          </w:p>
        </w:tc>
        <w:tc>
          <w:tcPr>
            <w:tcW w:w="71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小区公共停车区域+外面公共停车场</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2.1</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其中小区内部公用桩</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按小区桩20%建设公共桩</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183</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183</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小区公共停车区域</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2.2</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外部公用</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172</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164</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外部公共停车场</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3.专用桩</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公交环卫物流公务</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478</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2.60</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184</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60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128</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专用停车场</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1217"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预测汇总</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4226</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3.33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1270</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68</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1206</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r>
    </w:tbl>
    <w:p>
      <w:pPr>
        <w:adjustRightInd w:val="0"/>
        <w:snapToGrid w:val="0"/>
        <w:spacing w:before="312" w:beforeLines="100"/>
        <w:ind w:firstLine="562"/>
        <w:rPr>
          <w:rFonts w:eastAsia="仿宋_GB2312" w:cs="Times New Roman"/>
          <w:b/>
          <w:bCs/>
        </w:rPr>
      </w:pPr>
      <w:r>
        <w:rPr>
          <w:rFonts w:eastAsia="仿宋_GB2312" w:cs="Times New Roman"/>
          <w:b/>
          <w:bCs/>
        </w:rPr>
        <w:t>5.崇阳县</w:t>
      </w:r>
    </w:p>
    <w:p>
      <w:pPr>
        <w:adjustRightInd w:val="0"/>
        <w:snapToGrid w:val="0"/>
        <w:ind w:firstLine="560"/>
        <w:rPr>
          <w:rFonts w:eastAsia="仿宋_GB2312" w:cs="Times New Roman"/>
        </w:rPr>
      </w:pPr>
      <w:r>
        <w:rPr>
          <w:rFonts w:eastAsia="仿宋_GB2312" w:cs="Times New Roman"/>
        </w:rPr>
        <w:t>预测至2025年，各类新能源汽车充电桩需求为1274个，充电桩缺口为1214个。其中自用桩缺口734个，公共桩缺口331个，专用桩缺口150个。崇阳县2025年各类型充电桩缺口预测结果如</w:t>
      </w:r>
      <w:r>
        <w:rPr>
          <w:rFonts w:eastAsia="仿宋_GB2312" w:cs="Times New Roman"/>
        </w:rPr>
        <w:fldChar w:fldCharType="begin"/>
      </w:r>
      <w:r>
        <w:rPr>
          <w:rFonts w:eastAsia="仿宋_GB2312" w:cs="Times New Roman"/>
        </w:rPr>
        <w:instrText xml:space="preserve"> REF _Ref116556829 \h </w:instrText>
      </w:r>
      <w:r>
        <w:rPr>
          <w:rFonts w:eastAsia="仿宋_GB2312" w:cs="Times New Roman"/>
        </w:rPr>
        <w:fldChar w:fldCharType="separate"/>
      </w:r>
      <w:r>
        <w:rPr>
          <w:rFonts w:eastAsia="仿宋_GB2312" w:cs="Times New Roman"/>
        </w:rPr>
        <w:t>表 3</w:t>
      </w:r>
      <w:r>
        <w:rPr>
          <w:rFonts w:eastAsia="仿宋_GB2312" w:cs="Times New Roman"/>
        </w:rPr>
        <w:noBreakHyphen/>
      </w:r>
      <w:r>
        <w:rPr>
          <w:rFonts w:eastAsia="仿宋_GB2312" w:cs="Times New Roman"/>
        </w:rPr>
        <w:t>32</w:t>
      </w:r>
      <w:r>
        <w:rPr>
          <w:rFonts w:eastAsia="仿宋_GB2312" w:cs="Times New Roman"/>
        </w:rPr>
        <w:fldChar w:fldCharType="end"/>
      </w:r>
      <w:r>
        <w:rPr>
          <w:rFonts w:hint="eastAsia" w:eastAsia="仿宋_GB2312" w:cs="Times New Roman"/>
        </w:rPr>
        <w:t>所示。</w:t>
      </w:r>
    </w:p>
    <w:p>
      <w:pPr>
        <w:adjustRightInd w:val="0"/>
        <w:snapToGrid w:val="0"/>
        <w:ind w:firstLine="560"/>
        <w:rPr>
          <w:rFonts w:eastAsia="仿宋_GB2312" w:cs="Times New Roman"/>
        </w:rPr>
      </w:pPr>
    </w:p>
    <w:p>
      <w:pPr>
        <w:pStyle w:val="19"/>
        <w:ind w:firstLine="360"/>
        <w:rPr>
          <w:rFonts w:eastAsia="仿宋_GB2312" w:cs="Times New Roman"/>
        </w:rPr>
      </w:pPr>
      <w:bookmarkStart w:id="137" w:name="_Ref114150121"/>
    </w:p>
    <w:p>
      <w:pPr>
        <w:pStyle w:val="19"/>
        <w:ind w:firstLine="360"/>
        <w:rPr>
          <w:rFonts w:eastAsia="仿宋_GB2312" w:cs="Times New Roman"/>
        </w:rPr>
      </w:pPr>
      <w:bookmarkStart w:id="138" w:name="_Ref116556829"/>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32</w:t>
      </w:r>
      <w:r>
        <w:rPr>
          <w:rFonts w:eastAsia="仿宋_GB2312" w:cs="Times New Roman"/>
        </w:rPr>
        <w:fldChar w:fldCharType="end"/>
      </w:r>
      <w:bookmarkEnd w:id="137"/>
      <w:bookmarkEnd w:id="138"/>
      <w:r>
        <w:rPr>
          <w:rFonts w:eastAsia="仿宋_GB2312" w:cs="Times New Roman"/>
        </w:rPr>
        <w:t xml:space="preserve">崇阳县2025年各类充电桩缺口汇总表 </w:t>
      </w:r>
    </w:p>
    <w:tbl>
      <w:tblPr>
        <w:tblStyle w:val="76"/>
        <w:tblW w:w="5000" w:type="pct"/>
        <w:tblInd w:w="0" w:type="dxa"/>
        <w:tblLayout w:type="autofit"/>
        <w:tblCellMar>
          <w:top w:w="0" w:type="dxa"/>
          <w:left w:w="108" w:type="dxa"/>
          <w:bottom w:w="0" w:type="dxa"/>
          <w:right w:w="108" w:type="dxa"/>
        </w:tblCellMar>
      </w:tblPr>
      <w:tblGrid>
        <w:gridCol w:w="548"/>
        <w:gridCol w:w="723"/>
        <w:gridCol w:w="1499"/>
        <w:gridCol w:w="930"/>
        <w:gridCol w:w="1177"/>
        <w:gridCol w:w="773"/>
        <w:gridCol w:w="996"/>
        <w:gridCol w:w="773"/>
        <w:gridCol w:w="1103"/>
      </w:tblGrid>
      <w:tr>
        <w:tblPrEx>
          <w:tblCellMar>
            <w:top w:w="0" w:type="dxa"/>
            <w:left w:w="108" w:type="dxa"/>
            <w:bottom w:w="0" w:type="dxa"/>
            <w:right w:w="108" w:type="dxa"/>
          </w:tblCellMar>
        </w:tblPrEx>
        <w:trPr>
          <w:trHeight w:val="288" w:hRule="atLeast"/>
          <w:tblHeader/>
        </w:trPr>
        <w:tc>
          <w:tcPr>
            <w:tcW w:w="32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崇阳县</w:t>
            </w:r>
          </w:p>
        </w:tc>
        <w:tc>
          <w:tcPr>
            <w:tcW w:w="38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桩类型</w:t>
            </w:r>
          </w:p>
        </w:tc>
        <w:tc>
          <w:tcPr>
            <w:tcW w:w="831"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类型</w:t>
            </w:r>
          </w:p>
        </w:tc>
        <w:tc>
          <w:tcPr>
            <w:tcW w:w="49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充电汽车数量</w:t>
            </w:r>
          </w:p>
        </w:tc>
        <w:tc>
          <w:tcPr>
            <w:tcW w:w="64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车桩比</w:t>
            </w:r>
          </w:p>
        </w:tc>
        <w:tc>
          <w:tcPr>
            <w:tcW w:w="46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充电桩数量</w:t>
            </w:r>
          </w:p>
        </w:tc>
        <w:tc>
          <w:tcPr>
            <w:tcW w:w="602"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现状充电桩数量</w:t>
            </w:r>
          </w:p>
        </w:tc>
        <w:tc>
          <w:tcPr>
            <w:tcW w:w="543"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充电桩缺口</w:t>
            </w:r>
          </w:p>
        </w:tc>
        <w:tc>
          <w:tcPr>
            <w:tcW w:w="713"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主要充电场合</w:t>
            </w:r>
          </w:p>
        </w:tc>
      </w:tr>
      <w:tr>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新能源公交车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170</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56</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34</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22</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公交站</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新能源物流车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113</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37</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37</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物流园</w:t>
            </w:r>
          </w:p>
        </w:tc>
      </w:tr>
      <w:tr>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新能源环卫车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43</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14</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14</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环卫站</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新能源公务车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154</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77</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77</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事业单位公务场所</w:t>
            </w:r>
          </w:p>
        </w:tc>
      </w:tr>
      <w:tr>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新能源出租车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96</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173</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2"/>
                <w:szCs w:val="22"/>
              </w:rPr>
            </w:pPr>
            <w:r>
              <w:rPr>
                <w:rFonts w:eastAsia="仿宋_GB2312" w:cs="Times New Roman"/>
                <w:kern w:val="0"/>
                <w:sz w:val="22"/>
                <w:szCs w:val="22"/>
              </w:rPr>
              <w:t>26</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147</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公共停车场</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公用+自用</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新能源私家车</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3665</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917</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917</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w:t>
            </w:r>
          </w:p>
        </w:tc>
      </w:tr>
      <w:tr>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1217"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预测汇总</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4241</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1274</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60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1214</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1.自用桩</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其中小区私人桩</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其中自用桩按小区桩80%建设私人桩</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734</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734</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w:t>
            </w:r>
          </w:p>
        </w:tc>
      </w:tr>
      <w:tr>
        <w:trPr>
          <w:trHeight w:val="552"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2.公用桩</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小区内部公用+外部公用桩</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2849</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357</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26</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331</w:t>
            </w:r>
          </w:p>
        </w:tc>
        <w:tc>
          <w:tcPr>
            <w:tcW w:w="71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小区公共停车区域+外面公共停车场</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2.1</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其中小区内部公用桩</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按小区桩20%建设公共桩</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184</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184</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小区公共停车区域</w:t>
            </w:r>
          </w:p>
        </w:tc>
      </w:tr>
      <w:tr>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2.2</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外部公用</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173</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26</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147</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外部公共停车场</w:t>
            </w:r>
          </w:p>
        </w:tc>
      </w:tr>
      <w:tr>
        <w:tblPrEx>
          <w:tblCellMar>
            <w:top w:w="0" w:type="dxa"/>
            <w:left w:w="108" w:type="dxa"/>
            <w:bottom w:w="0" w:type="dxa"/>
            <w:right w:w="108" w:type="dxa"/>
          </w:tblCellMar>
        </w:tblPrEx>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3.专用桩</w:t>
            </w:r>
          </w:p>
        </w:tc>
        <w:tc>
          <w:tcPr>
            <w:tcW w:w="83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公交环卫物流公务</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480</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2.61</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184</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34</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150</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专用停车场</w:t>
            </w:r>
          </w:p>
        </w:tc>
      </w:tr>
      <w:tr>
        <w:trPr>
          <w:trHeight w:val="276" w:hRule="atLeast"/>
          <w:tblHeader/>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color w:val="000000"/>
                <w:kern w:val="0"/>
                <w:sz w:val="22"/>
                <w:szCs w:val="22"/>
              </w:rPr>
            </w:pPr>
          </w:p>
        </w:tc>
        <w:tc>
          <w:tcPr>
            <w:tcW w:w="1217"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预测汇总</w:t>
            </w:r>
          </w:p>
        </w:tc>
        <w:tc>
          <w:tcPr>
            <w:tcW w:w="4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4241</w:t>
            </w:r>
          </w:p>
        </w:tc>
        <w:tc>
          <w:tcPr>
            <w:tcW w:w="64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3.33</w:t>
            </w:r>
          </w:p>
        </w:tc>
        <w:tc>
          <w:tcPr>
            <w:tcW w:w="46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1275</w:t>
            </w:r>
          </w:p>
        </w:tc>
        <w:tc>
          <w:tcPr>
            <w:tcW w:w="60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60</w:t>
            </w:r>
          </w:p>
        </w:tc>
        <w:tc>
          <w:tcPr>
            <w:tcW w:w="54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1215</w:t>
            </w:r>
          </w:p>
        </w:tc>
        <w:tc>
          <w:tcPr>
            <w:tcW w:w="71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r>
    </w:tbl>
    <w:p>
      <w:pPr>
        <w:adjustRightInd w:val="0"/>
        <w:snapToGrid w:val="0"/>
        <w:spacing w:before="312" w:beforeLines="100"/>
        <w:ind w:firstLine="562"/>
        <w:rPr>
          <w:rFonts w:eastAsia="仿宋_GB2312" w:cs="Times New Roman"/>
          <w:b/>
          <w:bCs/>
        </w:rPr>
      </w:pPr>
      <w:r>
        <w:rPr>
          <w:rFonts w:eastAsia="仿宋_GB2312" w:cs="Times New Roman"/>
          <w:b/>
          <w:bCs/>
        </w:rPr>
        <w:t>6.通山县</w:t>
      </w:r>
    </w:p>
    <w:p>
      <w:pPr>
        <w:pStyle w:val="19"/>
        <w:adjustRightInd w:val="0"/>
        <w:snapToGrid w:val="0"/>
        <w:spacing w:line="360" w:lineRule="auto"/>
        <w:ind w:firstLine="560" w:firstLineChars="200"/>
        <w:jc w:val="both"/>
        <w:rPr>
          <w:rFonts w:eastAsia="仿宋_GB2312" w:cs="Times New Roman"/>
        </w:rPr>
      </w:pPr>
      <w:r>
        <w:rPr>
          <w:rFonts w:eastAsia="仿宋_GB2312" w:cs="Times New Roman"/>
          <w:b w:val="0"/>
          <w:sz w:val="28"/>
          <w:szCs w:val="28"/>
        </w:rPr>
        <w:t>预测至2025年，各类新能源汽车充电桩需求为1168个，充电桩缺口为1127个。其中自用桩缺口672个，公共桩缺口313个，专用桩缺口142个。通山县2025年各类型充电桩缺口预测结果</w:t>
      </w:r>
      <w:bookmarkStart w:id="139" w:name="_Ref114150132"/>
      <w:r>
        <w:rPr>
          <w:rFonts w:hint="eastAsia" w:eastAsia="仿宋_GB2312" w:cs="Times New Roman"/>
          <w:b w:val="0"/>
          <w:sz w:val="28"/>
          <w:szCs w:val="28"/>
        </w:rPr>
        <w:t>如下</w:t>
      </w:r>
      <w:r>
        <w:rPr>
          <w:rFonts w:eastAsia="仿宋_GB2312" w:cs="Times New Roman"/>
          <w:b w:val="0"/>
          <w:sz w:val="28"/>
          <w:szCs w:val="28"/>
        </w:rPr>
        <w:fldChar w:fldCharType="begin"/>
      </w:r>
      <w:r>
        <w:rPr>
          <w:rFonts w:eastAsia="仿宋_GB2312" w:cs="Times New Roman"/>
          <w:b w:val="0"/>
          <w:sz w:val="28"/>
          <w:szCs w:val="28"/>
        </w:rPr>
        <w:instrText xml:space="preserve"> REF _Ref116721689 \h  \* MERGEFORMAT </w:instrText>
      </w:r>
      <w:r>
        <w:rPr>
          <w:rFonts w:eastAsia="仿宋_GB2312" w:cs="Times New Roman"/>
          <w:b w:val="0"/>
          <w:sz w:val="28"/>
          <w:szCs w:val="28"/>
        </w:rPr>
        <w:fldChar w:fldCharType="separate"/>
      </w:r>
      <w:r>
        <w:rPr>
          <w:rFonts w:eastAsia="仿宋_GB2312" w:cs="Times New Roman"/>
          <w:b w:val="0"/>
          <w:sz w:val="28"/>
          <w:szCs w:val="28"/>
        </w:rPr>
        <w:t>表 3</w:t>
      </w:r>
      <w:r>
        <w:rPr>
          <w:rFonts w:eastAsia="仿宋_GB2312" w:cs="Times New Roman"/>
          <w:b w:val="0"/>
          <w:sz w:val="28"/>
          <w:szCs w:val="28"/>
        </w:rPr>
        <w:noBreakHyphen/>
      </w:r>
      <w:r>
        <w:rPr>
          <w:rFonts w:eastAsia="仿宋_GB2312" w:cs="Times New Roman"/>
          <w:b w:val="0"/>
          <w:sz w:val="28"/>
          <w:szCs w:val="28"/>
        </w:rPr>
        <w:t>33</w:t>
      </w:r>
      <w:r>
        <w:rPr>
          <w:rFonts w:eastAsia="仿宋_GB2312" w:cs="Times New Roman"/>
          <w:b w:val="0"/>
          <w:sz w:val="28"/>
          <w:szCs w:val="28"/>
        </w:rPr>
        <w:fldChar w:fldCharType="end"/>
      </w:r>
      <w:r>
        <w:rPr>
          <w:rFonts w:hint="eastAsia" w:eastAsia="仿宋_GB2312" w:cs="Times New Roman"/>
          <w:b w:val="0"/>
          <w:sz w:val="28"/>
          <w:szCs w:val="28"/>
        </w:rPr>
        <w:t>所示。</w:t>
      </w:r>
    </w:p>
    <w:p>
      <w:pPr>
        <w:adjustRightInd w:val="0"/>
        <w:snapToGrid w:val="0"/>
        <w:ind w:firstLine="560"/>
        <w:rPr>
          <w:rFonts w:eastAsia="仿宋_GB2312" w:cs="Times New Roman"/>
        </w:rPr>
      </w:pPr>
    </w:p>
    <w:p>
      <w:pPr>
        <w:pStyle w:val="19"/>
        <w:ind w:firstLine="360"/>
        <w:rPr>
          <w:rFonts w:eastAsia="仿宋_GB2312" w:cs="Times New Roman"/>
        </w:rPr>
      </w:pPr>
      <w:bookmarkStart w:id="140" w:name="_Ref116556857"/>
    </w:p>
    <w:p>
      <w:pPr>
        <w:pStyle w:val="19"/>
        <w:ind w:firstLine="360"/>
        <w:rPr>
          <w:rFonts w:eastAsia="仿宋_GB2312" w:cs="Times New Roman"/>
        </w:rPr>
      </w:pPr>
      <w:bookmarkStart w:id="141" w:name="_Ref116721689"/>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33</w:t>
      </w:r>
      <w:r>
        <w:rPr>
          <w:rFonts w:eastAsia="仿宋_GB2312" w:cs="Times New Roman"/>
        </w:rPr>
        <w:fldChar w:fldCharType="end"/>
      </w:r>
      <w:bookmarkEnd w:id="139"/>
      <w:bookmarkEnd w:id="140"/>
      <w:bookmarkEnd w:id="141"/>
      <w:r>
        <w:rPr>
          <w:rFonts w:eastAsia="仿宋_GB2312" w:cs="Times New Roman"/>
        </w:rPr>
        <w:t xml:space="preserve">通山县2025年各类充电桩缺口汇总表 </w:t>
      </w:r>
    </w:p>
    <w:tbl>
      <w:tblPr>
        <w:tblStyle w:val="76"/>
        <w:tblW w:w="5000" w:type="pct"/>
        <w:tblInd w:w="0" w:type="dxa"/>
        <w:tblLayout w:type="autofit"/>
        <w:tblCellMar>
          <w:top w:w="0" w:type="dxa"/>
          <w:left w:w="108" w:type="dxa"/>
          <w:bottom w:w="0" w:type="dxa"/>
          <w:right w:w="108" w:type="dxa"/>
        </w:tblCellMar>
      </w:tblPr>
      <w:tblGrid>
        <w:gridCol w:w="548"/>
        <w:gridCol w:w="723"/>
        <w:gridCol w:w="1499"/>
        <w:gridCol w:w="930"/>
        <w:gridCol w:w="1177"/>
        <w:gridCol w:w="773"/>
        <w:gridCol w:w="996"/>
        <w:gridCol w:w="773"/>
        <w:gridCol w:w="1103"/>
      </w:tblGrid>
      <w:tr>
        <w:tblPrEx>
          <w:tblCellMar>
            <w:top w:w="0" w:type="dxa"/>
            <w:left w:w="108" w:type="dxa"/>
            <w:bottom w:w="0" w:type="dxa"/>
            <w:right w:w="108" w:type="dxa"/>
          </w:tblCellMar>
        </w:tblPrEx>
        <w:trPr>
          <w:trHeight w:val="288" w:hRule="atLeast"/>
        </w:trPr>
        <w:tc>
          <w:tcPr>
            <w:tcW w:w="32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通山县</w:t>
            </w:r>
          </w:p>
        </w:tc>
        <w:tc>
          <w:tcPr>
            <w:tcW w:w="38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桩类型</w:t>
            </w:r>
          </w:p>
        </w:tc>
        <w:tc>
          <w:tcPr>
            <w:tcW w:w="831"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类型</w:t>
            </w:r>
          </w:p>
        </w:tc>
        <w:tc>
          <w:tcPr>
            <w:tcW w:w="49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充电汽车数量</w:t>
            </w:r>
          </w:p>
        </w:tc>
        <w:tc>
          <w:tcPr>
            <w:tcW w:w="644"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车桩比</w:t>
            </w:r>
          </w:p>
        </w:tc>
        <w:tc>
          <w:tcPr>
            <w:tcW w:w="464"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充电桩数量</w:t>
            </w:r>
          </w:p>
        </w:tc>
        <w:tc>
          <w:tcPr>
            <w:tcW w:w="602"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现状充电桩数量</w:t>
            </w:r>
          </w:p>
        </w:tc>
        <w:tc>
          <w:tcPr>
            <w:tcW w:w="543"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充电桩缺口</w:t>
            </w:r>
          </w:p>
        </w:tc>
        <w:tc>
          <w:tcPr>
            <w:tcW w:w="713"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主要充电场合</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新能源公交车</w:t>
            </w:r>
          </w:p>
        </w:tc>
        <w:tc>
          <w:tcPr>
            <w:tcW w:w="49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155</w:t>
            </w:r>
          </w:p>
        </w:tc>
        <w:tc>
          <w:tcPr>
            <w:tcW w:w="64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51</w:t>
            </w:r>
          </w:p>
        </w:tc>
        <w:tc>
          <w:tcPr>
            <w:tcW w:w="60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27</w:t>
            </w:r>
          </w:p>
        </w:tc>
        <w:tc>
          <w:tcPr>
            <w:tcW w:w="54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24</w:t>
            </w:r>
          </w:p>
        </w:tc>
        <w:tc>
          <w:tcPr>
            <w:tcW w:w="71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公交站</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新能源物流车</w:t>
            </w:r>
          </w:p>
        </w:tc>
        <w:tc>
          <w:tcPr>
            <w:tcW w:w="49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104</w:t>
            </w:r>
          </w:p>
        </w:tc>
        <w:tc>
          <w:tcPr>
            <w:tcW w:w="64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34</w:t>
            </w:r>
          </w:p>
        </w:tc>
        <w:tc>
          <w:tcPr>
            <w:tcW w:w="60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34</w:t>
            </w:r>
          </w:p>
        </w:tc>
        <w:tc>
          <w:tcPr>
            <w:tcW w:w="71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物流园</w:t>
            </w:r>
          </w:p>
        </w:tc>
      </w:tr>
      <w:tr>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新能源环卫车</w:t>
            </w:r>
          </w:p>
        </w:tc>
        <w:tc>
          <w:tcPr>
            <w:tcW w:w="49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40</w:t>
            </w:r>
          </w:p>
        </w:tc>
        <w:tc>
          <w:tcPr>
            <w:tcW w:w="64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13</w:t>
            </w:r>
          </w:p>
        </w:tc>
        <w:tc>
          <w:tcPr>
            <w:tcW w:w="60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13</w:t>
            </w:r>
          </w:p>
        </w:tc>
        <w:tc>
          <w:tcPr>
            <w:tcW w:w="71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环卫站</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w:t>
            </w:r>
          </w:p>
        </w:tc>
        <w:tc>
          <w:tcPr>
            <w:tcW w:w="8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新能源公务车</w:t>
            </w:r>
          </w:p>
        </w:tc>
        <w:tc>
          <w:tcPr>
            <w:tcW w:w="49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141</w:t>
            </w:r>
          </w:p>
        </w:tc>
        <w:tc>
          <w:tcPr>
            <w:tcW w:w="64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w:t>
            </w:r>
          </w:p>
        </w:tc>
        <w:tc>
          <w:tcPr>
            <w:tcW w:w="46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71</w:t>
            </w:r>
          </w:p>
        </w:tc>
        <w:tc>
          <w:tcPr>
            <w:tcW w:w="60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71</w:t>
            </w:r>
          </w:p>
        </w:tc>
        <w:tc>
          <w:tcPr>
            <w:tcW w:w="71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事业单位公务场所</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公用</w:t>
            </w:r>
          </w:p>
        </w:tc>
        <w:tc>
          <w:tcPr>
            <w:tcW w:w="8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新能源出租车</w:t>
            </w:r>
          </w:p>
        </w:tc>
        <w:tc>
          <w:tcPr>
            <w:tcW w:w="49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88</w:t>
            </w:r>
          </w:p>
        </w:tc>
        <w:tc>
          <w:tcPr>
            <w:tcW w:w="64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159</w:t>
            </w:r>
          </w:p>
        </w:tc>
        <w:tc>
          <w:tcPr>
            <w:tcW w:w="60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kern w:val="0"/>
                <w:sz w:val="22"/>
                <w:szCs w:val="22"/>
              </w:rPr>
            </w:pPr>
            <w:r>
              <w:rPr>
                <w:rFonts w:eastAsia="仿宋_GB2312" w:cs="Times New Roman"/>
                <w:kern w:val="0"/>
                <w:sz w:val="22"/>
                <w:szCs w:val="22"/>
              </w:rPr>
              <w:t>14</w:t>
            </w:r>
          </w:p>
        </w:tc>
        <w:tc>
          <w:tcPr>
            <w:tcW w:w="54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145</w:t>
            </w:r>
          </w:p>
        </w:tc>
        <w:tc>
          <w:tcPr>
            <w:tcW w:w="71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公共停车场</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公用+自用</w:t>
            </w:r>
          </w:p>
        </w:tc>
        <w:tc>
          <w:tcPr>
            <w:tcW w:w="8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新能源私家车</w:t>
            </w:r>
          </w:p>
        </w:tc>
        <w:tc>
          <w:tcPr>
            <w:tcW w:w="49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3358</w:t>
            </w:r>
          </w:p>
        </w:tc>
        <w:tc>
          <w:tcPr>
            <w:tcW w:w="64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w:t>
            </w:r>
          </w:p>
        </w:tc>
        <w:tc>
          <w:tcPr>
            <w:tcW w:w="46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840</w:t>
            </w:r>
          </w:p>
        </w:tc>
        <w:tc>
          <w:tcPr>
            <w:tcW w:w="60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840</w:t>
            </w:r>
          </w:p>
        </w:tc>
        <w:tc>
          <w:tcPr>
            <w:tcW w:w="71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w:t>
            </w:r>
          </w:p>
        </w:tc>
      </w:tr>
      <w:tr>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p>
        </w:tc>
        <w:tc>
          <w:tcPr>
            <w:tcW w:w="1217" w:type="pct"/>
            <w:gridSpan w:val="2"/>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预测汇总</w:t>
            </w:r>
          </w:p>
        </w:tc>
        <w:tc>
          <w:tcPr>
            <w:tcW w:w="49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3886</w:t>
            </w:r>
          </w:p>
        </w:tc>
        <w:tc>
          <w:tcPr>
            <w:tcW w:w="64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1168</w:t>
            </w:r>
          </w:p>
        </w:tc>
        <w:tc>
          <w:tcPr>
            <w:tcW w:w="60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41</w:t>
            </w:r>
          </w:p>
        </w:tc>
        <w:tc>
          <w:tcPr>
            <w:tcW w:w="54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1127</w:t>
            </w:r>
          </w:p>
        </w:tc>
        <w:tc>
          <w:tcPr>
            <w:tcW w:w="71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1.自用桩</w:t>
            </w:r>
          </w:p>
        </w:tc>
        <w:tc>
          <w:tcPr>
            <w:tcW w:w="8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其中小区私人桩</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其中自用桩按小区桩80%建设私人桩</w:t>
            </w:r>
          </w:p>
        </w:tc>
        <w:tc>
          <w:tcPr>
            <w:tcW w:w="46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672</w:t>
            </w:r>
          </w:p>
        </w:tc>
        <w:tc>
          <w:tcPr>
            <w:tcW w:w="60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672</w:t>
            </w:r>
          </w:p>
        </w:tc>
        <w:tc>
          <w:tcPr>
            <w:tcW w:w="71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w:t>
            </w:r>
          </w:p>
        </w:tc>
      </w:tr>
      <w:tr>
        <w:tblPrEx>
          <w:tblCellMar>
            <w:top w:w="0" w:type="dxa"/>
            <w:left w:w="108" w:type="dxa"/>
            <w:bottom w:w="0" w:type="dxa"/>
            <w:right w:w="108" w:type="dxa"/>
          </w:tblCellMar>
        </w:tblPrEx>
        <w:trPr>
          <w:trHeight w:val="552"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2.公用桩</w:t>
            </w:r>
          </w:p>
        </w:tc>
        <w:tc>
          <w:tcPr>
            <w:tcW w:w="8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小区内部公用+外部公用桩</w:t>
            </w:r>
          </w:p>
        </w:tc>
        <w:tc>
          <w:tcPr>
            <w:tcW w:w="49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2611</w:t>
            </w:r>
          </w:p>
        </w:tc>
        <w:tc>
          <w:tcPr>
            <w:tcW w:w="64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w:t>
            </w:r>
          </w:p>
        </w:tc>
        <w:tc>
          <w:tcPr>
            <w:tcW w:w="46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327</w:t>
            </w:r>
          </w:p>
        </w:tc>
        <w:tc>
          <w:tcPr>
            <w:tcW w:w="60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14</w:t>
            </w:r>
          </w:p>
        </w:tc>
        <w:tc>
          <w:tcPr>
            <w:tcW w:w="54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313</w:t>
            </w:r>
          </w:p>
        </w:tc>
        <w:tc>
          <w:tcPr>
            <w:tcW w:w="713" w:type="pct"/>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小区公共停车区域+外面公共停车场</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2.1</w:t>
            </w:r>
          </w:p>
        </w:tc>
        <w:tc>
          <w:tcPr>
            <w:tcW w:w="8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其中小区内部公用桩</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按小区桩20%建设公共桩</w:t>
            </w:r>
          </w:p>
        </w:tc>
        <w:tc>
          <w:tcPr>
            <w:tcW w:w="46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168</w:t>
            </w:r>
          </w:p>
        </w:tc>
        <w:tc>
          <w:tcPr>
            <w:tcW w:w="60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w:t>
            </w:r>
          </w:p>
        </w:tc>
        <w:tc>
          <w:tcPr>
            <w:tcW w:w="54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168</w:t>
            </w:r>
          </w:p>
        </w:tc>
        <w:tc>
          <w:tcPr>
            <w:tcW w:w="71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小区公共停车区域</w:t>
            </w:r>
          </w:p>
        </w:tc>
      </w:tr>
      <w:tr>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2.2</w:t>
            </w:r>
          </w:p>
        </w:tc>
        <w:tc>
          <w:tcPr>
            <w:tcW w:w="8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外部公用</w:t>
            </w:r>
          </w:p>
        </w:tc>
        <w:tc>
          <w:tcPr>
            <w:tcW w:w="1141" w:type="pct"/>
            <w:gridSpan w:val="2"/>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w:t>
            </w:r>
          </w:p>
        </w:tc>
        <w:tc>
          <w:tcPr>
            <w:tcW w:w="46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159</w:t>
            </w:r>
          </w:p>
        </w:tc>
        <w:tc>
          <w:tcPr>
            <w:tcW w:w="60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14</w:t>
            </w:r>
          </w:p>
        </w:tc>
        <w:tc>
          <w:tcPr>
            <w:tcW w:w="54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145</w:t>
            </w:r>
          </w:p>
        </w:tc>
        <w:tc>
          <w:tcPr>
            <w:tcW w:w="71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外部公共停车场</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p>
        </w:tc>
        <w:tc>
          <w:tcPr>
            <w:tcW w:w="38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3.专用桩</w:t>
            </w:r>
          </w:p>
        </w:tc>
        <w:tc>
          <w:tcPr>
            <w:tcW w:w="8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公交环卫物流公务</w:t>
            </w:r>
          </w:p>
        </w:tc>
        <w:tc>
          <w:tcPr>
            <w:tcW w:w="49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440</w:t>
            </w:r>
          </w:p>
        </w:tc>
        <w:tc>
          <w:tcPr>
            <w:tcW w:w="64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2.60</w:t>
            </w:r>
          </w:p>
        </w:tc>
        <w:tc>
          <w:tcPr>
            <w:tcW w:w="46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169</w:t>
            </w:r>
          </w:p>
        </w:tc>
        <w:tc>
          <w:tcPr>
            <w:tcW w:w="60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27</w:t>
            </w:r>
          </w:p>
        </w:tc>
        <w:tc>
          <w:tcPr>
            <w:tcW w:w="54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142</w:t>
            </w:r>
          </w:p>
        </w:tc>
        <w:tc>
          <w:tcPr>
            <w:tcW w:w="71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专用停车场</w:t>
            </w:r>
          </w:p>
        </w:tc>
      </w:tr>
      <w:tr>
        <w:tblPrEx>
          <w:tblCellMar>
            <w:top w:w="0" w:type="dxa"/>
            <w:left w:w="108" w:type="dxa"/>
            <w:bottom w:w="0" w:type="dxa"/>
            <w:right w:w="108" w:type="dxa"/>
          </w:tblCellMar>
        </w:tblPrEx>
        <w:trPr>
          <w:trHeight w:val="276" w:hRule="atLeast"/>
        </w:trPr>
        <w:tc>
          <w:tcPr>
            <w:tcW w:w="32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left"/>
              <w:rPr>
                <w:rFonts w:eastAsia="仿宋_GB2312" w:cs="Times New Roman"/>
                <w:color w:val="000000"/>
                <w:kern w:val="0"/>
                <w:sz w:val="22"/>
                <w:szCs w:val="22"/>
              </w:rPr>
            </w:pPr>
          </w:p>
        </w:tc>
        <w:tc>
          <w:tcPr>
            <w:tcW w:w="1217" w:type="pct"/>
            <w:gridSpan w:val="2"/>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预测汇总</w:t>
            </w:r>
          </w:p>
        </w:tc>
        <w:tc>
          <w:tcPr>
            <w:tcW w:w="49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3886</w:t>
            </w:r>
          </w:p>
        </w:tc>
        <w:tc>
          <w:tcPr>
            <w:tcW w:w="64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3.33</w:t>
            </w:r>
          </w:p>
        </w:tc>
        <w:tc>
          <w:tcPr>
            <w:tcW w:w="46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1168</w:t>
            </w:r>
          </w:p>
        </w:tc>
        <w:tc>
          <w:tcPr>
            <w:tcW w:w="60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41</w:t>
            </w:r>
          </w:p>
        </w:tc>
        <w:tc>
          <w:tcPr>
            <w:tcW w:w="54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1127</w:t>
            </w:r>
          </w:p>
        </w:tc>
        <w:tc>
          <w:tcPr>
            <w:tcW w:w="71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w:t>
            </w:r>
          </w:p>
        </w:tc>
      </w:tr>
    </w:tbl>
    <w:p>
      <w:pPr>
        <w:ind w:firstLine="560"/>
        <w:rPr>
          <w:rFonts w:eastAsia="仿宋_GB2312" w:cs="Times New Roman"/>
        </w:rPr>
      </w:pPr>
    </w:p>
    <w:p>
      <w:pPr>
        <w:ind w:firstLine="560"/>
        <w:rPr>
          <w:rFonts w:eastAsia="仿宋_GB2312" w:cs="Times New Roman"/>
        </w:rPr>
      </w:pPr>
    </w:p>
    <w:p>
      <w:pPr>
        <w:pStyle w:val="2"/>
        <w:rPr>
          <w:rFonts w:eastAsia="仿宋_GB2312" w:cs="Times New Roman"/>
        </w:rPr>
      </w:pPr>
      <w:bookmarkStart w:id="142" w:name="_Toc117243209"/>
      <w:r>
        <w:rPr>
          <w:rFonts w:eastAsia="仿宋_GB2312" w:cs="Times New Roman"/>
        </w:rPr>
        <w:t>充电设施布局规划</w:t>
      </w:r>
      <w:bookmarkEnd w:id="79"/>
      <w:bookmarkEnd w:id="142"/>
    </w:p>
    <w:p>
      <w:pPr>
        <w:pStyle w:val="3"/>
        <w:adjustRightInd w:val="0"/>
        <w:rPr>
          <w:rFonts w:eastAsia="仿宋_GB2312" w:cs="Times New Roman"/>
        </w:rPr>
      </w:pPr>
      <w:bookmarkStart w:id="143" w:name="_Toc61257719"/>
      <w:bookmarkStart w:id="144" w:name="_Toc117243210"/>
      <w:r>
        <w:rPr>
          <w:rFonts w:eastAsia="仿宋_GB2312" w:cs="Times New Roman"/>
        </w:rPr>
        <w:t>规划目标</w:t>
      </w:r>
      <w:bookmarkEnd w:id="143"/>
      <w:bookmarkEnd w:id="144"/>
    </w:p>
    <w:p>
      <w:pPr>
        <w:adjustRightInd w:val="0"/>
        <w:snapToGrid w:val="0"/>
        <w:ind w:firstLine="560"/>
        <w:rPr>
          <w:rFonts w:eastAsia="仿宋_GB2312" w:cs="Times New Roman"/>
        </w:rPr>
      </w:pPr>
      <w:r>
        <w:rPr>
          <w:rFonts w:eastAsia="仿宋_GB2312" w:cs="Times New Roman"/>
        </w:rPr>
        <w:t>严格遵循国家、省市发展规划，结合咸宁自身现状及发展条件，因地制宜，因势利导，推动咸宁新能源汽车充电基础设施建设，全力保障本地区新能源汽车产业高质量可持续发展。根据新能源汽车渗透率及充电设施需求预测结果，按照适度超前原则，提出总体规划目标。</w:t>
      </w:r>
    </w:p>
    <w:p>
      <w:pPr>
        <w:pStyle w:val="4"/>
        <w:spacing w:before="156" w:after="156"/>
        <w:rPr>
          <w:rFonts w:eastAsia="仿宋_GB2312"/>
        </w:rPr>
      </w:pPr>
      <w:bookmarkStart w:id="145" w:name="_Toc117243211"/>
      <w:r>
        <w:rPr>
          <w:rFonts w:eastAsia="仿宋_GB2312"/>
        </w:rPr>
        <w:t>总体规划目标</w:t>
      </w:r>
      <w:bookmarkEnd w:id="145"/>
    </w:p>
    <w:p>
      <w:pPr>
        <w:adjustRightInd w:val="0"/>
        <w:snapToGrid w:val="0"/>
        <w:ind w:firstLine="560"/>
        <w:rPr>
          <w:rFonts w:eastAsia="仿宋_GB2312" w:cs="Times New Roman"/>
        </w:rPr>
      </w:pPr>
      <w:r>
        <w:rPr>
          <w:rFonts w:eastAsia="仿宋_GB2312" w:cs="Times New Roman"/>
        </w:rPr>
        <w:t>根据《电动汽车充电基础设施发展指南（2015-2020年）》（发改能源〔2015〕1454号）规定：在示范推广地区，新能源汽车推广应用城市，城市核心区公共充电服务半径小于1公里；其他城市核心区公共充电服务半径力争小于2.5公里。咸宁暂不属于国家划分的新能源汽车推广应用城市，根据咸宁市新能源汽车发展以及配套充电设施建设情况，按照适度超前的原则，制定如下规划目标。</w:t>
      </w:r>
    </w:p>
    <w:p>
      <w:pPr>
        <w:adjustRightInd w:val="0"/>
        <w:snapToGrid w:val="0"/>
        <w:ind w:firstLine="562"/>
        <w:rPr>
          <w:rFonts w:eastAsia="仿宋_GB2312" w:cs="Times New Roman"/>
          <w:b/>
          <w:bCs/>
        </w:rPr>
      </w:pPr>
      <w:r>
        <w:rPr>
          <w:rFonts w:eastAsia="仿宋_GB2312" w:cs="Times New Roman"/>
          <w:b/>
          <w:bCs/>
        </w:rPr>
        <w:t>近期：至2025年，基本建成功能清晰、布局合理、使用便捷的充电设施网络，确保满足新能源汽车充电服务需求。</w:t>
      </w:r>
    </w:p>
    <w:p>
      <w:pPr>
        <w:adjustRightInd w:val="0"/>
        <w:snapToGrid w:val="0"/>
        <w:ind w:firstLine="560"/>
        <w:rPr>
          <w:rFonts w:eastAsia="仿宋_GB2312" w:cs="Times New Roman"/>
        </w:rPr>
      </w:pPr>
      <w:r>
        <w:rPr>
          <w:rFonts w:eastAsia="仿宋_GB2312" w:cs="Times New Roman"/>
        </w:rPr>
        <w:t>专用桩：基本实现各类配建停车位“3车一桩”，建立“车辆运营、停放与充电一体化”的可持续发展模式；</w:t>
      </w:r>
    </w:p>
    <w:p>
      <w:pPr>
        <w:adjustRightInd w:val="0"/>
        <w:snapToGrid w:val="0"/>
        <w:ind w:firstLine="560"/>
        <w:rPr>
          <w:rFonts w:eastAsia="仿宋_GB2312" w:cs="Times New Roman"/>
        </w:rPr>
      </w:pPr>
      <w:r>
        <w:rPr>
          <w:rFonts w:eastAsia="仿宋_GB2312" w:cs="Times New Roman"/>
        </w:rPr>
        <w:t>公用桩：咸安区建成区充电服务半径不超过1公里，县域建成区充电服务半径不超过3公里，重点乡镇按照 “一镇一站”实现覆盖，公用桩桩车比不低于1:8，城际层面实现高速公路充换电基础设施互联互通；</w:t>
      </w:r>
    </w:p>
    <w:p>
      <w:pPr>
        <w:adjustRightInd w:val="0"/>
        <w:snapToGrid w:val="0"/>
        <w:ind w:firstLine="560"/>
        <w:rPr>
          <w:rFonts w:eastAsia="仿宋_GB2312" w:cs="Times New Roman"/>
        </w:rPr>
      </w:pPr>
      <w:r>
        <w:rPr>
          <w:rFonts w:eastAsia="仿宋_GB2312" w:cs="Times New Roman"/>
        </w:rPr>
        <w:t>自用桩：实现居民区充换电设施基本覆盖，小区新能源私家车桩车比不小于1:</w:t>
      </w:r>
      <w:r>
        <w:rPr>
          <w:rFonts w:hint="eastAsia" w:eastAsia="仿宋_GB2312" w:cs="Times New Roman"/>
        </w:rPr>
        <w:t>4，自用桩</w:t>
      </w:r>
      <w:r>
        <w:rPr>
          <w:rFonts w:eastAsia="仿宋_GB2312" w:cs="Times New Roman"/>
        </w:rPr>
        <w:t>占小区充电桩的比例</w:t>
      </w:r>
      <w:r>
        <w:rPr>
          <w:rFonts w:hint="eastAsia" w:eastAsia="仿宋_GB2312" w:cs="Times New Roman"/>
        </w:rPr>
        <w:t>不低于80%。</w:t>
      </w:r>
    </w:p>
    <w:p>
      <w:pPr>
        <w:adjustRightInd w:val="0"/>
        <w:snapToGrid w:val="0"/>
        <w:ind w:firstLine="562"/>
        <w:rPr>
          <w:rFonts w:eastAsia="仿宋_GB2312" w:cs="Times New Roman"/>
          <w:b/>
          <w:bCs/>
        </w:rPr>
      </w:pPr>
      <w:r>
        <w:rPr>
          <w:rFonts w:eastAsia="仿宋_GB2312" w:cs="Times New Roman"/>
          <w:b/>
          <w:bCs/>
        </w:rPr>
        <w:t>远期：至2030年，全面建成“车桩相随、智慧高效、充电无忧”的充电基础设施体系，支撑能源绿色供给和低碳交通发展，促进人与自然和谐共生。</w:t>
      </w:r>
    </w:p>
    <w:p>
      <w:pPr>
        <w:adjustRightInd w:val="0"/>
        <w:snapToGrid w:val="0"/>
        <w:ind w:firstLine="560"/>
        <w:rPr>
          <w:rFonts w:eastAsia="仿宋_GB2312" w:cs="Times New Roman"/>
        </w:rPr>
      </w:pPr>
      <w:r>
        <w:rPr>
          <w:rFonts w:eastAsia="仿宋_GB2312" w:cs="Times New Roman"/>
        </w:rPr>
        <w:t>咸安区建成区充电服务半径不超过0.9公里，县域建成区公用网充电服务半径不超过2公里，乡镇全覆盖， 实现专用、公用、</w:t>
      </w:r>
      <w:r>
        <w:rPr>
          <w:rFonts w:hint="eastAsia" w:eastAsia="仿宋_GB2312" w:cs="Times New Roman"/>
        </w:rPr>
        <w:t>自用</w:t>
      </w:r>
      <w:r>
        <w:rPr>
          <w:rFonts w:eastAsia="仿宋_GB2312" w:cs="Times New Roman"/>
        </w:rPr>
        <w:t>桩之间高效互通。</w:t>
      </w:r>
    </w:p>
    <w:p>
      <w:pPr>
        <w:pStyle w:val="4"/>
        <w:spacing w:before="156" w:after="156"/>
        <w:rPr>
          <w:rFonts w:eastAsia="仿宋_GB2312"/>
        </w:rPr>
      </w:pPr>
      <w:bookmarkStart w:id="146" w:name="_Toc117243212"/>
      <w:r>
        <w:rPr>
          <w:rFonts w:eastAsia="仿宋_GB2312"/>
        </w:rPr>
        <w:t>分阶段规划重点</w:t>
      </w:r>
      <w:bookmarkEnd w:id="146"/>
    </w:p>
    <w:p>
      <w:pPr>
        <w:adjustRightInd w:val="0"/>
        <w:snapToGrid w:val="0"/>
        <w:ind w:firstLine="560"/>
        <w:rPr>
          <w:rFonts w:eastAsia="仿宋_GB2312" w:cs="Times New Roman"/>
        </w:rPr>
      </w:pPr>
      <w:r>
        <w:rPr>
          <w:rFonts w:eastAsia="仿宋_GB2312" w:cs="Times New Roman"/>
        </w:rPr>
        <w:t>2022-2024年规划重点：主要在以“点”“线”为重心，在重点停车场、商业综合体、交通枢纽、热门景区</w:t>
      </w:r>
      <w:r>
        <w:rPr>
          <w:rFonts w:hint="eastAsia" w:eastAsia="仿宋_GB2312" w:cs="Times New Roman"/>
        </w:rPr>
        <w:t>、高速服务区</w:t>
      </w:r>
      <w:r>
        <w:rPr>
          <w:rFonts w:eastAsia="仿宋_GB2312" w:cs="Times New Roman"/>
        </w:rPr>
        <w:t>等地方布局建设充电基础设施。</w:t>
      </w:r>
    </w:p>
    <w:p>
      <w:pPr>
        <w:adjustRightInd w:val="0"/>
        <w:snapToGrid w:val="0"/>
        <w:ind w:firstLine="560"/>
        <w:rPr>
          <w:rFonts w:eastAsia="仿宋_GB2312" w:cs="Times New Roman"/>
        </w:rPr>
      </w:pPr>
      <w:r>
        <w:rPr>
          <w:rFonts w:eastAsia="仿宋_GB2312" w:cs="Times New Roman"/>
        </w:rPr>
        <w:t>2025年规划重点：依据2022-2024年整体布局情况，按“面”统筹考虑，缩小咸安区中心城区充电网络半径至1公里、县市城区建成区充电网络半径至3公里，重点乡镇按照“一镇一站”原则实现全覆盖，结合新能源汽车车流量新增布点，进一步完善充电设施布局网络。</w:t>
      </w:r>
    </w:p>
    <w:p>
      <w:pPr>
        <w:pStyle w:val="3"/>
        <w:adjustRightInd w:val="0"/>
        <w:rPr>
          <w:rFonts w:eastAsia="仿宋_GB2312" w:cs="Times New Roman"/>
        </w:rPr>
      </w:pPr>
      <w:bookmarkStart w:id="147" w:name="_Toc61257720"/>
      <w:bookmarkStart w:id="148" w:name="_Toc117243213"/>
      <w:r>
        <w:rPr>
          <w:rFonts w:eastAsia="仿宋_GB2312" w:cs="Times New Roman"/>
        </w:rPr>
        <w:t>充电设施布局及接入原则</w:t>
      </w:r>
      <w:bookmarkEnd w:id="147"/>
      <w:bookmarkEnd w:id="148"/>
    </w:p>
    <w:p>
      <w:pPr>
        <w:pStyle w:val="4"/>
        <w:spacing w:before="156" w:after="156"/>
        <w:rPr>
          <w:rFonts w:eastAsia="仿宋_GB2312"/>
        </w:rPr>
      </w:pPr>
      <w:bookmarkStart w:id="149" w:name="_Toc117243214"/>
      <w:r>
        <w:rPr>
          <w:rFonts w:eastAsia="仿宋_GB2312"/>
        </w:rPr>
        <w:t>总体布局原则</w:t>
      </w:r>
      <w:bookmarkEnd w:id="149"/>
    </w:p>
    <w:p>
      <w:pPr>
        <w:adjustRightInd w:val="0"/>
        <w:snapToGrid w:val="0"/>
        <w:ind w:firstLine="560"/>
        <w:rPr>
          <w:rFonts w:eastAsia="仿宋_GB2312" w:cs="Times New Roman"/>
        </w:rPr>
      </w:pPr>
      <w:r>
        <w:rPr>
          <w:rFonts w:eastAsia="仿宋_GB2312" w:cs="Times New Roman"/>
        </w:rPr>
        <w:t>新能源汽车充电设施布局包括“需求”和“可能性”两方面要素。充电设施需求主要包括交通量与服务半径两个影响因素，</w:t>
      </w:r>
      <w:r>
        <w:rPr>
          <w:rFonts w:hint="eastAsia" w:eastAsia="仿宋_GB2312" w:cs="Times New Roman"/>
        </w:rPr>
        <w:t>建设可行性</w:t>
      </w:r>
      <w:r>
        <w:rPr>
          <w:rFonts w:eastAsia="仿宋_GB2312" w:cs="Times New Roman"/>
        </w:rPr>
        <w:t>在于用地条件及区域配电能力等。</w:t>
      </w:r>
    </w:p>
    <w:p>
      <w:pPr>
        <w:autoSpaceDE w:val="0"/>
        <w:autoSpaceDN w:val="0"/>
        <w:adjustRightInd w:val="0"/>
        <w:snapToGrid w:val="0"/>
        <w:ind w:firstLine="562"/>
        <w:rPr>
          <w:rFonts w:eastAsia="仿宋_GB2312" w:cs="Times New Roman"/>
          <w:b/>
          <w:bCs/>
          <w:color w:val="000000"/>
          <w:kern w:val="0"/>
        </w:rPr>
      </w:pPr>
      <w:r>
        <w:rPr>
          <w:rFonts w:eastAsia="仿宋_GB2312" w:cs="Times New Roman"/>
          <w:b/>
          <w:bCs/>
          <w:color w:val="000000"/>
          <w:kern w:val="0"/>
        </w:rPr>
        <w:t>（1）以新能源汽车充电需求为导向</w:t>
      </w:r>
    </w:p>
    <w:p>
      <w:pPr>
        <w:autoSpaceDE w:val="0"/>
        <w:autoSpaceDN w:val="0"/>
        <w:adjustRightInd w:val="0"/>
        <w:snapToGrid w:val="0"/>
        <w:ind w:firstLine="560"/>
        <w:rPr>
          <w:rFonts w:eastAsia="仿宋_GB2312" w:cs="Times New Roman"/>
          <w:color w:val="000000"/>
          <w:kern w:val="0"/>
        </w:rPr>
      </w:pPr>
      <w:r>
        <w:rPr>
          <w:rFonts w:eastAsia="仿宋_GB2312" w:cs="Times New Roman"/>
          <w:color w:val="000000"/>
          <w:kern w:val="0"/>
        </w:rPr>
        <w:t>充电需求是指一定数量的新能源汽车在特定时间和特定地点对充电的需求，充电需求和交通分布密切相关，但又受到新能源汽车运行方式的</w:t>
      </w:r>
      <w:r>
        <w:rPr>
          <w:rFonts w:hint="eastAsia" w:eastAsia="仿宋_GB2312" w:cs="Times New Roman"/>
          <w:color w:val="000000"/>
          <w:kern w:val="0"/>
        </w:rPr>
        <w:t>影响</w:t>
      </w:r>
      <w:r>
        <w:rPr>
          <w:rFonts w:eastAsia="仿宋_GB2312" w:cs="Times New Roman"/>
          <w:color w:val="000000"/>
          <w:kern w:val="0"/>
        </w:rPr>
        <w:t xml:space="preserve">。充电设施数量控制应考虑与充电需求的分布尽可能保持一致，应与各区域的新能源汽车交通密度成正比。因此，规划充电设施应根据区域供需平衡情况，满足各区域新能源汽车运行配套需求，服务能力适度超前。 </w:t>
      </w:r>
    </w:p>
    <w:p>
      <w:pPr>
        <w:autoSpaceDE w:val="0"/>
        <w:autoSpaceDN w:val="0"/>
        <w:adjustRightInd w:val="0"/>
        <w:snapToGrid w:val="0"/>
        <w:ind w:firstLine="562"/>
        <w:rPr>
          <w:rFonts w:eastAsia="仿宋_GB2312" w:cs="Times New Roman"/>
          <w:b/>
          <w:bCs/>
          <w:color w:val="000000"/>
          <w:kern w:val="0"/>
        </w:rPr>
      </w:pPr>
      <w:r>
        <w:rPr>
          <w:rFonts w:eastAsia="仿宋_GB2312" w:cs="Times New Roman"/>
          <w:b/>
          <w:bCs/>
          <w:color w:val="000000"/>
          <w:kern w:val="0"/>
        </w:rPr>
        <w:t>（2）充电设施布局应因地制宜，方便新能源汽车使用</w:t>
      </w:r>
    </w:p>
    <w:p>
      <w:pPr>
        <w:adjustRightInd w:val="0"/>
        <w:snapToGrid w:val="0"/>
        <w:ind w:firstLine="560"/>
        <w:rPr>
          <w:rFonts w:eastAsia="仿宋_GB2312" w:cs="Times New Roman"/>
        </w:rPr>
      </w:pPr>
      <w:r>
        <w:rPr>
          <w:rFonts w:eastAsia="仿宋_GB2312" w:cs="Times New Roman"/>
          <w:color w:val="000000"/>
          <w:kern w:val="0"/>
        </w:rPr>
        <w:t>规划以充电设施服务网络为主，布局应因地制宜、分散布置、方便使用，充分结合公共停车场、交通枢纽、出租车服务中心、公共建筑（图书馆、展览馆、博物馆等）、行政服务中心等交通设施、公共服务用地。在具体落地时，宜点多面广，大小并举，起到分散交通的功能作用，特别是在核心区域</w:t>
      </w:r>
      <w:r>
        <w:rPr>
          <w:rFonts w:hint="eastAsia" w:eastAsia="仿宋_GB2312" w:cs="Times New Roman"/>
          <w:color w:val="000000"/>
          <w:kern w:val="0"/>
        </w:rPr>
        <w:t>应</w:t>
      </w:r>
      <w:r>
        <w:rPr>
          <w:rFonts w:eastAsia="仿宋_GB2312" w:cs="Times New Roman"/>
          <w:color w:val="000000"/>
          <w:kern w:val="0"/>
        </w:rPr>
        <w:t>结合需求量适当扩大服务点规模，最大程度地方便使用者。</w:t>
      </w:r>
    </w:p>
    <w:p>
      <w:pPr>
        <w:autoSpaceDE w:val="0"/>
        <w:autoSpaceDN w:val="0"/>
        <w:adjustRightInd w:val="0"/>
        <w:snapToGrid w:val="0"/>
        <w:ind w:firstLine="562"/>
        <w:rPr>
          <w:rFonts w:eastAsia="仿宋_GB2312" w:cs="Times New Roman"/>
          <w:b/>
          <w:bCs/>
          <w:color w:val="000000"/>
          <w:kern w:val="0"/>
        </w:rPr>
      </w:pPr>
      <w:r>
        <w:rPr>
          <w:rFonts w:eastAsia="仿宋_GB2312" w:cs="Times New Roman"/>
          <w:b/>
          <w:bCs/>
          <w:color w:val="000000"/>
          <w:kern w:val="0"/>
        </w:rPr>
        <w:t>（3）充电设施布局符合城市用地规划要求</w:t>
      </w:r>
    </w:p>
    <w:p>
      <w:pPr>
        <w:autoSpaceDE w:val="0"/>
        <w:autoSpaceDN w:val="0"/>
        <w:adjustRightInd w:val="0"/>
        <w:snapToGrid w:val="0"/>
        <w:ind w:firstLine="560"/>
        <w:rPr>
          <w:rFonts w:eastAsia="仿宋_GB2312" w:cs="Times New Roman"/>
          <w:color w:val="000000"/>
          <w:kern w:val="0"/>
        </w:rPr>
      </w:pPr>
      <w:r>
        <w:rPr>
          <w:rFonts w:eastAsia="仿宋_GB2312" w:cs="Times New Roman"/>
          <w:color w:val="000000"/>
          <w:kern w:val="0"/>
        </w:rPr>
        <w:t xml:space="preserve">充电设施分布是对不同区域的充电需求条件分析后进行布局，但是具体到充电设施选址时还须考虑其实施条件，充电设施的选址应结合用地规划，以网点总体布局规划为宏观控制依据，经过对布局网点及其周围地区规划选址的比较，确定网点设施用地，宜充分利用就近的供电、交通等公用设施。 </w:t>
      </w:r>
    </w:p>
    <w:p>
      <w:pPr>
        <w:pStyle w:val="4"/>
        <w:spacing w:before="156" w:after="156"/>
        <w:rPr>
          <w:rFonts w:eastAsia="仿宋_GB2312"/>
        </w:rPr>
      </w:pPr>
      <w:bookmarkStart w:id="150" w:name="_Toc117243215"/>
      <w:r>
        <w:rPr>
          <w:rFonts w:eastAsia="仿宋_GB2312"/>
        </w:rPr>
        <w:t>专用充电设施布局原则</w:t>
      </w:r>
      <w:bookmarkEnd w:id="150"/>
    </w:p>
    <w:p>
      <w:pPr>
        <w:pStyle w:val="179"/>
        <w:snapToGrid w:val="0"/>
        <w:spacing w:line="360" w:lineRule="auto"/>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结合专用车辆停放场站位置布置。如新能源公交车专用充电设施应结合城市公交车、城/乡际班车首末站、公交停车场和公交枢纽，重点参考城市公交车、城/乡际班车首末站规划；环卫车的充电设施应重点布设于垃圾中转站或者垃圾处理站内。</w:t>
      </w:r>
    </w:p>
    <w:p>
      <w:pPr>
        <w:autoSpaceDE w:val="0"/>
        <w:autoSpaceDN w:val="0"/>
        <w:adjustRightInd w:val="0"/>
        <w:snapToGrid w:val="0"/>
        <w:ind w:firstLine="560"/>
        <w:rPr>
          <w:rFonts w:eastAsia="仿宋_GB2312" w:cs="Times New Roman"/>
          <w:color w:val="000000"/>
          <w:kern w:val="0"/>
        </w:rPr>
      </w:pPr>
      <w:r>
        <w:rPr>
          <w:rFonts w:eastAsia="仿宋_GB2312" w:cs="Times New Roman"/>
          <w:color w:val="000000"/>
          <w:kern w:val="0"/>
        </w:rPr>
        <w:t>2.结合车辆运营特性布置。如环卫车辆一般白天运行，需要提供大功率、快速充电式充电设施，环卫车的充电设施应重点布设于垃圾中转站或者垃圾处理站内；物流车主要在物流园之间行驶，充电设施重点在物流园内进行布局。</w:t>
      </w:r>
    </w:p>
    <w:p>
      <w:pPr>
        <w:adjustRightInd w:val="0"/>
        <w:snapToGrid w:val="0"/>
        <w:ind w:firstLine="560"/>
        <w:rPr>
          <w:rFonts w:eastAsia="仿宋_GB2312" w:cs="Times New Roman"/>
          <w:color w:val="000000"/>
          <w:kern w:val="0"/>
        </w:rPr>
      </w:pPr>
      <w:r>
        <w:rPr>
          <w:rFonts w:eastAsia="仿宋_GB2312" w:cs="Times New Roman"/>
          <w:color w:val="000000"/>
          <w:kern w:val="0"/>
        </w:rPr>
        <w:t>3.专用充电设施布置时应因地制宜。充电设施在具体落地时，应结合专用车辆规模及场地大小综合布设，做到因地制宜。</w:t>
      </w:r>
    </w:p>
    <w:p>
      <w:pPr>
        <w:autoSpaceDE w:val="0"/>
        <w:autoSpaceDN w:val="0"/>
        <w:adjustRightInd w:val="0"/>
        <w:snapToGrid w:val="0"/>
        <w:ind w:firstLine="560"/>
        <w:rPr>
          <w:rFonts w:eastAsia="仿宋_GB2312" w:cs="Times New Roman"/>
          <w:color w:val="000000"/>
          <w:kern w:val="0"/>
        </w:rPr>
      </w:pPr>
      <w:r>
        <w:rPr>
          <w:rFonts w:eastAsia="仿宋_GB2312" w:cs="Times New Roman"/>
          <w:color w:val="000000"/>
          <w:kern w:val="0"/>
        </w:rPr>
        <w:t>4.对于新能源公务车充电设施，应建设在政府机关、公共机构和企事业单位内部，同时要结合单位新能源汽车配备更新计划以及职工购买使用新能源汽车需求，利用内部停车场、配建停车场建设充电设施或预留建设安装条件的车位比例不低于20%。</w:t>
      </w:r>
    </w:p>
    <w:p>
      <w:pPr>
        <w:pStyle w:val="4"/>
        <w:spacing w:before="156" w:after="156"/>
        <w:rPr>
          <w:rFonts w:eastAsia="仿宋_GB2312"/>
        </w:rPr>
      </w:pPr>
      <w:bookmarkStart w:id="151" w:name="_Toc117243216"/>
      <w:r>
        <w:rPr>
          <w:rFonts w:eastAsia="仿宋_GB2312"/>
        </w:rPr>
        <w:t>公用充电设施布局原则</w:t>
      </w:r>
      <w:bookmarkEnd w:id="151"/>
    </w:p>
    <w:p>
      <w:pPr>
        <w:adjustRightInd w:val="0"/>
        <w:snapToGrid w:val="0"/>
        <w:ind w:firstLine="560"/>
        <w:rPr>
          <w:rFonts w:eastAsia="仿宋_GB2312" w:cs="Times New Roman"/>
        </w:rPr>
      </w:pPr>
      <w:r>
        <w:rPr>
          <w:rFonts w:eastAsia="仿宋_GB2312" w:cs="Times New Roman"/>
        </w:rPr>
        <w:t>公共网络充电设施布局原则包括选址原则、空间布局原则</w:t>
      </w:r>
      <w:r>
        <w:rPr>
          <w:rFonts w:hint="eastAsia" w:eastAsia="仿宋_GB2312" w:cs="Times New Roman"/>
        </w:rPr>
        <w:t>、</w:t>
      </w:r>
      <w:r>
        <w:rPr>
          <w:rFonts w:eastAsia="仿宋_GB2312" w:cs="Times New Roman"/>
        </w:rPr>
        <w:t>及时序安排原则。</w:t>
      </w:r>
    </w:p>
    <w:p>
      <w:pPr>
        <w:adjustRightInd w:val="0"/>
        <w:snapToGrid w:val="0"/>
        <w:ind w:firstLine="562"/>
        <w:rPr>
          <w:rFonts w:eastAsia="仿宋_GB2312" w:cs="Times New Roman"/>
          <w:b/>
          <w:bCs/>
        </w:rPr>
      </w:pPr>
      <w:r>
        <w:rPr>
          <w:rFonts w:eastAsia="仿宋_GB2312" w:cs="Times New Roman"/>
          <w:b/>
          <w:bCs/>
        </w:rPr>
        <w:t>1.选址原则</w:t>
      </w:r>
    </w:p>
    <w:p>
      <w:pPr>
        <w:adjustRightInd w:val="0"/>
        <w:snapToGrid w:val="0"/>
        <w:ind w:firstLine="560"/>
        <w:rPr>
          <w:rFonts w:eastAsia="仿宋_GB2312" w:cs="Times New Roman"/>
        </w:rPr>
      </w:pPr>
      <w:r>
        <w:rPr>
          <w:rFonts w:eastAsia="仿宋_GB2312" w:cs="Times New Roman"/>
        </w:rPr>
        <w:t>（1）对于小区外公用充电基础设施建设选址主要考虑大型社会公共停车场和以下建筑类型的配建停车场：政府投资建设的公共停车场、路边停车位、</w:t>
      </w:r>
      <w:r>
        <w:rPr>
          <w:rFonts w:hint="eastAsia" w:eastAsia="仿宋_GB2312" w:cs="Times New Roman"/>
        </w:rPr>
        <w:t>旅游景区</w:t>
      </w:r>
      <w:r>
        <w:rPr>
          <w:rFonts w:eastAsia="仿宋_GB2312" w:cs="Times New Roman"/>
        </w:rPr>
        <w:t>、高档宾馆酒店、大型医院、大型商场、大型超市、公园（广场）、交通节点（枢纽）、高档写字楼、大型公共图书馆、大型体育文化场馆设施等。根据城市功能分布、交通出行特征等作为规划汽车充电桩布局和建设时序的依据，近期以咸安区、旅游景区、交通枢纽建设为主，将城市开发相对较弱的区域作为之后网点布局拓展，于远期进行布置</w:t>
      </w:r>
      <w:r>
        <w:rPr>
          <w:rFonts w:hint="eastAsia" w:eastAsia="仿宋_GB2312" w:cs="Times New Roman"/>
        </w:rPr>
        <w:t>。</w:t>
      </w:r>
    </w:p>
    <w:p>
      <w:pPr>
        <w:autoSpaceDE w:val="0"/>
        <w:autoSpaceDN w:val="0"/>
        <w:adjustRightInd w:val="0"/>
        <w:snapToGrid w:val="0"/>
        <w:ind w:firstLine="560"/>
        <w:rPr>
          <w:rFonts w:eastAsia="仿宋_GB2312" w:cs="Times New Roman"/>
        </w:rPr>
      </w:pPr>
      <w:r>
        <w:rPr>
          <w:rFonts w:eastAsia="仿宋_GB2312" w:cs="Times New Roman"/>
        </w:rPr>
        <w:t>（2）对于小区内公用充电设施选址优先考虑</w:t>
      </w:r>
      <w:r>
        <w:rPr>
          <w:rFonts w:hint="eastAsia" w:eastAsia="仿宋_GB2312" w:cs="Times New Roman"/>
        </w:rPr>
        <w:t>将建</w:t>
      </w:r>
      <w:r>
        <w:rPr>
          <w:rFonts w:eastAsia="仿宋_GB2312" w:cs="Times New Roman"/>
        </w:rPr>
        <w:t>在建</w:t>
      </w:r>
      <w:r>
        <w:rPr>
          <w:rFonts w:hint="eastAsia" w:eastAsia="仿宋_GB2312" w:cs="Times New Roman"/>
        </w:rPr>
        <w:t>、</w:t>
      </w:r>
      <w:r>
        <w:rPr>
          <w:rFonts w:eastAsia="仿宋_GB2312" w:cs="Times New Roman"/>
        </w:rPr>
        <w:t>近</w:t>
      </w:r>
      <w:r>
        <w:rPr>
          <w:rFonts w:hint="eastAsia" w:eastAsia="仿宋_GB2312" w:cs="Times New Roman"/>
        </w:rPr>
        <w:t>四年</w:t>
      </w:r>
      <w:r>
        <w:rPr>
          <w:rFonts w:eastAsia="仿宋_GB2312" w:cs="Times New Roman"/>
        </w:rPr>
        <w:t>年新建小区</w:t>
      </w:r>
      <w:r>
        <w:rPr>
          <w:rFonts w:hint="eastAsia" w:eastAsia="仿宋_GB2312" w:cs="Times New Roman"/>
        </w:rPr>
        <w:t>的</w:t>
      </w:r>
      <w:r>
        <w:rPr>
          <w:rFonts w:eastAsia="仿宋_GB2312" w:cs="Times New Roman"/>
        </w:rPr>
        <w:t>地上公共停车位，再考虑老旧小区。</w:t>
      </w:r>
    </w:p>
    <w:p>
      <w:pPr>
        <w:autoSpaceDE w:val="0"/>
        <w:autoSpaceDN w:val="0"/>
        <w:adjustRightInd w:val="0"/>
        <w:snapToGrid w:val="0"/>
        <w:ind w:firstLine="560"/>
        <w:rPr>
          <w:rFonts w:eastAsia="仿宋_GB2312" w:cs="Times New Roman"/>
          <w:color w:val="000000"/>
          <w:kern w:val="0"/>
        </w:rPr>
      </w:pPr>
      <w:r>
        <w:rPr>
          <w:rFonts w:eastAsia="仿宋_GB2312" w:cs="Times New Roman"/>
          <w:color w:val="000000"/>
          <w:kern w:val="0"/>
        </w:rPr>
        <w:t>1</w:t>
      </w:r>
      <w:r>
        <w:rPr>
          <w:rFonts w:hint="eastAsia" w:eastAsia="仿宋_GB2312" w:cs="Times New Roman"/>
          <w:color w:val="000000"/>
          <w:kern w:val="0"/>
        </w:rPr>
        <w:t>）在</w:t>
      </w:r>
      <w:r>
        <w:rPr>
          <w:rFonts w:eastAsia="仿宋_GB2312" w:cs="Times New Roman"/>
          <w:color w:val="000000"/>
          <w:kern w:val="0"/>
        </w:rPr>
        <w:t>建</w:t>
      </w:r>
      <w:r>
        <w:rPr>
          <w:rFonts w:hint="eastAsia" w:eastAsia="仿宋_GB2312" w:cs="Times New Roman"/>
          <w:color w:val="000000"/>
          <w:kern w:val="0"/>
        </w:rPr>
        <w:t>、将建</w:t>
      </w:r>
      <w:r>
        <w:rPr>
          <w:rFonts w:eastAsia="仿宋_GB2312" w:cs="Times New Roman"/>
          <w:color w:val="000000"/>
          <w:kern w:val="0"/>
        </w:rPr>
        <w:t>住宅小区停车位应</w:t>
      </w:r>
      <w:r>
        <w:rPr>
          <w:rFonts w:hint="eastAsia" w:eastAsia="仿宋_GB2312" w:cs="Times New Roman"/>
          <w:color w:val="000000"/>
          <w:kern w:val="0"/>
        </w:rPr>
        <w:t>按验收要求</w:t>
      </w:r>
      <w:r>
        <w:rPr>
          <w:rFonts w:eastAsia="仿宋_GB2312" w:cs="Times New Roman"/>
          <w:color w:val="000000"/>
          <w:kern w:val="0"/>
        </w:rPr>
        <w:t>全部预留充电桩建设安装条件，配建的充电桩原则上不少于规划停车位的10%；</w:t>
      </w:r>
    </w:p>
    <w:p>
      <w:pPr>
        <w:autoSpaceDE w:val="0"/>
        <w:autoSpaceDN w:val="0"/>
        <w:adjustRightInd w:val="0"/>
        <w:snapToGrid w:val="0"/>
        <w:ind w:firstLine="560"/>
        <w:rPr>
          <w:rFonts w:eastAsia="仿宋_GB2312" w:cs="Times New Roman"/>
          <w:color w:val="000000"/>
          <w:kern w:val="0"/>
        </w:rPr>
      </w:pPr>
      <w:r>
        <w:rPr>
          <w:rFonts w:hint="eastAsia" w:eastAsia="仿宋_GB2312" w:cs="Times New Roman"/>
          <w:color w:val="000000"/>
          <w:kern w:val="0"/>
        </w:rPr>
        <w:t>2）近四年新</w:t>
      </w:r>
      <w:r>
        <w:rPr>
          <w:rFonts w:eastAsia="仿宋_GB2312" w:cs="Times New Roman"/>
          <w:color w:val="000000"/>
          <w:kern w:val="0"/>
        </w:rPr>
        <w:t>建的新住宅小区</w:t>
      </w:r>
      <w:r>
        <w:rPr>
          <w:rFonts w:hint="eastAsia" w:eastAsia="仿宋_GB2312" w:cs="Times New Roman"/>
          <w:color w:val="000000"/>
          <w:kern w:val="0"/>
        </w:rPr>
        <w:t>（指2</w:t>
      </w:r>
      <w:r>
        <w:rPr>
          <w:rFonts w:eastAsia="仿宋_GB2312" w:cs="Times New Roman"/>
          <w:color w:val="000000"/>
          <w:kern w:val="0"/>
        </w:rPr>
        <w:t>018</w:t>
      </w:r>
      <w:r>
        <w:rPr>
          <w:rFonts w:hint="eastAsia" w:eastAsia="仿宋_GB2312" w:cs="Times New Roman"/>
          <w:color w:val="000000"/>
          <w:kern w:val="0"/>
        </w:rPr>
        <w:t>年之后建设完成的住宅小区）</w:t>
      </w:r>
      <w:r>
        <w:rPr>
          <w:rFonts w:eastAsia="仿宋_GB2312" w:cs="Times New Roman"/>
          <w:color w:val="000000"/>
          <w:kern w:val="0"/>
        </w:rPr>
        <w:t>配建按照不低于总停车位数10%的比例逐步改造、加装充电基础设施，以满足用户充电需求；</w:t>
      </w:r>
    </w:p>
    <w:p>
      <w:pPr>
        <w:adjustRightInd w:val="0"/>
        <w:snapToGrid w:val="0"/>
        <w:ind w:firstLine="560"/>
        <w:rPr>
          <w:rFonts w:eastAsia="仿宋_GB2312" w:cs="Times New Roman"/>
        </w:rPr>
      </w:pPr>
      <w:r>
        <w:rPr>
          <w:rFonts w:eastAsia="仿宋_GB2312" w:cs="Times New Roman"/>
          <w:color w:val="000000"/>
          <w:kern w:val="0"/>
        </w:rPr>
        <w:t>3</w:t>
      </w:r>
      <w:r>
        <w:rPr>
          <w:rFonts w:hint="eastAsia" w:eastAsia="仿宋_GB2312" w:cs="Times New Roman"/>
          <w:color w:val="000000"/>
          <w:kern w:val="0"/>
        </w:rPr>
        <w:t>）已建次新住宅小区（</w:t>
      </w:r>
      <w:r>
        <w:rPr>
          <w:rFonts w:eastAsia="仿宋_GB2312" w:cs="Times New Roman"/>
        </w:rPr>
        <w:t>指在2000</w:t>
      </w:r>
      <w:r>
        <w:rPr>
          <w:rFonts w:hint="eastAsia" w:eastAsia="仿宋_GB2312" w:cs="Times New Roman"/>
        </w:rPr>
        <w:t>年—2</w:t>
      </w:r>
      <w:r>
        <w:rPr>
          <w:rFonts w:eastAsia="仿宋_GB2312" w:cs="Times New Roman"/>
        </w:rPr>
        <w:t>018</w:t>
      </w:r>
      <w:r>
        <w:rPr>
          <w:rFonts w:hint="eastAsia" w:eastAsia="仿宋_GB2312" w:cs="Times New Roman"/>
        </w:rPr>
        <w:t>年之间</w:t>
      </w:r>
      <w:r>
        <w:rPr>
          <w:rFonts w:eastAsia="仿宋_GB2312" w:cs="Times New Roman"/>
        </w:rPr>
        <w:t>建设完成的住宅小区</w:t>
      </w:r>
      <w:r>
        <w:rPr>
          <w:rFonts w:hint="eastAsia" w:eastAsia="仿宋_GB2312" w:cs="Times New Roman"/>
        </w:rPr>
        <w:t>）</w:t>
      </w:r>
      <w:r>
        <w:rPr>
          <w:rFonts w:hint="eastAsia" w:eastAsia="仿宋_GB2312" w:cs="Times New Roman"/>
          <w:color w:val="000000"/>
          <w:kern w:val="0"/>
        </w:rPr>
        <w:t>。</w:t>
      </w:r>
      <w:r>
        <w:rPr>
          <w:rFonts w:eastAsia="仿宋_GB2312" w:cs="Times New Roman"/>
        </w:rPr>
        <w:t>对于内部现有停车位且具备改造空间的小区，综合考虑一定比例的停车位进行改造建设公用桩</w:t>
      </w:r>
      <w:r>
        <w:rPr>
          <w:rFonts w:hint="eastAsia" w:eastAsia="仿宋_GB2312" w:cs="Times New Roman"/>
        </w:rPr>
        <w:t>；</w:t>
      </w:r>
      <w:r>
        <w:rPr>
          <w:rFonts w:eastAsia="仿宋_GB2312" w:cs="Times New Roman"/>
        </w:rPr>
        <w:t>对于内部没有停车位或</w:t>
      </w:r>
      <w:r>
        <w:rPr>
          <w:rFonts w:hint="eastAsia" w:eastAsia="仿宋_GB2312" w:cs="Times New Roman"/>
        </w:rPr>
        <w:t>有停车位但</w:t>
      </w:r>
      <w:r>
        <w:rPr>
          <w:rFonts w:eastAsia="仿宋_GB2312" w:cs="Times New Roman"/>
        </w:rPr>
        <w:t>改造空间受限的小区，需在小区附近新建</w:t>
      </w:r>
      <w:r>
        <w:rPr>
          <w:rFonts w:hint="eastAsia" w:eastAsia="仿宋_GB2312" w:cs="Times New Roman"/>
        </w:rPr>
        <w:t>外部公共</w:t>
      </w:r>
      <w:r>
        <w:rPr>
          <w:rFonts w:eastAsia="仿宋_GB2312" w:cs="Times New Roman"/>
        </w:rPr>
        <w:t>充电站，</w:t>
      </w:r>
      <w:r>
        <w:rPr>
          <w:rFonts w:hint="eastAsia" w:eastAsia="仿宋_GB2312" w:cs="Times New Roman"/>
        </w:rPr>
        <w:t>以</w:t>
      </w:r>
      <w:r>
        <w:rPr>
          <w:rFonts w:eastAsia="仿宋_GB2312" w:cs="Times New Roman"/>
        </w:rPr>
        <w:t>满足小区</w:t>
      </w:r>
      <w:r>
        <w:rPr>
          <w:rFonts w:hint="eastAsia" w:eastAsia="仿宋_GB2312" w:cs="Times New Roman"/>
        </w:rPr>
        <w:t>新能源车</w:t>
      </w:r>
      <w:r>
        <w:rPr>
          <w:rFonts w:eastAsia="仿宋_GB2312" w:cs="Times New Roman"/>
        </w:rPr>
        <w:t>充电需求。</w:t>
      </w:r>
      <w:r>
        <w:rPr>
          <w:rFonts w:hint="eastAsia" w:eastAsia="仿宋_GB2312" w:cs="Times New Roman"/>
        </w:rPr>
        <w:t>具体原则如下</w:t>
      </w:r>
      <w:r>
        <w:rPr>
          <w:rFonts w:eastAsia="仿宋_GB2312" w:cs="Times New Roman"/>
        </w:rPr>
        <w:t>：</w:t>
      </w:r>
    </w:p>
    <w:p>
      <w:pPr>
        <w:adjustRightInd w:val="0"/>
        <w:snapToGrid w:val="0"/>
        <w:ind w:firstLine="560"/>
        <w:rPr>
          <w:rFonts w:eastAsia="仿宋_GB2312" w:cs="Times New Roman"/>
        </w:rPr>
      </w:pPr>
      <w:r>
        <w:rPr>
          <w:rFonts w:hint="eastAsia" w:eastAsia="仿宋_GB2312" w:cs="Times New Roman"/>
        </w:rPr>
        <w:t>2018年以前小区以咸安区三</w:t>
      </w:r>
      <w:r>
        <w:rPr>
          <w:rFonts w:eastAsia="仿宋_GB2312" w:cs="Times New Roman"/>
        </w:rPr>
        <w:t>户一车</w:t>
      </w:r>
      <w:r>
        <w:rPr>
          <w:rFonts w:hint="eastAsia" w:eastAsia="仿宋_GB2312" w:cs="Times New Roman"/>
        </w:rPr>
        <w:t>、市县五户一车</w:t>
      </w:r>
      <w:r>
        <w:rPr>
          <w:rFonts w:eastAsia="仿宋_GB2312" w:cs="Times New Roman"/>
        </w:rPr>
        <w:t>考虑小区内部汽车</w:t>
      </w:r>
      <w:r>
        <w:rPr>
          <w:rFonts w:hint="eastAsia" w:eastAsia="仿宋_GB2312" w:cs="Times New Roman"/>
        </w:rPr>
        <w:t>规模</w:t>
      </w:r>
      <w:r>
        <w:rPr>
          <w:rFonts w:eastAsia="仿宋_GB2312" w:cs="Times New Roman"/>
        </w:rPr>
        <w:t>；</w:t>
      </w:r>
    </w:p>
    <w:p>
      <w:pPr>
        <w:adjustRightInd w:val="0"/>
        <w:snapToGrid w:val="0"/>
        <w:ind w:firstLine="560"/>
        <w:rPr>
          <w:rFonts w:eastAsia="仿宋_GB2312" w:cs="Times New Roman"/>
        </w:rPr>
      </w:pPr>
      <w:r>
        <w:rPr>
          <w:rFonts w:eastAsia="仿宋_GB2312" w:cs="Times New Roman"/>
        </w:rPr>
        <w:t>根据</w:t>
      </w:r>
      <w:r>
        <w:rPr>
          <w:rFonts w:hint="eastAsia" w:eastAsia="仿宋_GB2312" w:cs="Times New Roman"/>
        </w:rPr>
        <w:t>预测的咸宁</w:t>
      </w:r>
      <w:r>
        <w:rPr>
          <w:rFonts w:eastAsia="仿宋_GB2312" w:cs="Times New Roman"/>
        </w:rPr>
        <w:t>市各个地区新能源汽车渗透率</w:t>
      </w:r>
      <w:r>
        <w:rPr>
          <w:rFonts w:hint="eastAsia" w:eastAsia="仿宋_GB2312" w:cs="Times New Roman"/>
        </w:rPr>
        <w:t>和小区住户数</w:t>
      </w:r>
      <w:r>
        <w:rPr>
          <w:rFonts w:eastAsia="仿宋_GB2312" w:cs="Times New Roman"/>
        </w:rPr>
        <w:t>来</w:t>
      </w:r>
      <w:r>
        <w:rPr>
          <w:rFonts w:hint="eastAsia" w:eastAsia="仿宋_GB2312" w:cs="Times New Roman"/>
        </w:rPr>
        <w:t>估算老旧小区内部</w:t>
      </w:r>
      <w:r>
        <w:rPr>
          <w:rFonts w:eastAsia="仿宋_GB2312" w:cs="Times New Roman"/>
        </w:rPr>
        <w:t>新能源</w:t>
      </w:r>
      <w:r>
        <w:rPr>
          <w:rFonts w:hint="eastAsia" w:eastAsia="仿宋_GB2312" w:cs="Times New Roman"/>
        </w:rPr>
        <w:t>汽车</w:t>
      </w:r>
      <w:r>
        <w:rPr>
          <w:rFonts w:eastAsia="仿宋_GB2312" w:cs="Times New Roman"/>
        </w:rPr>
        <w:t>数量；</w:t>
      </w:r>
    </w:p>
    <w:p>
      <w:pPr>
        <w:adjustRightInd w:val="0"/>
        <w:snapToGrid w:val="0"/>
        <w:ind w:firstLine="560"/>
        <w:rPr>
          <w:rFonts w:eastAsia="仿宋_GB2312" w:cs="Times New Roman"/>
        </w:rPr>
      </w:pPr>
      <w:r>
        <w:rPr>
          <w:rFonts w:eastAsia="仿宋_GB2312" w:cs="Times New Roman"/>
        </w:rPr>
        <w:t>小区需求公用桩位与新能源汽车数量比值取1:5；</w:t>
      </w:r>
    </w:p>
    <w:p>
      <w:pPr>
        <w:adjustRightInd w:val="0"/>
        <w:snapToGrid w:val="0"/>
        <w:ind w:firstLine="560"/>
        <w:rPr>
          <w:rFonts w:eastAsia="仿宋_GB2312" w:cs="Times New Roman"/>
        </w:rPr>
      </w:pPr>
      <w:r>
        <w:rPr>
          <w:rFonts w:eastAsia="仿宋_GB2312" w:cs="Times New Roman"/>
        </w:rPr>
        <w:t>为不影响普通燃油汽车停车使用，小区充电桩能建数量按小区地上车位数的20%考虑</w:t>
      </w:r>
      <w:r>
        <w:rPr>
          <w:rFonts w:hint="eastAsia" w:eastAsia="仿宋_GB2312" w:cs="Times New Roman"/>
        </w:rPr>
        <w:t>。当小区地上停车位小于10个时，考虑到燃油车停车位不足，不建议建设充电桩</w:t>
      </w:r>
      <w:r>
        <w:rPr>
          <w:rFonts w:eastAsia="仿宋_GB2312" w:cs="Times New Roman"/>
        </w:rPr>
        <w:t>；</w:t>
      </w:r>
    </w:p>
    <w:p>
      <w:pPr>
        <w:adjustRightInd w:val="0"/>
        <w:snapToGrid w:val="0"/>
        <w:ind w:firstLine="560"/>
        <w:rPr>
          <w:rFonts w:eastAsia="仿宋_GB2312" w:cs="Times New Roman"/>
        </w:rPr>
      </w:pPr>
      <w:r>
        <w:rPr>
          <w:rFonts w:eastAsia="仿宋_GB2312" w:cs="Times New Roman"/>
        </w:rPr>
        <w:t>当小区能建桩数&lt;小区需求桩数时，则考虑小区附近公共充电桩补充。</w:t>
      </w:r>
    </w:p>
    <w:p>
      <w:pPr>
        <w:adjustRightInd w:val="0"/>
        <w:snapToGrid w:val="0"/>
        <w:ind w:firstLine="560"/>
        <w:rPr>
          <w:rFonts w:eastAsia="仿宋_GB2312" w:cs="Times New Roman"/>
        </w:rPr>
      </w:pPr>
      <w:r>
        <w:rPr>
          <w:rFonts w:hint="eastAsia" w:eastAsia="仿宋_GB2312" w:cs="Times New Roman"/>
          <w:color w:val="000000"/>
          <w:kern w:val="0"/>
        </w:rPr>
        <w:t>4）</w:t>
      </w:r>
      <w:r>
        <w:rPr>
          <w:rFonts w:eastAsia="仿宋_GB2312" w:cs="Times New Roman"/>
          <w:color w:val="000000"/>
          <w:kern w:val="0"/>
        </w:rPr>
        <w:t>对于年限较长的老旧小区</w:t>
      </w:r>
      <w:r>
        <w:rPr>
          <w:rFonts w:hint="eastAsia" w:eastAsia="仿宋_GB2312" w:cs="Times New Roman"/>
          <w:color w:val="000000"/>
          <w:kern w:val="0"/>
        </w:rPr>
        <w:t>（</w:t>
      </w:r>
      <w:r>
        <w:rPr>
          <w:rFonts w:eastAsia="仿宋_GB2312" w:cs="Times New Roman"/>
        </w:rPr>
        <w:t>指在2000年之前建设完成的住宅小区</w:t>
      </w:r>
      <w:r>
        <w:rPr>
          <w:rFonts w:hint="eastAsia" w:eastAsia="仿宋_GB2312" w:cs="Times New Roman"/>
        </w:rPr>
        <w:t>），</w:t>
      </w:r>
      <w:r>
        <w:rPr>
          <w:rFonts w:eastAsia="仿宋_GB2312" w:cs="Times New Roman"/>
        </w:rPr>
        <w:t>由于小区设施老旧、配套落后、停车位不足等问题，</w:t>
      </w:r>
      <w:r>
        <w:rPr>
          <w:rFonts w:hint="eastAsia" w:eastAsia="仿宋_GB2312" w:cs="Times New Roman"/>
          <w:color w:val="000000"/>
          <w:kern w:val="0"/>
        </w:rPr>
        <w:t>暂不</w:t>
      </w:r>
      <w:r>
        <w:rPr>
          <w:rFonts w:eastAsia="仿宋_GB2312" w:cs="Times New Roman"/>
          <w:color w:val="000000"/>
          <w:kern w:val="0"/>
        </w:rPr>
        <w:t>考虑建设公用充电设施</w:t>
      </w:r>
      <w:r>
        <w:rPr>
          <w:rFonts w:hint="eastAsia" w:eastAsia="仿宋_GB2312" w:cs="Times New Roman"/>
          <w:color w:val="000000"/>
          <w:kern w:val="0"/>
        </w:rPr>
        <w:t>，</w:t>
      </w:r>
      <w:r>
        <w:rPr>
          <w:rFonts w:eastAsia="仿宋_GB2312" w:cs="Times New Roman"/>
        </w:rPr>
        <w:t>在小区附近新建</w:t>
      </w:r>
      <w:r>
        <w:rPr>
          <w:rFonts w:hint="eastAsia" w:eastAsia="仿宋_GB2312" w:cs="Times New Roman"/>
        </w:rPr>
        <w:t>外部公共</w:t>
      </w:r>
      <w:r>
        <w:rPr>
          <w:rFonts w:eastAsia="仿宋_GB2312" w:cs="Times New Roman"/>
        </w:rPr>
        <w:t>充电站，</w:t>
      </w:r>
      <w:r>
        <w:rPr>
          <w:rFonts w:hint="eastAsia" w:eastAsia="仿宋_GB2312" w:cs="Times New Roman"/>
        </w:rPr>
        <w:t>原则与不具备充电设施建设改造条件的次新小区一致</w:t>
      </w:r>
      <w:r>
        <w:rPr>
          <w:rFonts w:eastAsia="仿宋_GB2312" w:cs="Times New Roman"/>
        </w:rPr>
        <w:t>。</w:t>
      </w:r>
    </w:p>
    <w:p>
      <w:pPr>
        <w:adjustRightInd w:val="0"/>
        <w:snapToGrid w:val="0"/>
        <w:ind w:firstLine="560"/>
        <w:rPr>
          <w:rFonts w:eastAsia="仿宋_GB2312" w:cs="Times New Roman"/>
        </w:rPr>
      </w:pPr>
      <w:r>
        <w:rPr>
          <w:rFonts w:eastAsia="仿宋_GB2312" w:cs="Times New Roman"/>
        </w:rPr>
        <w:t>（3）公共充电设施应结合车流客流特征因素，充分利用现状及规划停车场资源选址布局</w:t>
      </w:r>
      <w:r>
        <w:rPr>
          <w:rFonts w:hint="eastAsia" w:eastAsia="仿宋_GB2312" w:cs="Times New Roman"/>
        </w:rPr>
        <w:t>。</w:t>
      </w:r>
    </w:p>
    <w:p>
      <w:pPr>
        <w:adjustRightInd w:val="0"/>
        <w:snapToGrid w:val="0"/>
        <w:ind w:firstLine="560"/>
        <w:rPr>
          <w:rFonts w:eastAsia="仿宋_GB2312" w:cs="Times New Roman"/>
        </w:rPr>
      </w:pPr>
      <w:r>
        <w:rPr>
          <w:rFonts w:eastAsia="仿宋_GB2312" w:cs="Times New Roman"/>
        </w:rPr>
        <w:t>（4）公共充电设施选址应考虑场地产权方的建设意愿</w:t>
      </w:r>
      <w:r>
        <w:rPr>
          <w:rFonts w:hint="eastAsia" w:eastAsia="仿宋_GB2312" w:cs="Times New Roman"/>
        </w:rPr>
        <w:t>。</w:t>
      </w:r>
    </w:p>
    <w:p>
      <w:pPr>
        <w:adjustRightInd w:val="0"/>
        <w:snapToGrid w:val="0"/>
        <w:ind w:firstLine="560"/>
        <w:rPr>
          <w:rFonts w:eastAsia="仿宋_GB2312" w:cs="Times New Roman"/>
        </w:rPr>
      </w:pPr>
      <w:r>
        <w:rPr>
          <w:rFonts w:eastAsia="仿宋_GB2312" w:cs="Times New Roman"/>
        </w:rPr>
        <w:t>（5）公共充电设施选址应考虑现状与规划期内的电源条件，包括电源点位置、线路通道、电网裕度等</w:t>
      </w:r>
      <w:r>
        <w:rPr>
          <w:rFonts w:hint="eastAsia" w:eastAsia="仿宋_GB2312" w:cs="Times New Roman"/>
        </w:rPr>
        <w:t>。</w:t>
      </w:r>
    </w:p>
    <w:p>
      <w:pPr>
        <w:adjustRightInd w:val="0"/>
        <w:snapToGrid w:val="0"/>
        <w:ind w:firstLine="560"/>
        <w:rPr>
          <w:rFonts w:eastAsia="仿宋_GB2312" w:cs="Times New Roman"/>
        </w:rPr>
      </w:pPr>
      <w:r>
        <w:rPr>
          <w:rFonts w:eastAsia="仿宋_GB2312" w:cs="Times New Roman"/>
        </w:rPr>
        <w:t>（6）公共充电设施选址应尽量减少对交通运输的影响，宜靠近城市道路，不宜选在城市干道的交叉路口和交通繁忙路段附近</w:t>
      </w:r>
      <w:r>
        <w:rPr>
          <w:rFonts w:hint="eastAsia" w:eastAsia="仿宋_GB2312" w:cs="Times New Roman"/>
        </w:rPr>
        <w:t>。</w:t>
      </w:r>
    </w:p>
    <w:p>
      <w:pPr>
        <w:adjustRightInd w:val="0"/>
        <w:snapToGrid w:val="0"/>
        <w:ind w:firstLine="560"/>
        <w:rPr>
          <w:rFonts w:eastAsia="仿宋_GB2312" w:cs="Times New Roman"/>
        </w:rPr>
      </w:pPr>
      <w:r>
        <w:rPr>
          <w:rFonts w:eastAsia="仿宋_GB2312" w:cs="Times New Roman"/>
        </w:rPr>
        <w:t>（7）公共充电设施选址应满足便利性、经济性、安全性等要求。</w:t>
      </w:r>
    </w:p>
    <w:p>
      <w:pPr>
        <w:adjustRightInd w:val="0"/>
        <w:snapToGrid w:val="0"/>
        <w:ind w:firstLine="560"/>
        <w:rPr>
          <w:rFonts w:eastAsia="仿宋_GB2312" w:cs="Times New Roman"/>
        </w:rPr>
      </w:pPr>
      <w:r>
        <w:rPr>
          <w:rFonts w:eastAsia="仿宋_GB2312" w:cs="Times New Roman"/>
        </w:rPr>
        <w:t>（8）公共充电设施选址应满足消防安全的要求</w:t>
      </w:r>
      <w:r>
        <w:rPr>
          <w:rFonts w:hint="eastAsia" w:eastAsia="仿宋_GB2312" w:cs="Times New Roman"/>
        </w:rPr>
        <w:t>。</w:t>
      </w:r>
    </w:p>
    <w:p>
      <w:pPr>
        <w:adjustRightInd w:val="0"/>
        <w:snapToGrid w:val="0"/>
        <w:ind w:firstLine="560"/>
        <w:rPr>
          <w:rFonts w:eastAsia="仿宋_GB2312" w:cs="Times New Roman"/>
        </w:rPr>
      </w:pPr>
      <w:r>
        <w:rPr>
          <w:rFonts w:eastAsia="仿宋_GB2312" w:cs="Times New Roman"/>
        </w:rPr>
        <w:t>（9）在满足消防安全距离条件下，公共充电站选址应优先考虑在加油站内或附近。</w:t>
      </w:r>
    </w:p>
    <w:p>
      <w:pPr>
        <w:adjustRightInd w:val="0"/>
        <w:snapToGrid w:val="0"/>
        <w:ind w:firstLine="562"/>
        <w:rPr>
          <w:rFonts w:eastAsia="仿宋_GB2312" w:cs="Times New Roman"/>
          <w:b/>
          <w:bCs/>
        </w:rPr>
      </w:pPr>
      <w:r>
        <w:rPr>
          <w:rFonts w:eastAsia="仿宋_GB2312" w:cs="Times New Roman"/>
          <w:b/>
          <w:bCs/>
        </w:rPr>
        <w:t>2.空间布局原则</w:t>
      </w:r>
    </w:p>
    <w:p>
      <w:pPr>
        <w:adjustRightInd w:val="0"/>
        <w:snapToGrid w:val="0"/>
        <w:ind w:firstLine="560"/>
        <w:rPr>
          <w:rFonts w:eastAsia="仿宋_GB2312" w:cs="Times New Roman"/>
        </w:rPr>
      </w:pPr>
      <w:r>
        <w:rPr>
          <w:rFonts w:eastAsia="仿宋_GB2312" w:cs="Times New Roman"/>
        </w:rPr>
        <w:t>（1）城市中心区域（街道及中心城镇）应结合充电需求、区域功能定位及特点，合理设置充电服务半径目标。</w:t>
      </w:r>
    </w:p>
    <w:p>
      <w:pPr>
        <w:adjustRightInd w:val="0"/>
        <w:snapToGrid w:val="0"/>
        <w:ind w:firstLine="560"/>
        <w:rPr>
          <w:rFonts w:eastAsia="仿宋_GB2312" w:cs="Times New Roman"/>
        </w:rPr>
      </w:pPr>
      <w:r>
        <w:rPr>
          <w:rFonts w:eastAsia="仿宋_GB2312" w:cs="Times New Roman"/>
        </w:rPr>
        <w:t>（2）一般乡镇区域应确保公共充电网络的乡镇全覆盖，确保公共充电基础保障能力。</w:t>
      </w:r>
    </w:p>
    <w:p>
      <w:pPr>
        <w:adjustRightInd w:val="0"/>
        <w:snapToGrid w:val="0"/>
        <w:ind w:firstLine="560"/>
        <w:rPr>
          <w:rFonts w:eastAsia="仿宋_GB2312" w:cs="Times New Roman"/>
        </w:rPr>
      </w:pPr>
      <w:r>
        <w:rPr>
          <w:rFonts w:eastAsia="仿宋_GB2312" w:cs="Times New Roman"/>
        </w:rPr>
        <w:t>（3）公共充电设施空间布局宜按照“点、线、面”三个层次开展。其中：</w:t>
      </w:r>
    </w:p>
    <w:p>
      <w:pPr>
        <w:adjustRightInd w:val="0"/>
        <w:snapToGrid w:val="0"/>
        <w:ind w:firstLine="560"/>
        <w:rPr>
          <w:rFonts w:eastAsia="仿宋_GB2312" w:cs="Times New Roman"/>
        </w:rPr>
      </w:pPr>
      <w:r>
        <w:rPr>
          <w:rFonts w:eastAsia="仿宋_GB2312" w:cs="Times New Roman"/>
        </w:rPr>
        <w:t xml:space="preserve"> “点”上加强，交通枢纽、商业中心、大型综合体、旅游景点、文体设施等交通集散点宜结合停车场资源，按照“一点一站”的原则布局；</w:t>
      </w:r>
    </w:p>
    <w:p>
      <w:pPr>
        <w:adjustRightInd w:val="0"/>
        <w:snapToGrid w:val="0"/>
        <w:ind w:firstLine="560"/>
        <w:rPr>
          <w:rFonts w:eastAsia="仿宋_GB2312" w:cs="Times New Roman"/>
        </w:rPr>
      </w:pPr>
      <w:r>
        <w:rPr>
          <w:rFonts w:eastAsia="仿宋_GB2312" w:cs="Times New Roman"/>
        </w:rPr>
        <w:t xml:space="preserve"> “线”上连通，主要结合规划和现状的城市主干道（含</w:t>
      </w:r>
      <w:r>
        <w:rPr>
          <w:rFonts w:hint="eastAsia" w:eastAsia="仿宋_GB2312" w:cs="Times New Roman"/>
        </w:rPr>
        <w:t>高速、</w:t>
      </w:r>
      <w:r>
        <w:rPr>
          <w:rFonts w:eastAsia="仿宋_GB2312" w:cs="Times New Roman"/>
        </w:rPr>
        <w:t>国道、省道等）周边停车场进行布局；</w:t>
      </w:r>
    </w:p>
    <w:p>
      <w:pPr>
        <w:adjustRightInd w:val="0"/>
        <w:snapToGrid w:val="0"/>
        <w:ind w:firstLine="560"/>
        <w:rPr>
          <w:rFonts w:eastAsia="仿宋_GB2312" w:cs="Times New Roman"/>
        </w:rPr>
      </w:pPr>
      <w:r>
        <w:rPr>
          <w:rFonts w:eastAsia="仿宋_GB2312" w:cs="Times New Roman"/>
        </w:rPr>
        <w:t>“面”上覆盖，主要按照服务半径要求合理布局，满足规划区基本充电需求。</w:t>
      </w:r>
    </w:p>
    <w:p>
      <w:pPr>
        <w:adjustRightInd w:val="0"/>
        <w:snapToGrid w:val="0"/>
        <w:ind w:firstLine="560"/>
        <w:rPr>
          <w:rFonts w:eastAsia="仿宋_GB2312" w:cs="Times New Roman"/>
        </w:rPr>
      </w:pPr>
      <w:r>
        <w:rPr>
          <w:rFonts w:eastAsia="仿宋_GB2312" w:cs="Times New Roman"/>
        </w:rPr>
        <w:t>（4）公共充电设施布局应结合政府政策、城市定位、充电需求、市场环境、土地资源等因素，以快充为主，根据场地周边业态、停车场资源、电网容量、用户出行及停车特性，合理配置站点内充电桩设备类型及数量。</w:t>
      </w:r>
    </w:p>
    <w:p>
      <w:pPr>
        <w:adjustRightInd w:val="0"/>
        <w:snapToGrid w:val="0"/>
        <w:ind w:firstLine="562"/>
        <w:rPr>
          <w:rFonts w:eastAsia="仿宋_GB2312" w:cs="Times New Roman"/>
          <w:b/>
          <w:bCs/>
        </w:rPr>
      </w:pPr>
      <w:r>
        <w:rPr>
          <w:rFonts w:eastAsia="仿宋_GB2312" w:cs="Times New Roman"/>
          <w:b/>
          <w:bCs/>
        </w:rPr>
        <w:t>3.时序安排原则</w:t>
      </w:r>
    </w:p>
    <w:p>
      <w:pPr>
        <w:adjustRightInd w:val="0"/>
        <w:snapToGrid w:val="0"/>
        <w:ind w:firstLine="560"/>
        <w:rPr>
          <w:rFonts w:eastAsia="仿宋_GB2312" w:cs="Times New Roman"/>
        </w:rPr>
      </w:pPr>
      <w:r>
        <w:rPr>
          <w:rFonts w:eastAsia="仿宋_GB2312" w:cs="Times New Roman"/>
        </w:rPr>
        <w:t>（</w:t>
      </w:r>
      <w:r>
        <w:rPr>
          <w:rFonts w:hint="eastAsia" w:eastAsia="仿宋_GB2312" w:cs="Times New Roman"/>
        </w:rPr>
        <w:t>1</w:t>
      </w:r>
      <w:r>
        <w:rPr>
          <w:rFonts w:eastAsia="仿宋_GB2312" w:cs="Times New Roman"/>
        </w:rPr>
        <w:t>）公共充电设施项目建设时序安排应实现各区域均衡发展。</w:t>
      </w:r>
    </w:p>
    <w:p>
      <w:pPr>
        <w:adjustRightInd w:val="0"/>
        <w:snapToGrid w:val="0"/>
        <w:ind w:firstLine="560"/>
        <w:rPr>
          <w:rFonts w:eastAsia="仿宋_GB2312" w:cs="Times New Roman"/>
        </w:rPr>
      </w:pPr>
      <w:r>
        <w:rPr>
          <w:rFonts w:eastAsia="仿宋_GB2312" w:cs="Times New Roman"/>
        </w:rPr>
        <w:t>（</w:t>
      </w:r>
      <w:r>
        <w:rPr>
          <w:rFonts w:hint="eastAsia" w:eastAsia="仿宋_GB2312" w:cs="Times New Roman"/>
        </w:rPr>
        <w:t>2</w:t>
      </w:r>
      <w:r>
        <w:rPr>
          <w:rFonts w:eastAsia="仿宋_GB2312" w:cs="Times New Roman"/>
        </w:rPr>
        <w:t>）优先安排充电需求较大、建设条件成熟的公共充电设施项目。</w:t>
      </w:r>
    </w:p>
    <w:p>
      <w:pPr>
        <w:adjustRightInd w:val="0"/>
        <w:snapToGrid w:val="0"/>
        <w:ind w:firstLine="560"/>
        <w:rPr>
          <w:rFonts w:eastAsia="仿宋_GB2312" w:cs="Times New Roman"/>
        </w:rPr>
      </w:pPr>
      <w:r>
        <w:rPr>
          <w:rFonts w:eastAsia="仿宋_GB2312" w:cs="Times New Roman"/>
        </w:rPr>
        <w:t>（</w:t>
      </w:r>
      <w:r>
        <w:rPr>
          <w:rFonts w:hint="eastAsia" w:eastAsia="仿宋_GB2312" w:cs="Times New Roman"/>
        </w:rPr>
        <w:t>3</w:t>
      </w:r>
      <w:r>
        <w:rPr>
          <w:rFonts w:eastAsia="仿宋_GB2312" w:cs="Times New Roman"/>
        </w:rPr>
        <w:t>）优先安排基础保障型公共充电设施项目，确保充电普惠服务能力。</w:t>
      </w:r>
    </w:p>
    <w:p>
      <w:pPr>
        <w:pStyle w:val="4"/>
        <w:spacing w:before="156" w:after="156"/>
        <w:rPr>
          <w:rFonts w:eastAsia="仿宋_GB2312"/>
        </w:rPr>
      </w:pPr>
      <w:bookmarkStart w:id="152" w:name="_Toc117243217"/>
      <w:r>
        <w:rPr>
          <w:rFonts w:eastAsia="仿宋_GB2312"/>
        </w:rPr>
        <w:t>自用充电设施布局原则</w:t>
      </w:r>
      <w:bookmarkEnd w:id="152"/>
    </w:p>
    <w:p>
      <w:pPr>
        <w:autoSpaceDE w:val="0"/>
        <w:autoSpaceDN w:val="0"/>
        <w:adjustRightInd w:val="0"/>
        <w:snapToGrid w:val="0"/>
        <w:ind w:firstLine="560"/>
        <w:rPr>
          <w:rFonts w:eastAsia="仿宋_GB2312" w:cs="Times New Roman"/>
          <w:color w:val="000000"/>
          <w:kern w:val="0"/>
        </w:rPr>
      </w:pPr>
      <w:bookmarkStart w:id="153" w:name="OLE_LINK11"/>
      <w:r>
        <w:rPr>
          <w:rFonts w:eastAsia="仿宋_GB2312" w:cs="Times New Roman"/>
          <w:color w:val="000000"/>
          <w:kern w:val="0"/>
        </w:rPr>
        <w:t>自用充电设施建设在小区内部私人停车位或长期租赁固定停车位上。</w:t>
      </w:r>
      <w:r>
        <w:rPr>
          <w:rFonts w:hint="eastAsia" w:eastAsia="仿宋_GB2312" w:cs="Times New Roman"/>
          <w:color w:val="000000"/>
          <w:kern w:val="0"/>
        </w:rPr>
        <w:t>在建、将建</w:t>
      </w:r>
      <w:r>
        <w:rPr>
          <w:rFonts w:eastAsia="仿宋_GB2312" w:cs="Times New Roman"/>
          <w:color w:val="000000"/>
          <w:kern w:val="0"/>
        </w:rPr>
        <w:t>住宅小区停车位应全部预留充电桩建设安装条件，配建的充电桩原则上不少于规划停车位的10%；</w:t>
      </w:r>
      <w:r>
        <w:rPr>
          <w:rFonts w:hint="eastAsia" w:eastAsia="仿宋_GB2312" w:cs="Times New Roman"/>
          <w:color w:val="000000"/>
          <w:kern w:val="0"/>
        </w:rPr>
        <w:t>新建</w:t>
      </w:r>
      <w:r>
        <w:rPr>
          <w:rFonts w:eastAsia="仿宋_GB2312" w:cs="Times New Roman"/>
          <w:color w:val="000000"/>
          <w:kern w:val="0"/>
        </w:rPr>
        <w:t>的住宅小区住宅配建按照不低于总停车位数10%的比例逐步改造、加装充电基础设施，以满足用户充电需求；对于建设年限较长的老旧小区，存在小区供电容量不足、地下私人停车位通风条件较差、消防条件达不到要求且改造困难等问题，有严重地安全隐患，不建议安装自用桩，可考虑在地上公共停车位上安装公共桩来解决小区新能源私家车充电问题。</w:t>
      </w:r>
    </w:p>
    <w:bookmarkEnd w:id="153"/>
    <w:p>
      <w:pPr>
        <w:pStyle w:val="4"/>
        <w:spacing w:before="156" w:after="156"/>
        <w:rPr>
          <w:rFonts w:eastAsia="仿宋_GB2312"/>
        </w:rPr>
      </w:pPr>
      <w:bookmarkStart w:id="154" w:name="_Toc117243218"/>
      <w:r>
        <w:rPr>
          <w:rFonts w:eastAsia="仿宋_GB2312"/>
        </w:rPr>
        <w:t>充电设备选型原则</w:t>
      </w:r>
      <w:bookmarkEnd w:id="154"/>
    </w:p>
    <w:p>
      <w:pPr>
        <w:pStyle w:val="583"/>
        <w:ind w:firstLine="562"/>
        <w:rPr>
          <w:rFonts w:eastAsia="仿宋_GB2312"/>
          <w:b/>
          <w:bCs/>
        </w:rPr>
      </w:pPr>
      <w:r>
        <w:rPr>
          <w:rFonts w:eastAsia="仿宋_GB2312"/>
          <w:b/>
          <w:bCs/>
        </w:rPr>
        <w:t>1</w:t>
      </w:r>
      <w:r>
        <w:rPr>
          <w:rFonts w:hint="eastAsia" w:eastAsia="仿宋_GB2312"/>
          <w:b/>
          <w:bCs/>
        </w:rPr>
        <w:t>.</w:t>
      </w:r>
      <w:r>
        <w:rPr>
          <w:rFonts w:eastAsia="仿宋_GB2312"/>
          <w:b/>
          <w:bCs/>
        </w:rPr>
        <w:t>直流充电桩：</w:t>
      </w:r>
    </w:p>
    <w:p>
      <w:pPr>
        <w:pStyle w:val="583"/>
        <w:ind w:firstLine="560"/>
        <w:rPr>
          <w:rFonts w:eastAsia="仿宋_GB2312"/>
        </w:rPr>
      </w:pPr>
      <w:r>
        <w:rPr>
          <w:rFonts w:eastAsia="仿宋_GB2312"/>
        </w:rPr>
        <w:t>指固定在地面上，将电网交流电能转换为直流电能，采用传导方式为新能源汽车动力蓄电池充电的专用装置，按充电功率分为大、中、小三种基本类型。其中：</w:t>
      </w:r>
    </w:p>
    <w:p>
      <w:pPr>
        <w:pStyle w:val="583"/>
        <w:ind w:firstLine="560"/>
        <w:rPr>
          <w:rFonts w:eastAsia="仿宋_GB2312"/>
        </w:rPr>
      </w:pPr>
      <w:r>
        <w:rPr>
          <w:rFonts w:eastAsia="仿宋_GB2312"/>
        </w:rPr>
        <w:t>（1）大、中型充电桩：单台功率240kW、120kW的分体式或一体式直流充电桩，分为一机一枪和一机双枪，适用于大型城市公共、城市公交、城际客车及物流园充电站。其中一机双枪配备两个直流充电接口，两个充电接口轮流输出电流，双枪同时工作时，各接口最大输出功率平均分配设备的最大输出功率，即可以为公交车、物流车充电，也可以为两台小型新能源乘用车或小货车提供中等功率的充电服务。</w:t>
      </w:r>
    </w:p>
    <w:p>
      <w:pPr>
        <w:pStyle w:val="583"/>
        <w:ind w:firstLine="560"/>
        <w:rPr>
          <w:rFonts w:eastAsia="仿宋_GB2312"/>
        </w:rPr>
      </w:pPr>
      <w:r>
        <w:rPr>
          <w:rFonts w:eastAsia="仿宋_GB2312"/>
        </w:rPr>
        <w:t>（2）小型充电桩：单台功率60kW的一体式直流充电桩，为一机一枪。既适用于大型城市公共、公务场所、居住区等充电站，也适用于城市公交、城际客车和物流园充电站的社会共享充电车位，主要为小型新能源乘用车（出租车、私家车、公务车等）或物流、环卫等小型货车提供中等功率的充电服务。</w:t>
      </w:r>
    </w:p>
    <w:p>
      <w:pPr>
        <w:pStyle w:val="583"/>
        <w:ind w:firstLine="562"/>
        <w:rPr>
          <w:rFonts w:eastAsia="仿宋_GB2312"/>
          <w:b/>
          <w:bCs/>
        </w:rPr>
      </w:pPr>
      <w:r>
        <w:rPr>
          <w:rFonts w:eastAsia="仿宋_GB2312"/>
          <w:b/>
          <w:bCs/>
        </w:rPr>
        <w:t>2</w:t>
      </w:r>
      <w:r>
        <w:rPr>
          <w:rFonts w:hint="eastAsia" w:eastAsia="仿宋_GB2312"/>
          <w:b/>
          <w:bCs/>
        </w:rPr>
        <w:t>.</w:t>
      </w:r>
      <w:r>
        <w:rPr>
          <w:rFonts w:eastAsia="仿宋_GB2312"/>
          <w:b/>
          <w:bCs/>
        </w:rPr>
        <w:t>交流充电桩：</w:t>
      </w:r>
    </w:p>
    <w:p>
      <w:pPr>
        <w:pStyle w:val="583"/>
        <w:ind w:firstLine="560"/>
        <w:rPr>
          <w:rFonts w:eastAsia="仿宋_GB2312"/>
        </w:rPr>
      </w:pPr>
      <w:r>
        <w:rPr>
          <w:rFonts w:eastAsia="仿宋_GB2312"/>
        </w:rPr>
        <w:t>采用传导方式为具有车载充电机的新能源汽车提供交流电能的专用装置。</w:t>
      </w:r>
    </w:p>
    <w:p>
      <w:pPr>
        <w:pStyle w:val="583"/>
        <w:ind w:firstLine="560"/>
        <w:rPr>
          <w:rFonts w:eastAsia="仿宋_GB2312"/>
        </w:rPr>
      </w:pPr>
      <w:r>
        <w:rPr>
          <w:rFonts w:eastAsia="仿宋_GB2312"/>
        </w:rPr>
        <w:t>（1）交流充电桩额定功率一般选择7kW。供电电源采用220V交流电压，额定电流不大于32A。</w:t>
      </w:r>
    </w:p>
    <w:p>
      <w:pPr>
        <w:pStyle w:val="583"/>
        <w:ind w:firstLine="560"/>
        <w:rPr>
          <w:rFonts w:eastAsia="仿宋_GB2312"/>
        </w:rPr>
      </w:pPr>
      <w:r>
        <w:rPr>
          <w:rFonts w:eastAsia="仿宋_GB2312"/>
        </w:rPr>
        <w:t>（2）交流充电桩应具备为新能源汽车车载充电机提供安全、可靠的交流电源的能量。符合下列技术要求：具有外部手动设置参数和实现手动控制的功能界面；能显示运行状态、充电电量及计费信息；具备急停开关，充电过程中可以使用该装置紧急切断输出电源；具备过负荷保护、短路保护和漏电保护功能，具备自检及故障报警功能；充电过程中充电连接异常时，应能立即自动切断电源。</w:t>
      </w:r>
    </w:p>
    <w:p>
      <w:pPr>
        <w:pStyle w:val="583"/>
        <w:ind w:firstLine="560"/>
        <w:rPr>
          <w:rFonts w:eastAsia="仿宋_GB2312"/>
        </w:rPr>
      </w:pPr>
      <w:r>
        <w:rPr>
          <w:rFonts w:eastAsia="仿宋_GB2312"/>
        </w:rPr>
        <w:t>（3）交流充电桩的安装与布置：可采取地面室外和室内地面或地下的安装方式。符合下列技术要求：电源进线宜采用阻燃电缆及电缆护管，并应安装具有漏电保护功能的空气开关；多台交流充电桩的电源接线应考虑供电电源的三相平衡；可采取落地式或壁挂式等安装方式。落地式充电桩基础高出地坪0.2m以上，安装在公共区域或停车场的交流充电桩应采取防撞击措施，设置机械防撞措施，必要时可安装防撞栏；保护接地端子应可靠接地；室外的充电桩宜采取必要的防雨和防尘措施。</w:t>
      </w:r>
    </w:p>
    <w:p>
      <w:pPr>
        <w:pStyle w:val="583"/>
        <w:ind w:firstLine="560"/>
        <w:rPr>
          <w:rFonts w:eastAsia="仿宋_GB2312"/>
        </w:rPr>
      </w:pPr>
      <w:r>
        <w:rPr>
          <w:rFonts w:eastAsia="仿宋_GB2312"/>
        </w:rPr>
        <w:t>（4）交流充电桩主要适用于</w:t>
      </w:r>
      <w:r>
        <w:rPr>
          <w:rFonts w:hint="eastAsia" w:eastAsia="仿宋_GB2312"/>
        </w:rPr>
        <w:t>自用</w:t>
      </w:r>
      <w:r>
        <w:rPr>
          <w:rFonts w:eastAsia="仿宋_GB2312"/>
        </w:rPr>
        <w:t>充电设施场合，居民小区内充电设施主要选用交流桩。尤其是小区智能有序共享充电桩（受居住区配电系统容量及私家乘用车充电规律影响和限制。</w:t>
      </w:r>
    </w:p>
    <w:p>
      <w:pPr>
        <w:pStyle w:val="583"/>
        <w:ind w:firstLine="562"/>
        <w:rPr>
          <w:rFonts w:eastAsia="仿宋_GB2312"/>
          <w:b/>
          <w:bCs/>
        </w:rPr>
      </w:pPr>
      <w:r>
        <w:rPr>
          <w:rFonts w:hint="eastAsia" w:eastAsia="仿宋_GB2312"/>
          <w:b/>
          <w:bCs/>
        </w:rPr>
        <w:t>3.充电设施选取</w:t>
      </w:r>
    </w:p>
    <w:p>
      <w:pPr>
        <w:pStyle w:val="583"/>
        <w:ind w:firstLine="560"/>
        <w:rPr>
          <w:rFonts w:eastAsia="仿宋_GB2312"/>
        </w:rPr>
      </w:pPr>
      <w:r>
        <w:rPr>
          <w:rFonts w:hint="eastAsia" w:eastAsia="仿宋_GB2312"/>
        </w:rPr>
        <w:t xml:space="preserve">根据充电设施服务对象，充电特性机合理选择充电桩，本次规划公交、物流、环卫等专用充电设施以及公用充电设施选取120kW双枪， </w:t>
      </w:r>
      <w:r>
        <w:rPr>
          <w:rFonts w:eastAsia="仿宋_GB2312"/>
        </w:rPr>
        <w:t xml:space="preserve"> </w:t>
      </w:r>
      <w:r>
        <w:rPr>
          <w:rFonts w:hint="eastAsia" w:eastAsia="仿宋_GB2312"/>
        </w:rPr>
        <w:t>自用桩选取7k</w:t>
      </w:r>
      <w:r>
        <w:rPr>
          <w:rFonts w:eastAsia="仿宋_GB2312"/>
        </w:rPr>
        <w:t>W</w:t>
      </w:r>
      <w:r>
        <w:rPr>
          <w:rFonts w:hint="eastAsia" w:eastAsia="仿宋_GB2312"/>
        </w:rPr>
        <w:t>慢充桩。</w:t>
      </w:r>
    </w:p>
    <w:p>
      <w:pPr>
        <w:pStyle w:val="19"/>
        <w:ind w:left="1600" w:hanging="480"/>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r>
        <w:rPr>
          <w:rFonts w:hint="eastAsia" w:eastAsia="仿宋_GB2312" w:cs="Times New Roman"/>
        </w:rPr>
        <w:t>充电设施选取原则</w:t>
      </w:r>
      <w:r>
        <w:rPr>
          <w:rFonts w:eastAsia="仿宋_GB2312" w:cs="Times New Roman"/>
        </w:rPr>
        <w:t xml:space="preserve"> </w:t>
      </w:r>
    </w:p>
    <w:tbl>
      <w:tblPr>
        <w:tblStyle w:val="76"/>
        <w:tblW w:w="5257" w:type="pct"/>
        <w:tblInd w:w="0" w:type="dxa"/>
        <w:tblLayout w:type="autofit"/>
        <w:tblCellMar>
          <w:top w:w="0" w:type="dxa"/>
          <w:left w:w="108" w:type="dxa"/>
          <w:bottom w:w="0" w:type="dxa"/>
          <w:right w:w="108" w:type="dxa"/>
        </w:tblCellMar>
      </w:tblPr>
      <w:tblGrid>
        <w:gridCol w:w="3107"/>
        <w:gridCol w:w="2724"/>
        <w:gridCol w:w="3129"/>
      </w:tblGrid>
      <w:tr>
        <w:tblPrEx>
          <w:tblCellMar>
            <w:top w:w="0" w:type="dxa"/>
            <w:left w:w="108" w:type="dxa"/>
            <w:bottom w:w="0" w:type="dxa"/>
            <w:right w:w="108" w:type="dxa"/>
          </w:tblCellMar>
        </w:tblPrEx>
        <w:trPr>
          <w:trHeight w:val="185" w:hRule="atLeast"/>
        </w:trPr>
        <w:tc>
          <w:tcPr>
            <w:tcW w:w="173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车型</w:t>
            </w:r>
          </w:p>
        </w:tc>
        <w:tc>
          <w:tcPr>
            <w:tcW w:w="1520"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主要推荐充电方式</w:t>
            </w:r>
          </w:p>
        </w:tc>
        <w:tc>
          <w:tcPr>
            <w:tcW w:w="174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充电设施选取</w:t>
            </w:r>
          </w:p>
        </w:tc>
      </w:tr>
      <w:tr>
        <w:tblPrEx>
          <w:tblCellMar>
            <w:top w:w="0" w:type="dxa"/>
            <w:left w:w="108" w:type="dxa"/>
            <w:bottom w:w="0" w:type="dxa"/>
            <w:right w:w="108" w:type="dxa"/>
          </w:tblCellMar>
        </w:tblPrEx>
        <w:trPr>
          <w:trHeight w:val="185" w:hRule="atLeast"/>
        </w:trPr>
        <w:tc>
          <w:tcPr>
            <w:tcW w:w="1734"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公交车充电桩</w:t>
            </w:r>
          </w:p>
        </w:tc>
        <w:tc>
          <w:tcPr>
            <w:tcW w:w="152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专用充电设施快充</w:t>
            </w:r>
          </w:p>
        </w:tc>
        <w:tc>
          <w:tcPr>
            <w:tcW w:w="174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120kW一机双枪</w:t>
            </w:r>
          </w:p>
        </w:tc>
      </w:tr>
      <w:tr>
        <w:tblPrEx>
          <w:tblCellMar>
            <w:top w:w="0" w:type="dxa"/>
            <w:left w:w="108" w:type="dxa"/>
            <w:bottom w:w="0" w:type="dxa"/>
            <w:right w:w="108" w:type="dxa"/>
          </w:tblCellMar>
        </w:tblPrEx>
        <w:trPr>
          <w:trHeight w:val="185" w:hRule="atLeast"/>
        </w:trPr>
        <w:tc>
          <w:tcPr>
            <w:tcW w:w="1734"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公共桩</w:t>
            </w:r>
          </w:p>
        </w:tc>
        <w:tc>
          <w:tcPr>
            <w:tcW w:w="152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公用充电设施快充</w:t>
            </w:r>
          </w:p>
        </w:tc>
        <w:tc>
          <w:tcPr>
            <w:tcW w:w="174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120kW一机双枪</w:t>
            </w:r>
          </w:p>
        </w:tc>
      </w:tr>
      <w:tr>
        <w:tblPrEx>
          <w:tblCellMar>
            <w:top w:w="0" w:type="dxa"/>
            <w:left w:w="108" w:type="dxa"/>
            <w:bottom w:w="0" w:type="dxa"/>
            <w:right w:w="108" w:type="dxa"/>
          </w:tblCellMar>
        </w:tblPrEx>
        <w:trPr>
          <w:trHeight w:val="185" w:hRule="atLeast"/>
        </w:trPr>
        <w:tc>
          <w:tcPr>
            <w:tcW w:w="1734"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环卫、物流充电桩</w:t>
            </w:r>
          </w:p>
        </w:tc>
        <w:tc>
          <w:tcPr>
            <w:tcW w:w="152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专用充电设施快充</w:t>
            </w:r>
          </w:p>
        </w:tc>
        <w:tc>
          <w:tcPr>
            <w:tcW w:w="174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120kW一机双枪</w:t>
            </w:r>
          </w:p>
        </w:tc>
      </w:tr>
      <w:tr>
        <w:tblPrEx>
          <w:tblCellMar>
            <w:top w:w="0" w:type="dxa"/>
            <w:left w:w="108" w:type="dxa"/>
            <w:bottom w:w="0" w:type="dxa"/>
            <w:right w:w="108" w:type="dxa"/>
          </w:tblCellMar>
        </w:tblPrEx>
        <w:trPr>
          <w:trHeight w:val="370" w:hRule="atLeast"/>
        </w:trPr>
        <w:tc>
          <w:tcPr>
            <w:tcW w:w="1734"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公务车充电桩</w:t>
            </w:r>
          </w:p>
        </w:tc>
        <w:tc>
          <w:tcPr>
            <w:tcW w:w="152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专用充电设施快充</w:t>
            </w:r>
          </w:p>
        </w:tc>
        <w:tc>
          <w:tcPr>
            <w:tcW w:w="174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120kW一机双枪</w:t>
            </w:r>
          </w:p>
        </w:tc>
      </w:tr>
      <w:tr>
        <w:tblPrEx>
          <w:tblCellMar>
            <w:top w:w="0" w:type="dxa"/>
            <w:left w:w="108" w:type="dxa"/>
            <w:bottom w:w="0" w:type="dxa"/>
            <w:right w:w="108" w:type="dxa"/>
          </w:tblCellMar>
        </w:tblPrEx>
        <w:trPr>
          <w:trHeight w:val="370" w:hRule="atLeast"/>
        </w:trPr>
        <w:tc>
          <w:tcPr>
            <w:tcW w:w="1734"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自用桩</w:t>
            </w:r>
          </w:p>
        </w:tc>
        <w:tc>
          <w:tcPr>
            <w:tcW w:w="152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自用充电设施慢充为主</w:t>
            </w:r>
          </w:p>
        </w:tc>
        <w:tc>
          <w:tcPr>
            <w:tcW w:w="174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7kW慢充桩</w:t>
            </w:r>
          </w:p>
        </w:tc>
      </w:tr>
    </w:tbl>
    <w:p>
      <w:pPr>
        <w:pStyle w:val="4"/>
        <w:spacing w:before="312" w:beforeLines="100" w:after="156"/>
        <w:rPr>
          <w:rFonts w:eastAsia="仿宋_GB2312"/>
        </w:rPr>
      </w:pPr>
      <w:bookmarkStart w:id="155" w:name="_Toc117243219"/>
      <w:r>
        <w:rPr>
          <w:rFonts w:eastAsia="仿宋_GB2312"/>
        </w:rPr>
        <w:t>充电设施接入原则</w:t>
      </w:r>
      <w:bookmarkEnd w:id="155"/>
    </w:p>
    <w:p>
      <w:pPr>
        <w:adjustRightInd w:val="0"/>
        <w:snapToGrid w:val="0"/>
        <w:ind w:firstLine="560"/>
        <w:rPr>
          <w:rFonts w:eastAsia="仿宋_GB2312" w:cs="Times New Roman"/>
        </w:rPr>
      </w:pPr>
      <w:bookmarkStart w:id="156" w:name="_Toc61257722"/>
      <w:bookmarkStart w:id="157" w:name="_Toc42804963"/>
      <w:r>
        <w:rPr>
          <w:rFonts w:eastAsia="仿宋_GB2312" w:cs="Times New Roman"/>
        </w:rPr>
        <w:t>（1）接入点</w:t>
      </w:r>
    </w:p>
    <w:p>
      <w:pPr>
        <w:autoSpaceDE w:val="0"/>
        <w:autoSpaceDN w:val="0"/>
        <w:adjustRightInd w:val="0"/>
        <w:snapToGrid w:val="0"/>
        <w:ind w:firstLine="560"/>
        <w:rPr>
          <w:rFonts w:eastAsia="仿宋_GB2312" w:cs="Times New Roman"/>
          <w:color w:val="000000"/>
          <w:kern w:val="0"/>
        </w:rPr>
      </w:pPr>
      <w:r>
        <w:rPr>
          <w:rFonts w:eastAsia="仿宋_GB2312" w:cs="Times New Roman"/>
          <w:color w:val="000000"/>
          <w:kern w:val="0"/>
        </w:rPr>
        <w:t>220V供电的充电设备，宜接入低压公用配电箱；</w:t>
      </w:r>
      <w:r>
        <w:rPr>
          <w:rFonts w:hint="eastAsia" w:eastAsia="仿宋_GB2312" w:cs="Times New Roman"/>
          <w:color w:val="000000"/>
          <w:kern w:val="0"/>
        </w:rPr>
        <w:t>380k</w:t>
      </w:r>
      <w:r>
        <w:rPr>
          <w:rFonts w:eastAsia="仿宋_GB2312" w:cs="Times New Roman"/>
          <w:color w:val="000000"/>
          <w:kern w:val="0"/>
        </w:rPr>
        <w:t>V</w:t>
      </w:r>
      <w:r>
        <w:rPr>
          <w:rFonts w:hint="eastAsia" w:eastAsia="仿宋_GB2312" w:cs="Times New Roman"/>
          <w:color w:val="000000"/>
          <w:kern w:val="0"/>
        </w:rPr>
        <w:t>供电的充电设备，宜通过专用线路接入低压配电室。</w:t>
      </w:r>
      <w:r>
        <w:rPr>
          <w:rFonts w:eastAsia="仿宋_GB2312" w:cs="Times New Roman"/>
          <w:color w:val="000000"/>
          <w:kern w:val="0"/>
        </w:rPr>
        <w:t>接入10kV电网的充换电设施，容量小于4000kVA宜接入公用电网10kV架空线路或环网柜、电缆分支箱、开关站等</w:t>
      </w:r>
      <w:r>
        <w:rPr>
          <w:rFonts w:hint="eastAsia" w:eastAsia="仿宋_GB2312" w:cs="Times New Roman"/>
          <w:color w:val="000000"/>
          <w:kern w:val="0"/>
        </w:rPr>
        <w:t>，容量大于4000k</w:t>
      </w:r>
      <w:r>
        <w:rPr>
          <w:rFonts w:eastAsia="仿宋_GB2312" w:cs="Times New Roman"/>
          <w:color w:val="000000"/>
          <w:kern w:val="0"/>
        </w:rPr>
        <w:t>VA</w:t>
      </w:r>
      <w:r>
        <w:rPr>
          <w:rFonts w:hint="eastAsia" w:eastAsia="仿宋_GB2312" w:cs="Times New Roman"/>
          <w:color w:val="000000"/>
          <w:kern w:val="0"/>
        </w:rPr>
        <w:t>宜专线接入。</w:t>
      </w:r>
    </w:p>
    <w:p>
      <w:pPr>
        <w:autoSpaceDE w:val="0"/>
        <w:autoSpaceDN w:val="0"/>
        <w:adjustRightInd w:val="0"/>
        <w:snapToGrid w:val="0"/>
        <w:ind w:firstLine="560"/>
        <w:rPr>
          <w:rFonts w:eastAsia="仿宋_GB2312" w:cs="Times New Roman"/>
          <w:color w:val="000000"/>
          <w:kern w:val="0"/>
        </w:rPr>
      </w:pPr>
      <w:r>
        <w:rPr>
          <w:rFonts w:eastAsia="仿宋_GB2312" w:cs="Times New Roman"/>
          <w:color w:val="000000"/>
          <w:kern w:val="0"/>
        </w:rPr>
        <w:t xml:space="preserve"> </w:t>
      </w:r>
      <w:r>
        <w:rPr>
          <w:rFonts w:hint="eastAsia" w:eastAsia="仿宋_GB2312" w:cs="Times New Roman"/>
          <w:color w:val="000000"/>
          <w:kern w:val="0"/>
        </w:rPr>
        <w:t>充电设备容量小于10k</w:t>
      </w:r>
      <w:r>
        <w:rPr>
          <w:rFonts w:eastAsia="仿宋_GB2312" w:cs="Times New Roman"/>
          <w:color w:val="000000"/>
          <w:kern w:val="0"/>
        </w:rPr>
        <w:t>W</w:t>
      </w:r>
      <w:r>
        <w:rPr>
          <w:rFonts w:hint="eastAsia" w:eastAsia="仿宋_GB2312" w:cs="Times New Roman"/>
          <w:color w:val="000000"/>
          <w:kern w:val="0"/>
        </w:rPr>
        <w:t>单相设备，宜接入220</w:t>
      </w:r>
      <w:r>
        <w:rPr>
          <w:rFonts w:eastAsia="仿宋_GB2312" w:cs="Times New Roman"/>
          <w:color w:val="000000"/>
          <w:kern w:val="0"/>
        </w:rPr>
        <w:t>V</w:t>
      </w:r>
      <w:r>
        <w:rPr>
          <w:rFonts w:hint="eastAsia" w:eastAsia="仿宋_GB2312" w:cs="Times New Roman"/>
          <w:color w:val="000000"/>
          <w:kern w:val="0"/>
        </w:rPr>
        <w:t>电压；充电设备容量小于100k</w:t>
      </w:r>
      <w:r>
        <w:rPr>
          <w:rFonts w:eastAsia="仿宋_GB2312" w:cs="Times New Roman"/>
          <w:color w:val="000000"/>
          <w:kern w:val="0"/>
        </w:rPr>
        <w:t>W</w:t>
      </w:r>
      <w:r>
        <w:rPr>
          <w:rFonts w:hint="eastAsia" w:eastAsia="仿宋_GB2312" w:cs="Times New Roman"/>
          <w:color w:val="000000"/>
          <w:kern w:val="0"/>
        </w:rPr>
        <w:t>，宜接入380</w:t>
      </w:r>
      <w:r>
        <w:rPr>
          <w:rFonts w:eastAsia="仿宋_GB2312" w:cs="Times New Roman"/>
          <w:color w:val="000000"/>
          <w:kern w:val="0"/>
        </w:rPr>
        <w:t>V</w:t>
      </w:r>
      <w:r>
        <w:rPr>
          <w:rFonts w:hint="eastAsia" w:eastAsia="仿宋_GB2312" w:cs="Times New Roman"/>
          <w:color w:val="000000"/>
          <w:kern w:val="0"/>
        </w:rPr>
        <w:t>电压；充电站变压器总容量为50k</w:t>
      </w:r>
      <w:r>
        <w:rPr>
          <w:rFonts w:eastAsia="仿宋_GB2312" w:cs="Times New Roman"/>
          <w:color w:val="000000"/>
          <w:kern w:val="0"/>
        </w:rPr>
        <w:t>VA-10MVA</w:t>
      </w:r>
      <w:r>
        <w:rPr>
          <w:rFonts w:hint="eastAsia" w:eastAsia="仿宋_GB2312" w:cs="Times New Roman"/>
          <w:color w:val="000000"/>
          <w:kern w:val="0"/>
        </w:rPr>
        <w:t>时，宜接入10k</w:t>
      </w:r>
      <w:r>
        <w:rPr>
          <w:rFonts w:eastAsia="仿宋_GB2312" w:cs="Times New Roman"/>
          <w:color w:val="000000"/>
          <w:kern w:val="0"/>
        </w:rPr>
        <w:t>V</w:t>
      </w:r>
      <w:r>
        <w:rPr>
          <w:rFonts w:hint="eastAsia" w:eastAsia="仿宋_GB2312" w:cs="Times New Roman"/>
          <w:color w:val="000000"/>
          <w:kern w:val="0"/>
        </w:rPr>
        <w:t>电压；充电站变压器总容量为5M</w:t>
      </w:r>
      <w:r>
        <w:rPr>
          <w:rFonts w:eastAsia="仿宋_GB2312" w:cs="Times New Roman"/>
          <w:color w:val="000000"/>
          <w:kern w:val="0"/>
        </w:rPr>
        <w:t>VA-</w:t>
      </w:r>
      <w:r>
        <w:rPr>
          <w:rFonts w:hint="eastAsia" w:eastAsia="仿宋_GB2312" w:cs="Times New Roman"/>
          <w:color w:val="000000"/>
          <w:kern w:val="0"/>
        </w:rPr>
        <w:t>4</w:t>
      </w:r>
      <w:r>
        <w:rPr>
          <w:rFonts w:eastAsia="仿宋_GB2312" w:cs="Times New Roman"/>
          <w:color w:val="000000"/>
          <w:kern w:val="0"/>
        </w:rPr>
        <w:t>0MVA</w:t>
      </w:r>
      <w:r>
        <w:rPr>
          <w:rFonts w:hint="eastAsia" w:eastAsia="仿宋_GB2312" w:cs="Times New Roman"/>
          <w:color w:val="000000"/>
          <w:kern w:val="0"/>
        </w:rPr>
        <w:t>时，宜接入35k</w:t>
      </w:r>
      <w:r>
        <w:rPr>
          <w:rFonts w:eastAsia="仿宋_GB2312" w:cs="Times New Roman"/>
          <w:color w:val="000000"/>
          <w:kern w:val="0"/>
        </w:rPr>
        <w:t>V</w:t>
      </w:r>
      <w:r>
        <w:rPr>
          <w:rFonts w:hint="eastAsia" w:eastAsia="仿宋_GB2312" w:cs="Times New Roman"/>
          <w:color w:val="000000"/>
          <w:kern w:val="0"/>
        </w:rPr>
        <w:t>电压.</w:t>
      </w:r>
    </w:p>
    <w:p>
      <w:pPr>
        <w:autoSpaceDE w:val="0"/>
        <w:autoSpaceDN w:val="0"/>
        <w:adjustRightInd w:val="0"/>
        <w:snapToGrid w:val="0"/>
        <w:ind w:firstLine="560"/>
        <w:rPr>
          <w:rFonts w:eastAsia="仿宋_GB2312" w:cs="Times New Roman"/>
          <w:color w:val="000000"/>
          <w:kern w:val="0"/>
        </w:rPr>
      </w:pPr>
      <w:r>
        <w:rPr>
          <w:rFonts w:eastAsia="仿宋_GB2312" w:cs="Times New Roman"/>
          <w:color w:val="000000"/>
          <w:kern w:val="0"/>
        </w:rPr>
        <w:t>（2）供电电源</w:t>
      </w:r>
    </w:p>
    <w:p>
      <w:pPr>
        <w:autoSpaceDE w:val="0"/>
        <w:autoSpaceDN w:val="0"/>
        <w:adjustRightInd w:val="0"/>
        <w:snapToGrid w:val="0"/>
        <w:ind w:firstLine="560"/>
        <w:rPr>
          <w:rFonts w:eastAsia="仿宋_GB2312" w:cs="Times New Roman"/>
          <w:color w:val="000000"/>
          <w:kern w:val="0"/>
        </w:rPr>
      </w:pPr>
      <w:r>
        <w:rPr>
          <w:rFonts w:eastAsia="仿宋_GB2312" w:cs="Times New Roman"/>
          <w:color w:val="000000"/>
          <w:kern w:val="0"/>
        </w:rPr>
        <w:t>充换电设施供电电源点应具备足够的供电能力，提供合格的电能质量，并确保电网安全运行。</w:t>
      </w:r>
    </w:p>
    <w:p>
      <w:pPr>
        <w:autoSpaceDE w:val="0"/>
        <w:autoSpaceDN w:val="0"/>
        <w:adjustRightInd w:val="0"/>
        <w:snapToGrid w:val="0"/>
        <w:ind w:firstLine="560"/>
        <w:rPr>
          <w:rFonts w:eastAsia="仿宋_GB2312" w:cs="Times New Roman"/>
          <w:color w:val="000000"/>
          <w:kern w:val="0"/>
        </w:rPr>
      </w:pPr>
      <w:r>
        <w:rPr>
          <w:rFonts w:eastAsia="仿宋_GB2312" w:cs="Times New Roman"/>
          <w:color w:val="000000"/>
          <w:kern w:val="0"/>
        </w:rPr>
        <w:t>（3）供电变压器</w:t>
      </w:r>
    </w:p>
    <w:p>
      <w:pPr>
        <w:autoSpaceDE w:val="0"/>
        <w:autoSpaceDN w:val="0"/>
        <w:adjustRightInd w:val="0"/>
        <w:snapToGrid w:val="0"/>
        <w:ind w:firstLine="560"/>
        <w:rPr>
          <w:rFonts w:eastAsia="仿宋_GB2312" w:cs="Times New Roman"/>
          <w:color w:val="000000"/>
          <w:kern w:val="0"/>
        </w:rPr>
      </w:pPr>
      <w:r>
        <w:rPr>
          <w:rFonts w:eastAsia="仿宋_GB2312" w:cs="Times New Roman"/>
          <w:color w:val="000000"/>
          <w:kern w:val="0"/>
        </w:rPr>
        <w:t xml:space="preserve">充换电设施配电变压器宜选用干式低损耗节能型变压器。过负荷、大容量等特殊条件下，可选用油浸式变压器。220V单相接入的充电设施，变压器宜采用Dyn接线方式。 </w:t>
      </w:r>
    </w:p>
    <w:p>
      <w:pPr>
        <w:autoSpaceDE w:val="0"/>
        <w:autoSpaceDN w:val="0"/>
        <w:adjustRightInd w:val="0"/>
        <w:snapToGrid w:val="0"/>
        <w:ind w:firstLine="560"/>
        <w:rPr>
          <w:rFonts w:eastAsia="仿宋_GB2312" w:cs="Times New Roman"/>
          <w:color w:val="000000"/>
          <w:kern w:val="0"/>
        </w:rPr>
      </w:pPr>
      <w:r>
        <w:rPr>
          <w:rFonts w:eastAsia="仿宋_GB2312" w:cs="Times New Roman"/>
          <w:color w:val="000000"/>
          <w:kern w:val="0"/>
        </w:rPr>
        <w:t>（4）接入电网线路</w:t>
      </w:r>
    </w:p>
    <w:p>
      <w:pPr>
        <w:adjustRightInd w:val="0"/>
        <w:snapToGrid w:val="0"/>
        <w:ind w:firstLine="560"/>
        <w:rPr>
          <w:rFonts w:eastAsia="仿宋_GB2312" w:cs="Times New Roman"/>
        </w:rPr>
      </w:pPr>
      <w:r>
        <w:rPr>
          <w:rFonts w:eastAsia="仿宋_GB2312" w:cs="Times New Roman"/>
          <w:color w:val="000000"/>
          <w:kern w:val="0"/>
        </w:rPr>
        <w:t>充换电设施接入电网线路应具有较强的适应性，其导线截面宜根据充换电设施最终规划容量一次选定。充换电设施接入电网线路的导线截面按经济电流密度选择，并按长期允许发热和机械强度条件进行校核。</w:t>
      </w:r>
    </w:p>
    <w:p>
      <w:pPr>
        <w:pStyle w:val="3"/>
        <w:adjustRightInd w:val="0"/>
        <w:rPr>
          <w:rFonts w:eastAsia="仿宋_GB2312" w:cs="Times New Roman"/>
        </w:rPr>
      </w:pPr>
      <w:bookmarkStart w:id="158" w:name="_Toc117243220"/>
      <w:r>
        <w:rPr>
          <w:rFonts w:eastAsia="仿宋_GB2312" w:cs="Times New Roman"/>
        </w:rPr>
        <w:t>“十四五”充电设施布局规划</w:t>
      </w:r>
      <w:bookmarkEnd w:id="156"/>
      <w:bookmarkEnd w:id="157"/>
      <w:r>
        <w:rPr>
          <w:rFonts w:eastAsia="仿宋_GB2312" w:cs="Times New Roman"/>
        </w:rPr>
        <w:t>方案</w:t>
      </w:r>
      <w:bookmarkEnd w:id="158"/>
    </w:p>
    <w:p>
      <w:pPr>
        <w:adjustRightInd w:val="0"/>
        <w:snapToGrid w:val="0"/>
        <w:ind w:firstLine="560"/>
        <w:rPr>
          <w:rFonts w:eastAsia="仿宋_GB2312" w:cs="Times New Roman"/>
        </w:rPr>
      </w:pPr>
      <w:r>
        <w:rPr>
          <w:rFonts w:hint="eastAsia" w:eastAsia="仿宋_GB2312" w:cs="Times New Roman"/>
        </w:rPr>
        <w:t>结合充电设施规模预测以及建设目标原则，“</w:t>
      </w:r>
      <w:r>
        <w:rPr>
          <w:rFonts w:eastAsia="仿宋_GB2312" w:cs="Times New Roman"/>
        </w:rPr>
        <w:t>十四五</w:t>
      </w:r>
      <w:r>
        <w:rPr>
          <w:rFonts w:hint="eastAsia" w:eastAsia="仿宋_GB2312" w:cs="Times New Roman"/>
        </w:rPr>
        <w:t>”</w:t>
      </w:r>
      <w:r>
        <w:rPr>
          <w:rFonts w:eastAsia="仿宋_GB2312" w:cs="Times New Roman"/>
        </w:rPr>
        <w:t>期间，咸宁市共规划建设充电站309座，充电桩11421个。新建外部公共充电站197座（1768个直流快充充电桩）</w:t>
      </w:r>
      <w:r>
        <w:rPr>
          <w:rFonts w:hint="eastAsia" w:eastAsia="仿宋_GB2312" w:cs="Times New Roman"/>
        </w:rPr>
        <w:t>、</w:t>
      </w:r>
      <w:r>
        <w:rPr>
          <w:rFonts w:eastAsia="仿宋_GB2312" w:cs="Times New Roman"/>
        </w:rPr>
        <w:t>公交车充电站2座（30个直流充电桩）</w:t>
      </w:r>
      <w:r>
        <w:rPr>
          <w:rFonts w:hint="eastAsia" w:eastAsia="仿宋_GB2312" w:cs="Times New Roman"/>
        </w:rPr>
        <w:t>、</w:t>
      </w:r>
      <w:r>
        <w:rPr>
          <w:rFonts w:eastAsia="仿宋_GB2312" w:cs="Times New Roman"/>
        </w:rPr>
        <w:t>物流车充电站17座（258个直流充电桩）</w:t>
      </w:r>
      <w:r>
        <w:rPr>
          <w:rFonts w:hint="eastAsia" w:eastAsia="仿宋_GB2312" w:cs="Times New Roman"/>
        </w:rPr>
        <w:t>、</w:t>
      </w:r>
      <w:r>
        <w:rPr>
          <w:rFonts w:eastAsia="仿宋_GB2312" w:cs="Times New Roman"/>
        </w:rPr>
        <w:t>环卫车充电站9座（138个直流充电桩）</w:t>
      </w:r>
      <w:r>
        <w:rPr>
          <w:rFonts w:hint="eastAsia" w:eastAsia="仿宋_GB2312" w:cs="Times New Roman"/>
        </w:rPr>
        <w:t>、</w:t>
      </w:r>
      <w:r>
        <w:rPr>
          <w:rFonts w:eastAsia="仿宋_GB2312" w:cs="Times New Roman"/>
        </w:rPr>
        <w:t>公务车充电站69座（440个充电桩）</w:t>
      </w:r>
      <w:r>
        <w:rPr>
          <w:rFonts w:hint="eastAsia" w:eastAsia="仿宋_GB2312" w:cs="Times New Roman"/>
        </w:rPr>
        <w:t>、</w:t>
      </w:r>
      <w:r>
        <w:rPr>
          <w:rFonts w:eastAsia="仿宋_GB2312" w:cs="Times New Roman"/>
        </w:rPr>
        <w:t>高速充电站15座（104个直流充电桩）</w:t>
      </w:r>
      <w:r>
        <w:rPr>
          <w:rFonts w:hint="eastAsia" w:eastAsia="仿宋_GB2312" w:cs="Times New Roman"/>
        </w:rPr>
        <w:t>、</w:t>
      </w:r>
      <w:r>
        <w:rPr>
          <w:rFonts w:eastAsia="仿宋_GB2312" w:cs="Times New Roman"/>
        </w:rPr>
        <w:t>小区公共桩1303个</w:t>
      </w:r>
      <w:r>
        <w:rPr>
          <w:rFonts w:hint="eastAsia" w:eastAsia="仿宋_GB2312" w:cs="Times New Roman"/>
        </w:rPr>
        <w:t>、</w:t>
      </w:r>
      <w:r>
        <w:rPr>
          <w:rFonts w:eastAsia="仿宋_GB2312" w:cs="Times New Roman"/>
        </w:rPr>
        <w:t>小区自用桩5210个。其中咸宁市外部公共充电设施布局如下图所示。</w:t>
      </w:r>
    </w:p>
    <w:p>
      <w:pPr>
        <w:adjustRightInd w:val="0"/>
        <w:snapToGrid w:val="0"/>
        <w:ind w:firstLine="0" w:firstLineChars="0"/>
        <w:jc w:val="center"/>
        <w:rPr>
          <w:rFonts w:eastAsia="仿宋_GB2312" w:cs="Times New Roman"/>
        </w:rPr>
      </w:pPr>
      <w:r>
        <w:rPr>
          <w:rFonts w:eastAsia="仿宋_GB2312" w:cs="Times New Roman"/>
        </w:rPr>
        <w:drawing>
          <wp:inline distT="0" distB="0" distL="0" distR="0">
            <wp:extent cx="5060950" cy="3257550"/>
            <wp:effectExtent l="0" t="0" r="6350" b="0"/>
            <wp:docPr id="17"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true" noChangeArrowheads="true"/>
                    </pic:cNvPicPr>
                  </pic:nvPicPr>
                  <pic:blipFill>
                    <a:blip r:embed="rId53" cstate="print">
                      <a:extLst>
                        <a:ext uri="{28A0092B-C50C-407E-A947-70E740481C1C}">
                          <a14:useLocalDpi xmlns:a14="http://schemas.microsoft.com/office/drawing/2010/main" val="false"/>
                        </a:ext>
                      </a:extLst>
                    </a:blip>
                    <a:srcRect l="2047" t="28172" r="1999" b="28164"/>
                    <a:stretch>
                      <a:fillRect/>
                    </a:stretch>
                  </pic:blipFill>
                  <pic:spPr>
                    <a:xfrm>
                      <a:off x="0" y="0"/>
                      <a:ext cx="5060950" cy="3257550"/>
                    </a:xfrm>
                    <a:prstGeom prst="rect">
                      <a:avLst/>
                    </a:prstGeom>
                    <a:noFill/>
                    <a:ln>
                      <a:noFill/>
                    </a:ln>
                  </pic:spPr>
                </pic:pic>
              </a:graphicData>
            </a:graphic>
          </wp:inline>
        </w:drawing>
      </w:r>
    </w:p>
    <w:p>
      <w:pPr>
        <w:pStyle w:val="19"/>
        <w:adjustRightInd w:val="0"/>
        <w:snapToGrid w:val="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r>
        <w:rPr>
          <w:rFonts w:eastAsia="仿宋_GB2312" w:cs="Times New Roman"/>
        </w:rPr>
        <w:t xml:space="preserve"> 咸宁市外部公用充电设施布局图</w:t>
      </w:r>
    </w:p>
    <w:p>
      <w:pPr>
        <w:adjustRightInd w:val="0"/>
        <w:snapToGrid w:val="0"/>
        <w:ind w:firstLine="0" w:firstLineChars="0"/>
        <w:rPr>
          <w:rFonts w:eastAsia="仿宋_GB2312" w:cs="Times New Roman"/>
        </w:rPr>
        <w:sectPr>
          <w:footerReference r:id="rId11" w:type="default"/>
          <w:pgSz w:w="11906" w:h="16838"/>
          <w:pgMar w:top="1440" w:right="1800" w:bottom="1440" w:left="1800" w:header="851" w:footer="992" w:gutter="0"/>
          <w:pgNumType w:start="1"/>
          <w:cols w:space="425" w:num="1"/>
          <w:docGrid w:type="lines" w:linePitch="312" w:charSpace="0"/>
        </w:sectPr>
      </w:pPr>
    </w:p>
    <w:p>
      <w:pPr>
        <w:pStyle w:val="4"/>
        <w:spacing w:before="156"/>
        <w:rPr>
          <w:rFonts w:eastAsia="仿宋_GB2312"/>
        </w:rPr>
      </w:pPr>
      <w:bookmarkStart w:id="159" w:name="_Toc117243221"/>
      <w:r>
        <w:rPr>
          <w:rFonts w:eastAsia="仿宋_GB2312"/>
        </w:rPr>
        <w:t>咸宁高速充电设施布局</w:t>
      </w:r>
      <w:bookmarkEnd w:id="159"/>
    </w:p>
    <w:p>
      <w:pPr>
        <w:ind w:firstLine="560"/>
        <w:rPr>
          <w:rFonts w:eastAsia="仿宋_GB2312" w:cs="Times New Roman"/>
        </w:rPr>
      </w:pPr>
      <w:r>
        <w:rPr>
          <w:rFonts w:eastAsia="仿宋_GB2312" w:cs="Times New Roman"/>
        </w:rPr>
        <w:t>本次规划，十四五期间咸宁市规划建设高速充电站15个，直流充电桩104个，功率合计6720kW。高速充电站空间按50平米/桩预留（包含箱变、车位、充电桩、顶棚占地面积）。</w:t>
      </w:r>
    </w:p>
    <w:p>
      <w:pPr>
        <w:ind w:firstLine="560"/>
        <w:rPr>
          <w:rFonts w:eastAsia="仿宋_GB2312" w:cs="Times New Roman"/>
        </w:rPr>
      </w:pPr>
      <w:r>
        <w:rPr>
          <w:rFonts w:eastAsia="仿宋_GB2312" w:cs="Times New Roman"/>
        </w:rPr>
        <w:t>（1）蕲嘉高速双溪服务区（蕲春方向）充电站，位于蕲嘉高速双溪服务区（蕲春方向），新建4台120kW一机两枪直流充电桩。</w:t>
      </w:r>
    </w:p>
    <w:p>
      <w:pPr>
        <w:ind w:firstLine="560"/>
        <w:rPr>
          <w:rFonts w:eastAsia="仿宋_GB2312" w:cs="Times New Roman"/>
        </w:rPr>
      </w:pPr>
      <w:r>
        <w:rPr>
          <w:rFonts w:eastAsia="仿宋_GB2312" w:cs="Times New Roman"/>
        </w:rPr>
        <w:t>（2）蕲嘉高速双溪服务区（嘉鱼方向）充电站，位于蕲嘉高速双溪服务区（嘉鱼方向），新建4台120kW一机两枪直流充电桩。</w:t>
      </w:r>
    </w:p>
    <w:p>
      <w:pPr>
        <w:ind w:firstLine="560"/>
        <w:rPr>
          <w:rFonts w:eastAsia="仿宋_GB2312" w:cs="Times New Roman"/>
        </w:rPr>
      </w:pPr>
      <w:r>
        <w:rPr>
          <w:rFonts w:eastAsia="仿宋_GB2312" w:cs="Times New Roman"/>
        </w:rPr>
        <w:t>（3）咸通高速咸安服务区(公路西)充电站，位于咸通高速咸安服务区(公路西)，新建4台120kW一机两枪直流充电桩。</w:t>
      </w:r>
    </w:p>
    <w:p>
      <w:pPr>
        <w:ind w:firstLine="560"/>
        <w:rPr>
          <w:rFonts w:eastAsia="仿宋_GB2312" w:cs="Times New Roman"/>
        </w:rPr>
      </w:pPr>
      <w:r>
        <w:rPr>
          <w:rFonts w:eastAsia="仿宋_GB2312" w:cs="Times New Roman"/>
        </w:rPr>
        <w:t>（4）咸通高速咸安服务区(公路东)充电站，位于咸通高速咸安服务区(公路东)，新建4台120kW一机两枪直流充电桩。</w:t>
      </w:r>
    </w:p>
    <w:p>
      <w:pPr>
        <w:ind w:firstLine="560"/>
        <w:rPr>
          <w:rFonts w:eastAsia="仿宋_GB2312" w:cs="Times New Roman"/>
        </w:rPr>
      </w:pPr>
      <w:r>
        <w:rPr>
          <w:rFonts w:eastAsia="仿宋_GB2312" w:cs="Times New Roman"/>
        </w:rPr>
        <w:t>（5）京港澳高速咸宁服务区（北京方向）充电站，位于京港澳高速咸宁服务区（北京方向），扩建4台120kW一机两枪直流充电桩。</w:t>
      </w:r>
    </w:p>
    <w:p>
      <w:pPr>
        <w:ind w:firstLine="560"/>
        <w:rPr>
          <w:rFonts w:eastAsia="仿宋_GB2312" w:cs="Times New Roman"/>
        </w:rPr>
      </w:pPr>
      <w:r>
        <w:rPr>
          <w:rFonts w:eastAsia="仿宋_GB2312" w:cs="Times New Roman"/>
        </w:rPr>
        <w:t>（6）京港澳高速咸宁服务区（港澳方向）充电站，位于京港澳高速咸宁服务区（港澳方向），扩建4台120kW一机两枪直流充电桩。</w:t>
      </w:r>
    </w:p>
    <w:p>
      <w:pPr>
        <w:ind w:firstLine="560"/>
        <w:rPr>
          <w:rFonts w:eastAsia="仿宋_GB2312" w:cs="Times New Roman"/>
        </w:rPr>
      </w:pPr>
      <w:r>
        <w:rPr>
          <w:rFonts w:eastAsia="仿宋_GB2312" w:cs="Times New Roman"/>
        </w:rPr>
        <w:t>（7）武深高速嘉鱼东服务区（武汉方向）充电站，位武深高速嘉鱼东服务区（武汉方向），新建4台120kW一机两枪直流充电桩。</w:t>
      </w:r>
    </w:p>
    <w:p>
      <w:pPr>
        <w:ind w:firstLine="560"/>
        <w:rPr>
          <w:rFonts w:eastAsia="仿宋_GB2312" w:cs="Times New Roman"/>
        </w:rPr>
      </w:pPr>
      <w:r>
        <w:rPr>
          <w:rFonts w:eastAsia="仿宋_GB2312" w:cs="Times New Roman"/>
        </w:rPr>
        <w:t>（8）武深高速嘉鱼南停车区（武汉方向）充电站，位于武深高速嘉鱼南停车区（武汉方向），新建4台120kW一机两枪直流充电桩。</w:t>
      </w:r>
    </w:p>
    <w:p>
      <w:pPr>
        <w:ind w:firstLine="560"/>
        <w:rPr>
          <w:rFonts w:eastAsia="仿宋_GB2312" w:cs="Times New Roman"/>
        </w:rPr>
      </w:pPr>
      <w:r>
        <w:rPr>
          <w:rFonts w:eastAsia="仿宋_GB2312" w:cs="Times New Roman"/>
        </w:rPr>
        <w:t>（9）大广高速燕</w:t>
      </w:r>
      <w:r>
        <w:rPr>
          <w:rFonts w:hint="eastAsia" w:eastAsia="仿宋_GB2312" w:cs="Times New Roman"/>
        </w:rPr>
        <w:t>厦</w:t>
      </w:r>
      <w:r>
        <w:rPr>
          <w:rFonts w:eastAsia="仿宋_GB2312" w:cs="Times New Roman"/>
        </w:rPr>
        <w:t>服务区广州方向充电站，位于广高速燕</w:t>
      </w:r>
      <w:r>
        <w:rPr>
          <w:rFonts w:hint="eastAsia" w:eastAsia="仿宋_GB2312" w:cs="Times New Roman"/>
        </w:rPr>
        <w:t>厦</w:t>
      </w:r>
      <w:r>
        <w:rPr>
          <w:rFonts w:eastAsia="仿宋_GB2312" w:cs="Times New Roman"/>
        </w:rPr>
        <w:t>服务区广州方向，扩建2台120kW一机两枪直流充电桩。</w:t>
      </w:r>
    </w:p>
    <w:p>
      <w:pPr>
        <w:ind w:firstLine="560"/>
        <w:rPr>
          <w:rFonts w:eastAsia="仿宋_GB2312" w:cs="Times New Roman"/>
        </w:rPr>
      </w:pPr>
      <w:r>
        <w:rPr>
          <w:rFonts w:eastAsia="仿宋_GB2312" w:cs="Times New Roman"/>
        </w:rPr>
        <w:t>（10）大广高速燕</w:t>
      </w:r>
      <w:r>
        <w:rPr>
          <w:rFonts w:hint="eastAsia" w:eastAsia="仿宋_GB2312" w:cs="Times New Roman"/>
        </w:rPr>
        <w:t>厦</w:t>
      </w:r>
      <w:r>
        <w:rPr>
          <w:rFonts w:eastAsia="仿宋_GB2312" w:cs="Times New Roman"/>
        </w:rPr>
        <w:t>服务区北京方向充电站，位于大广高速燕</w:t>
      </w:r>
      <w:r>
        <w:rPr>
          <w:rFonts w:hint="eastAsia" w:eastAsia="仿宋_GB2312" w:cs="Times New Roman"/>
        </w:rPr>
        <w:t>厦</w:t>
      </w:r>
      <w:r>
        <w:rPr>
          <w:rFonts w:eastAsia="仿宋_GB2312" w:cs="Times New Roman"/>
        </w:rPr>
        <w:t>服务区北京方向，扩建2台120kW一机两枪直流充电桩。</w:t>
      </w:r>
    </w:p>
    <w:p>
      <w:pPr>
        <w:ind w:firstLine="560"/>
        <w:rPr>
          <w:rFonts w:eastAsia="仿宋_GB2312" w:cs="Times New Roman"/>
        </w:rPr>
      </w:pPr>
      <w:r>
        <w:rPr>
          <w:rFonts w:eastAsia="仿宋_GB2312" w:cs="Times New Roman"/>
        </w:rPr>
        <w:t>（11）武深高速茶庵岭服务区（武汉方向）充电站，位于武深高速茶庵岭服务区（武汉方向），新建4台120kW一机两枪直流充电桩。</w:t>
      </w:r>
    </w:p>
    <w:p>
      <w:pPr>
        <w:ind w:firstLine="560"/>
        <w:rPr>
          <w:rFonts w:eastAsia="仿宋_GB2312" w:cs="Times New Roman"/>
        </w:rPr>
      </w:pPr>
      <w:r>
        <w:rPr>
          <w:rFonts w:eastAsia="仿宋_GB2312" w:cs="Times New Roman"/>
        </w:rPr>
        <w:t>（12）京港澳高速赤壁服务区北京方向充电站，位于赤壁市京港澳高速赤壁服务区，扩建2台120kW一机两枪直流充电桩。</w:t>
      </w:r>
    </w:p>
    <w:p>
      <w:pPr>
        <w:ind w:firstLine="560"/>
        <w:rPr>
          <w:rFonts w:eastAsia="仿宋_GB2312" w:cs="Times New Roman"/>
        </w:rPr>
      </w:pPr>
      <w:r>
        <w:rPr>
          <w:rFonts w:eastAsia="仿宋_GB2312" w:cs="Times New Roman"/>
        </w:rPr>
        <w:t>（13）京港澳高速赤壁服务区港澳方向充电站，位于赤壁市京港澳高速赤壁服务区，扩建2台120kW一机两枪直流充电桩。</w:t>
      </w:r>
    </w:p>
    <w:p>
      <w:pPr>
        <w:ind w:firstLine="560"/>
        <w:rPr>
          <w:rFonts w:eastAsia="仿宋_GB2312" w:cs="Times New Roman"/>
        </w:rPr>
      </w:pPr>
      <w:r>
        <w:rPr>
          <w:rFonts w:eastAsia="仿宋_GB2312" w:cs="Times New Roman"/>
        </w:rPr>
        <w:t>（14）杭瑞高速通山服务区(瑞丽方向）充电站，位于杭瑞高速通山服务区(瑞丽方向），新建4台120kW一机两枪直流充电桩。</w:t>
      </w:r>
    </w:p>
    <w:p>
      <w:pPr>
        <w:ind w:firstLine="560"/>
        <w:rPr>
          <w:rFonts w:eastAsia="仿宋_GB2312" w:cs="Times New Roman"/>
        </w:rPr>
      </w:pPr>
      <w:r>
        <w:rPr>
          <w:rFonts w:eastAsia="仿宋_GB2312" w:cs="Times New Roman"/>
        </w:rPr>
        <w:t>（15）杭瑞高速通山服务区(杭州方向）充电站，位于杭瑞高速通山服务区(杭州方向），新建4台120kW一机两枪直流充电桩。</w:t>
      </w:r>
    </w:p>
    <w:p>
      <w:pPr>
        <w:pStyle w:val="19"/>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t xml:space="preserve"> 咸安区高速充电站布局规划表       </w:t>
      </w:r>
    </w:p>
    <w:p>
      <w:pPr>
        <w:pStyle w:val="19"/>
        <w:jc w:val="right"/>
        <w:rPr>
          <w:rFonts w:eastAsia="仿宋_GB2312" w:cs="Times New Roman"/>
        </w:rPr>
      </w:pPr>
      <w:r>
        <w:rPr>
          <w:rFonts w:eastAsia="仿宋_GB2312" w:cs="Times New Roman"/>
        </w:rPr>
        <w:t>单位：个、平米、年</w:t>
      </w:r>
    </w:p>
    <w:tbl>
      <w:tblPr>
        <w:tblStyle w:val="7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2291"/>
        <w:gridCol w:w="2662"/>
        <w:gridCol w:w="714"/>
        <w:gridCol w:w="714"/>
        <w:gridCol w:w="714"/>
        <w:gridCol w:w="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blHeader/>
        </w:trPr>
        <w:tc>
          <w:tcPr>
            <w:tcW w:w="41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序号</w:t>
            </w:r>
          </w:p>
        </w:tc>
        <w:tc>
          <w:tcPr>
            <w:tcW w:w="134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名称</w:t>
            </w:r>
          </w:p>
        </w:tc>
        <w:tc>
          <w:tcPr>
            <w:tcW w:w="156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地理位置</w:t>
            </w:r>
          </w:p>
        </w:tc>
        <w:tc>
          <w:tcPr>
            <w:tcW w:w="41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实施类型</w:t>
            </w:r>
          </w:p>
        </w:tc>
        <w:tc>
          <w:tcPr>
            <w:tcW w:w="41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充电桩数</w:t>
            </w:r>
          </w:p>
        </w:tc>
        <w:tc>
          <w:tcPr>
            <w:tcW w:w="41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用地面积</w:t>
            </w:r>
          </w:p>
        </w:tc>
        <w:tc>
          <w:tcPr>
            <w:tcW w:w="41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规划实施年份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蕲嘉高速双溪服务区（蕲春方向）充电站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蕲嘉高速双溪服务区（蕲春方向）</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蕲嘉高速双溪服务区（嘉鱼方向）充电站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蕲嘉高速双溪服务区（嘉鱼方向）</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咸通高速咸安服务区(公路西)充电站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咸通高速咸安服务区(公路西)</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咸通高速咸安服务区(公路东)充电站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咸通高速咸安服务区(公路东)</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京港澳高速咸宁服务区（北京方向）充电站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京港澳高速咸宁服务区（北京方向）</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京港澳高速咸宁服务区（港澳方向）充电站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京港澳高速咸宁服务区（港澳方向）</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武深高速嘉鱼东服务区（武汉方向）充电站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武深高速嘉鱼东服务区（武汉方向）</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武深高速嘉鱼南停车区（武汉方向）充电站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武深高速嘉鱼南停车区（武汉方向）</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国家电网充电站(大广高速燕</w:t>
            </w:r>
            <w:r>
              <w:rPr>
                <w:rFonts w:hint="eastAsia" w:eastAsia="仿宋_GB2312" w:cs="Times New Roman"/>
              </w:rPr>
              <w:t>厦</w:t>
            </w:r>
            <w:r>
              <w:rPr>
                <w:rFonts w:eastAsia="仿宋_GB2312" w:cs="Times New Roman"/>
                <w:color w:val="000000"/>
                <w:kern w:val="0"/>
                <w:sz w:val="21"/>
                <w:szCs w:val="21"/>
              </w:rPr>
              <w:t>服务区广州方向)充电站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通山县大广高速燕厦服务区</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国家电网充电站(大广高速燕</w:t>
            </w:r>
            <w:r>
              <w:rPr>
                <w:rFonts w:hint="eastAsia" w:eastAsia="仿宋_GB2312" w:cs="Times New Roman"/>
              </w:rPr>
              <w:t>厦</w:t>
            </w:r>
            <w:r>
              <w:rPr>
                <w:rFonts w:eastAsia="仿宋_GB2312" w:cs="Times New Roman"/>
                <w:color w:val="000000"/>
                <w:kern w:val="0"/>
                <w:sz w:val="21"/>
                <w:szCs w:val="21"/>
              </w:rPr>
              <w:t>服务区北京方向)充电站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通山县大广高速燕厦服务区</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武深高速茶庵岭服务区（武汉方向）充电站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武深高速茶庵岭服务区东区</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国家电网充电站(京港澳高速赤壁服务区北京方向）充电站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赤壁市京港澳高速赤壁服务区</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国家电网充电站(京港澳高速赤壁服务区港澳方向）充电站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赤壁市京港澳高速赤壁服务区</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14</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杭瑞高速通山服务区(瑞丽方向）充电站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杭瑞高速通山服务区(瑞丽方向）</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杭瑞高速通山服务区(杭州方向）充电站</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杭瑞高速通山服务区(杭州方向）</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汇总</w:t>
            </w:r>
          </w:p>
        </w:tc>
        <w:tc>
          <w:tcPr>
            <w:tcW w:w="134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1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104</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1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839210"/>
            <wp:effectExtent l="0" t="0" r="2540" b="8890"/>
            <wp:docPr id="7182" name="图片 718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82" name="图片 7182"/>
                    <pic:cNvPicPr>
                      <a:picLocks noChangeAspect="true"/>
                    </pic:cNvPicPr>
                  </pic:nvPicPr>
                  <pic:blipFill>
                    <a:blip r:embed="rId54"/>
                    <a:stretch>
                      <a:fillRect/>
                    </a:stretch>
                  </pic:blipFill>
                  <pic:spPr>
                    <a:xfrm>
                      <a:off x="0" y="0"/>
                      <a:ext cx="5274310" cy="3839210"/>
                    </a:xfrm>
                    <a:prstGeom prst="rect">
                      <a:avLst/>
                    </a:prstGeom>
                  </pic:spPr>
                </pic:pic>
              </a:graphicData>
            </a:graphic>
          </wp:inline>
        </w:drawing>
      </w:r>
    </w:p>
    <w:p>
      <w:pPr>
        <w:pStyle w:val="19"/>
        <w:rPr>
          <w:rFonts w:eastAsia="仿宋_GB2312" w:cs="Times New Roman"/>
        </w:rPr>
      </w:pPr>
      <w:r>
        <w:rPr>
          <w:rFonts w:eastAsia="仿宋_GB2312" w:cs="Times New Roman"/>
          <w:szCs w:val="16"/>
        </w:rPr>
        <w:t xml:space="preserve">图 </w:t>
      </w:r>
      <w:r>
        <w:rPr>
          <w:rFonts w:eastAsia="仿宋_GB2312" w:cs="Times New Roman"/>
          <w:szCs w:val="16"/>
        </w:rPr>
        <w:fldChar w:fldCharType="begin"/>
      </w:r>
      <w:r>
        <w:rPr>
          <w:rFonts w:eastAsia="仿宋_GB2312" w:cs="Times New Roman"/>
          <w:szCs w:val="16"/>
        </w:rPr>
        <w:instrText xml:space="preserve"> STYLEREF 1 \s </w:instrText>
      </w:r>
      <w:r>
        <w:rPr>
          <w:rFonts w:eastAsia="仿宋_GB2312" w:cs="Times New Roman"/>
          <w:szCs w:val="16"/>
        </w:rPr>
        <w:fldChar w:fldCharType="separate"/>
      </w:r>
      <w:r>
        <w:rPr>
          <w:rFonts w:eastAsia="仿宋_GB2312" w:cs="Times New Roman"/>
          <w:szCs w:val="16"/>
        </w:rPr>
        <w:t>4</w:t>
      </w:r>
      <w:r>
        <w:rPr>
          <w:rFonts w:eastAsia="仿宋_GB2312" w:cs="Times New Roman"/>
          <w:szCs w:val="16"/>
        </w:rPr>
        <w:fldChar w:fldCharType="end"/>
      </w:r>
      <w:r>
        <w:rPr>
          <w:rFonts w:eastAsia="仿宋_GB2312" w:cs="Times New Roman"/>
          <w:szCs w:val="16"/>
        </w:rPr>
        <w:noBreakHyphen/>
      </w:r>
      <w:r>
        <w:rPr>
          <w:rFonts w:eastAsia="仿宋_GB2312" w:cs="Times New Roman"/>
          <w:szCs w:val="16"/>
        </w:rPr>
        <w:fldChar w:fldCharType="begin"/>
      </w:r>
      <w:r>
        <w:rPr>
          <w:rFonts w:eastAsia="仿宋_GB2312" w:cs="Times New Roman"/>
          <w:szCs w:val="16"/>
        </w:rPr>
        <w:instrText xml:space="preserve"> SEQ 图 \* ARABIC \s 1 </w:instrText>
      </w:r>
      <w:r>
        <w:rPr>
          <w:rFonts w:eastAsia="仿宋_GB2312" w:cs="Times New Roman"/>
          <w:szCs w:val="16"/>
        </w:rPr>
        <w:fldChar w:fldCharType="separate"/>
      </w:r>
      <w:r>
        <w:rPr>
          <w:rFonts w:eastAsia="仿宋_GB2312" w:cs="Times New Roman"/>
          <w:szCs w:val="16"/>
        </w:rPr>
        <w:t>2</w:t>
      </w:r>
      <w:r>
        <w:rPr>
          <w:rFonts w:eastAsia="仿宋_GB2312" w:cs="Times New Roman"/>
          <w:szCs w:val="16"/>
        </w:rPr>
        <w:fldChar w:fldCharType="end"/>
      </w:r>
      <w:r>
        <w:rPr>
          <w:rFonts w:eastAsia="仿宋_GB2312" w:cs="Times New Roman"/>
          <w:bCs/>
          <w:szCs w:val="21"/>
        </w:rPr>
        <w:t>咸宁市高速充电站布局规划图</w:t>
      </w:r>
    </w:p>
    <w:p>
      <w:pPr>
        <w:pStyle w:val="4"/>
        <w:spacing w:before="156"/>
        <w:rPr>
          <w:rFonts w:eastAsia="仿宋_GB2312"/>
        </w:rPr>
      </w:pPr>
      <w:bookmarkStart w:id="160" w:name="_Toc117243222"/>
      <w:r>
        <w:rPr>
          <w:rFonts w:eastAsia="仿宋_GB2312"/>
        </w:rPr>
        <w:t>咸安区充电设施布局</w:t>
      </w:r>
      <w:bookmarkEnd w:id="160"/>
    </w:p>
    <w:p>
      <w:pPr>
        <w:ind w:firstLine="560"/>
        <w:rPr>
          <w:rFonts w:eastAsia="仿宋_GB2312" w:cs="Times New Roman"/>
        </w:rPr>
      </w:pPr>
      <w:r>
        <w:rPr>
          <w:rFonts w:eastAsia="仿宋_GB2312" w:cs="Times New Roman"/>
        </w:rPr>
        <w:t>本次规划，十四五期间咸安区共规划建设外部公共充电桩608个，小区内部公共充电桩426个；物流充电桩68个，环卫充电桩38个，公交充电桩10个，公务车充电桩196个，小区自用桩2411个。</w:t>
      </w:r>
    </w:p>
    <w:p>
      <w:pPr>
        <w:pStyle w:val="5"/>
        <w:adjustRightInd w:val="0"/>
        <w:snapToGrid w:val="0"/>
        <w:ind w:firstLine="284"/>
        <w:rPr>
          <w:rFonts w:eastAsia="仿宋_GB2312" w:cs="Times New Roman"/>
        </w:rPr>
      </w:pPr>
      <w:r>
        <w:rPr>
          <w:rFonts w:eastAsia="仿宋_GB2312" w:cs="Times New Roman"/>
        </w:rPr>
        <w:t>专用充电设施</w:t>
      </w:r>
    </w:p>
    <w:p>
      <w:pPr>
        <w:ind w:firstLine="562"/>
        <w:rPr>
          <w:rFonts w:eastAsia="仿宋_GB2312" w:cs="Times New Roman"/>
          <w:b/>
          <w:bCs/>
        </w:rPr>
      </w:pPr>
      <w:bookmarkStart w:id="161" w:name="_Hlk94258688"/>
      <w:bookmarkStart w:id="162" w:name="_Toc42804967"/>
      <w:bookmarkStart w:id="163" w:name="_Toc61257724"/>
      <w:r>
        <w:rPr>
          <w:rFonts w:eastAsia="仿宋_GB2312" w:cs="Times New Roman"/>
          <w:b/>
          <w:bCs/>
        </w:rPr>
        <w:t>1.物流专用</w:t>
      </w:r>
      <w:bookmarkStart w:id="164" w:name="_Hlk94258654"/>
      <w:r>
        <w:rPr>
          <w:rFonts w:eastAsia="仿宋_GB2312" w:cs="Times New Roman"/>
          <w:b/>
          <w:bCs/>
        </w:rPr>
        <w:t>充电设施</w:t>
      </w:r>
    </w:p>
    <w:bookmarkEnd w:id="164"/>
    <w:p>
      <w:pPr>
        <w:ind w:firstLine="560"/>
        <w:rPr>
          <w:rFonts w:eastAsia="仿宋_GB2312" w:cs="Times New Roman"/>
        </w:rPr>
      </w:pPr>
      <w:bookmarkStart w:id="165" w:name="_Hlk94258673"/>
      <w:r>
        <w:rPr>
          <w:rFonts w:eastAsia="仿宋_GB2312" w:cs="Times New Roman"/>
        </w:rPr>
        <w:t>十四五期间，为满足城市物流专用车辆的专用充电需求，选址各物流中心、物流有限公司等适宜地点规划新建物流车专用充电站。</w:t>
      </w:r>
      <w:bookmarkEnd w:id="165"/>
      <w:r>
        <w:rPr>
          <w:rFonts w:eastAsia="仿宋_GB2312" w:cs="Times New Roman"/>
        </w:rPr>
        <w:t>咸安区物流车充电站布局情况如</w:t>
      </w:r>
      <w:r>
        <w:rPr>
          <w:rFonts w:eastAsia="仿宋_GB2312" w:cs="Times New Roman"/>
        </w:rPr>
        <w:fldChar w:fldCharType="begin"/>
      </w:r>
      <w:r>
        <w:rPr>
          <w:rFonts w:eastAsia="仿宋_GB2312" w:cs="Times New Roman"/>
        </w:rPr>
        <w:instrText xml:space="preserve"> REF _Ref116478136 \h  \* MERGEFORMAT </w:instrText>
      </w:r>
      <w:r>
        <w:rPr>
          <w:rFonts w:eastAsia="仿宋_GB2312" w:cs="Times New Roman"/>
        </w:rPr>
        <w:fldChar w:fldCharType="separate"/>
      </w:r>
      <w:r>
        <w:rPr>
          <w:rFonts w:eastAsia="仿宋_GB2312" w:cs="Times New Roman"/>
        </w:rPr>
        <w:t>图 4</w:t>
      </w:r>
      <w:r>
        <w:rPr>
          <w:rFonts w:eastAsia="仿宋_GB2312" w:cs="Times New Roman"/>
        </w:rPr>
        <w:noBreakHyphen/>
      </w:r>
      <w:r>
        <w:rPr>
          <w:rFonts w:eastAsia="仿宋_GB2312" w:cs="Times New Roman"/>
        </w:rPr>
        <w:t>9</w:t>
      </w:r>
      <w:r>
        <w:rPr>
          <w:rFonts w:eastAsia="仿宋_GB2312" w:cs="Times New Roman"/>
        </w:rPr>
        <w:fldChar w:fldCharType="end"/>
      </w:r>
      <w:r>
        <w:rPr>
          <w:rFonts w:eastAsia="仿宋_GB2312" w:cs="Times New Roman"/>
        </w:rPr>
        <w:t>所示，至2025年，咸安区共新建物流车专用充电站6座，68个充电桩。</w:t>
      </w:r>
    </w:p>
    <w:p>
      <w:pPr>
        <w:ind w:firstLine="560"/>
        <w:rPr>
          <w:rFonts w:eastAsia="仿宋_GB2312" w:cs="Times New Roman"/>
        </w:rPr>
      </w:pPr>
      <w:r>
        <w:rPr>
          <w:rFonts w:eastAsia="仿宋_GB2312" w:cs="Times New Roman"/>
        </w:rPr>
        <w:t>（1）咸宁汇宁物流充电站，位于咸安区咸安经济开发区凤凰工业园凤凰路奕东电子里面，新建5台120kW一机双枪直流充电桩。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6" name="图片 6" descr="IMG_20220622_1131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IMG_20220622_113101"/>
                    <pic:cNvPicPr>
                      <a:picLocks noChangeAspect="true"/>
                    </pic:cNvPicPr>
                  </pic:nvPicPr>
                  <pic:blipFill>
                    <a:blip r:embed="rId55"/>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7" name="图片 7" descr="IMG_20220622_1130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descr="IMG_20220622_113056"/>
                    <pic:cNvPicPr>
                      <a:picLocks noChangeAspect="true"/>
                    </pic:cNvPicPr>
                  </pic:nvPicPr>
                  <pic:blipFill>
                    <a:blip r:embed="rId56"/>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t xml:space="preserve"> 咸宁汇宁物流充电站</w:t>
      </w:r>
    </w:p>
    <w:p>
      <w:pPr>
        <w:ind w:firstLine="560"/>
        <w:rPr>
          <w:rFonts w:eastAsia="仿宋_GB2312" w:cs="Times New Roman"/>
        </w:rPr>
      </w:pPr>
      <w:r>
        <w:rPr>
          <w:rFonts w:eastAsia="仿宋_GB2312" w:cs="Times New Roman"/>
        </w:rPr>
        <w:t>（2）咸宁家捷物流充电站，位于咸安区107国道(昊天建材城对面)，新建5台120kW一机双枪直流充电桩。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8" name="图片 8" descr="IMG_20220622_1126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descr="IMG_20220622_112630"/>
                    <pic:cNvPicPr>
                      <a:picLocks noChangeAspect="true"/>
                    </pic:cNvPicPr>
                  </pic:nvPicPr>
                  <pic:blipFill>
                    <a:blip r:embed="rId57"/>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0" name="图片 10" descr="IMG_20220622_1125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descr="IMG_20220622_112536"/>
                    <pic:cNvPicPr>
                      <a:picLocks noChangeAspect="true"/>
                    </pic:cNvPicPr>
                  </pic:nvPicPr>
                  <pic:blipFill>
                    <a:blip r:embed="rId58"/>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t xml:space="preserve"> 咸宁家捷物流充电站</w:t>
      </w:r>
    </w:p>
    <w:p>
      <w:pPr>
        <w:ind w:firstLine="560"/>
        <w:rPr>
          <w:rFonts w:eastAsia="仿宋_GB2312" w:cs="Times New Roman"/>
        </w:rPr>
      </w:pPr>
      <w:r>
        <w:rPr>
          <w:rFonts w:eastAsia="仿宋_GB2312" w:cs="Times New Roman"/>
        </w:rPr>
        <w:t>（3）湖北安欣物流充电站，位于咸安区货场路88号，新建5台120kW一机双枪直流充电桩。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20" name="图片 20" descr="IMG_20220622_1031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descr="IMG_20220622_103139"/>
                    <pic:cNvPicPr>
                      <a:picLocks noChangeAspect="true"/>
                    </pic:cNvPicPr>
                  </pic:nvPicPr>
                  <pic:blipFill>
                    <a:blip r:embed="rId59"/>
                    <a:stretch>
                      <a:fillRect/>
                    </a:stretch>
                  </pic:blipFill>
                  <pic:spPr>
                    <a:xfrm>
                      <a:off x="0" y="0"/>
                      <a:ext cx="2591435" cy="1943735"/>
                    </a:xfrm>
                    <a:prstGeom prst="rect">
                      <a:avLst/>
                    </a:prstGeom>
                  </pic:spPr>
                </pic:pic>
              </a:graphicData>
            </a:graphic>
          </wp:inline>
        </w:drawing>
      </w:r>
      <w:r>
        <w:rPr>
          <w:rFonts w:eastAsia="仿宋_GB2312" w:cs="Times New Roman"/>
        </w:rPr>
        <w:t>.</w:t>
      </w:r>
      <w:r>
        <w:rPr>
          <w:rFonts w:eastAsia="仿宋_GB2312" w:cs="Times New Roman"/>
        </w:rPr>
        <w:drawing>
          <wp:inline distT="0" distB="0" distL="114300" distR="114300">
            <wp:extent cx="2591435" cy="1943735"/>
            <wp:effectExtent l="0" t="0" r="14605" b="6985"/>
            <wp:docPr id="21" name="图片 21" descr="IMG_20220622_1032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descr="IMG_20220622_103236"/>
                    <pic:cNvPicPr>
                      <a:picLocks noChangeAspect="true"/>
                    </pic:cNvPicPr>
                  </pic:nvPicPr>
                  <pic:blipFill>
                    <a:blip r:embed="rId60"/>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5</w:t>
      </w:r>
      <w:r>
        <w:rPr>
          <w:rFonts w:eastAsia="仿宋_GB2312" w:cs="Times New Roman"/>
        </w:rPr>
        <w:fldChar w:fldCharType="end"/>
      </w:r>
      <w:r>
        <w:rPr>
          <w:rFonts w:eastAsia="仿宋_GB2312" w:cs="Times New Roman"/>
        </w:rPr>
        <w:t xml:space="preserve"> 湖北安欣物流充电站</w:t>
      </w:r>
    </w:p>
    <w:p>
      <w:pPr>
        <w:ind w:firstLine="560"/>
        <w:rPr>
          <w:rFonts w:eastAsia="仿宋_GB2312" w:cs="Times New Roman"/>
        </w:rPr>
      </w:pPr>
      <w:r>
        <w:rPr>
          <w:rFonts w:eastAsia="仿宋_GB2312" w:cs="Times New Roman"/>
        </w:rPr>
        <w:t>（4）中百集团咸宁物流充电，位于咸安区龟山路，新建5台120kW一机双枪直流充电桩。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3839845" cy="2879725"/>
            <wp:effectExtent l="0" t="0" r="635" b="635"/>
            <wp:docPr id="69" name="图片 69" descr="IMG_20220623_1100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69" descr="IMG_20220623_110037"/>
                    <pic:cNvPicPr>
                      <a:picLocks noChangeAspect="true"/>
                    </pic:cNvPicPr>
                  </pic:nvPicPr>
                  <pic:blipFill>
                    <a:blip r:embed="rId61"/>
                    <a:stretch>
                      <a:fillRect/>
                    </a:stretch>
                  </pic:blipFill>
                  <pic:spPr>
                    <a:xfrm>
                      <a:off x="0" y="0"/>
                      <a:ext cx="3839845" cy="287972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t xml:space="preserve"> 中百集团咸宁物流充电站</w:t>
      </w:r>
    </w:p>
    <w:p>
      <w:pPr>
        <w:ind w:firstLine="560"/>
        <w:rPr>
          <w:rFonts w:eastAsia="仿宋_GB2312" w:cs="Times New Roman"/>
        </w:rPr>
      </w:pPr>
      <w:r>
        <w:rPr>
          <w:rFonts w:eastAsia="仿宋_GB2312" w:cs="Times New Roman"/>
        </w:rPr>
        <w:t>（5）咸宁圆通速递物流充电站，位于咸安区龟山路长江工业园，新建4台120kW一机双枪直流充电桩。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29" name="图片 29" descr="IMG_20220623_1105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9" descr="IMG_20220623_110544"/>
                    <pic:cNvPicPr>
                      <a:picLocks noChangeAspect="true"/>
                    </pic:cNvPicPr>
                  </pic:nvPicPr>
                  <pic:blipFill>
                    <a:blip r:embed="rId62"/>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31" name="图片 31" descr="IMG_20220623_1106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31" descr="IMG_20220623_110639"/>
                    <pic:cNvPicPr>
                      <a:picLocks noChangeAspect="true"/>
                    </pic:cNvPicPr>
                  </pic:nvPicPr>
                  <pic:blipFill>
                    <a:blip r:embed="rId63"/>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7</w:t>
      </w:r>
      <w:r>
        <w:rPr>
          <w:rFonts w:eastAsia="仿宋_GB2312" w:cs="Times New Roman"/>
        </w:rPr>
        <w:fldChar w:fldCharType="end"/>
      </w:r>
      <w:r>
        <w:rPr>
          <w:rFonts w:eastAsia="仿宋_GB2312" w:cs="Times New Roman"/>
        </w:rPr>
        <w:t xml:space="preserve"> 咸宁圆通速递物流充电站</w:t>
      </w:r>
    </w:p>
    <w:p>
      <w:pPr>
        <w:ind w:firstLine="560"/>
        <w:rPr>
          <w:rFonts w:eastAsia="仿宋_GB2312" w:cs="Times New Roman"/>
        </w:rPr>
      </w:pPr>
      <w:r>
        <w:rPr>
          <w:rFonts w:eastAsia="仿宋_GB2312" w:cs="Times New Roman"/>
        </w:rPr>
        <w:t>（6）肖桥货运停车场充电站，咸安区香城古街斜对面，新建10台120kW一机双枪直流充电桩。</w:t>
      </w:r>
      <w:bookmarkStart w:id="166" w:name="_Ref16600128"/>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64" name="图片 64" descr="IMG_20220624_1113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64" descr="IMG_20220624_111343"/>
                    <pic:cNvPicPr>
                      <a:picLocks noChangeAspect="true"/>
                    </pic:cNvPicPr>
                  </pic:nvPicPr>
                  <pic:blipFill>
                    <a:blip r:embed="rId64"/>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66" name="图片 66" descr="IMG_20220624_1114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66" descr="IMG_20220624_111424"/>
                    <pic:cNvPicPr>
                      <a:picLocks noChangeAspect="true"/>
                    </pic:cNvPicPr>
                  </pic:nvPicPr>
                  <pic:blipFill>
                    <a:blip r:embed="rId65"/>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8</w:t>
      </w:r>
      <w:r>
        <w:rPr>
          <w:rFonts w:eastAsia="仿宋_GB2312" w:cs="Times New Roman"/>
        </w:rPr>
        <w:fldChar w:fldCharType="end"/>
      </w:r>
      <w:r>
        <w:rPr>
          <w:rFonts w:eastAsia="仿宋_GB2312" w:cs="Times New Roman"/>
        </w:rPr>
        <w:t xml:space="preserve"> 肖桥货运停车场充电站</w:t>
      </w:r>
    </w:p>
    <w:bookmarkEnd w:id="166"/>
    <w:p>
      <w:pPr>
        <w:pStyle w:val="19"/>
        <w:ind w:firstLine="560"/>
        <w:rPr>
          <w:rFonts w:eastAsia="仿宋_GB2312" w:cs="Times New Roman"/>
        </w:rPr>
      </w:pPr>
      <w:bookmarkStart w:id="167" w:name="_Ref100735651"/>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w:t>
      </w:r>
      <w:r>
        <w:rPr>
          <w:rFonts w:eastAsia="仿宋_GB2312" w:cs="Times New Roman"/>
        </w:rPr>
        <w:fldChar w:fldCharType="end"/>
      </w:r>
      <w:bookmarkEnd w:id="167"/>
      <w:r>
        <w:rPr>
          <w:rFonts w:eastAsia="仿宋_GB2312" w:cs="Times New Roman"/>
        </w:rPr>
        <w:t xml:space="preserve"> 咸安区物流充电站布局规划表</w:t>
      </w:r>
    </w:p>
    <w:tbl>
      <w:tblPr>
        <w:tblStyle w:val="76"/>
        <w:tblW w:w="507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45"/>
        <w:gridCol w:w="2093"/>
        <w:gridCol w:w="2442"/>
        <w:gridCol w:w="926"/>
        <w:gridCol w:w="970"/>
        <w:gridCol w:w="1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56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24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448"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54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57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62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咸宁汇宁物流充电站</w:t>
            </w:r>
          </w:p>
        </w:tc>
        <w:tc>
          <w:tcPr>
            <w:tcW w:w="1448"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咸安区咸安经济开发区凤凰工业园凤凰路奕东电子里面</w:t>
            </w:r>
          </w:p>
        </w:tc>
        <w:tc>
          <w:tcPr>
            <w:tcW w:w="54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7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咸宁家捷物流充电站</w:t>
            </w:r>
          </w:p>
        </w:tc>
        <w:tc>
          <w:tcPr>
            <w:tcW w:w="1448"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咸安区107国道(昊天建材城对面)</w:t>
            </w:r>
          </w:p>
        </w:tc>
        <w:tc>
          <w:tcPr>
            <w:tcW w:w="54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7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湖北安欣物流充电站</w:t>
            </w:r>
          </w:p>
        </w:tc>
        <w:tc>
          <w:tcPr>
            <w:tcW w:w="1448"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咸安区货场路88号</w:t>
            </w:r>
          </w:p>
        </w:tc>
        <w:tc>
          <w:tcPr>
            <w:tcW w:w="54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7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中百集团咸宁物流充电站</w:t>
            </w:r>
          </w:p>
        </w:tc>
        <w:tc>
          <w:tcPr>
            <w:tcW w:w="1448"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咸安区龟山路</w:t>
            </w:r>
          </w:p>
        </w:tc>
        <w:tc>
          <w:tcPr>
            <w:tcW w:w="54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7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咸宁圆通速递物流充电站</w:t>
            </w:r>
          </w:p>
        </w:tc>
        <w:tc>
          <w:tcPr>
            <w:tcW w:w="1448"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咸安区龟山路长江工业园</w:t>
            </w:r>
          </w:p>
        </w:tc>
        <w:tc>
          <w:tcPr>
            <w:tcW w:w="54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7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肖桥货运停车场充电站</w:t>
            </w:r>
          </w:p>
        </w:tc>
        <w:tc>
          <w:tcPr>
            <w:tcW w:w="1448"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咸安区香城古街斜对面</w:t>
            </w:r>
          </w:p>
        </w:tc>
        <w:tc>
          <w:tcPr>
            <w:tcW w:w="54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7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448"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54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57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bookmarkStart w:id="168" w:name="_Ref30841"/>
      <w:r>
        <w:rPr>
          <w:rFonts w:eastAsia="仿宋_GB2312" w:cs="Times New Roman"/>
        </w:rPr>
        <w:drawing>
          <wp:inline distT="0" distB="0" distL="0" distR="0">
            <wp:extent cx="5093970" cy="3011805"/>
            <wp:effectExtent l="0" t="0" r="0" b="0"/>
            <wp:docPr id="25"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true"/>
                    </pic:cNvPicPr>
                  </pic:nvPicPr>
                  <pic:blipFill>
                    <a:blip r:embed="rId66"/>
                    <a:srcRect l="3415" t="1361"/>
                    <a:stretch>
                      <a:fillRect/>
                    </a:stretch>
                  </pic:blipFill>
                  <pic:spPr>
                    <a:xfrm>
                      <a:off x="0" y="0"/>
                      <a:ext cx="5094201" cy="3012151"/>
                    </a:xfrm>
                    <a:prstGeom prst="rect">
                      <a:avLst/>
                    </a:prstGeom>
                    <a:ln>
                      <a:noFill/>
                    </a:ln>
                  </pic:spPr>
                </pic:pic>
              </a:graphicData>
            </a:graphic>
          </wp:inline>
        </w:drawing>
      </w:r>
    </w:p>
    <w:p>
      <w:pPr>
        <w:pStyle w:val="19"/>
        <w:rPr>
          <w:rFonts w:eastAsia="仿宋_GB2312" w:cs="Times New Roman"/>
        </w:rPr>
      </w:pPr>
      <w:bookmarkStart w:id="169" w:name="_Ref116478136"/>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9</w:t>
      </w:r>
      <w:r>
        <w:rPr>
          <w:rFonts w:eastAsia="仿宋_GB2312" w:cs="Times New Roman"/>
        </w:rPr>
        <w:fldChar w:fldCharType="end"/>
      </w:r>
      <w:bookmarkEnd w:id="168"/>
      <w:bookmarkEnd w:id="169"/>
      <w:r>
        <w:rPr>
          <w:rFonts w:eastAsia="仿宋_GB2312" w:cs="Times New Roman"/>
        </w:rPr>
        <w:t>咸安区物流充电站布点图</w:t>
      </w:r>
    </w:p>
    <w:p>
      <w:pPr>
        <w:ind w:firstLine="562"/>
        <w:rPr>
          <w:rFonts w:eastAsia="仿宋_GB2312" w:cs="Times New Roman"/>
          <w:b/>
          <w:bCs/>
        </w:rPr>
      </w:pPr>
      <w:r>
        <w:rPr>
          <w:rFonts w:eastAsia="仿宋_GB2312" w:cs="Times New Roman"/>
          <w:b/>
          <w:bCs/>
        </w:rPr>
        <w:t>2.环卫专用充电设施</w:t>
      </w:r>
    </w:p>
    <w:p>
      <w:pPr>
        <w:ind w:firstLine="560"/>
        <w:rPr>
          <w:rFonts w:eastAsia="仿宋_GB2312" w:cs="Times New Roman"/>
        </w:rPr>
      </w:pPr>
      <w:r>
        <w:rPr>
          <w:rFonts w:eastAsia="仿宋_GB2312" w:cs="Times New Roman"/>
        </w:rPr>
        <w:t>十四五期间，咸安区共有环卫车专用充电站3座，38个充电桩。咸安区环卫车专用充电站布局规划如</w:t>
      </w:r>
      <w:r>
        <w:rPr>
          <w:rFonts w:eastAsia="仿宋_GB2312" w:cs="Times New Roman"/>
        </w:rPr>
        <w:fldChar w:fldCharType="begin"/>
      </w:r>
      <w:r>
        <w:rPr>
          <w:rFonts w:eastAsia="仿宋_GB2312" w:cs="Times New Roman"/>
        </w:rPr>
        <w:instrText xml:space="preserve"> REF _Ref116556948 \h </w:instrText>
      </w:r>
      <w:r>
        <w:rPr>
          <w:rFonts w:eastAsia="仿宋_GB2312" w:cs="Times New Roman"/>
        </w:rPr>
        <w:fldChar w:fldCharType="separate"/>
      </w:r>
      <w:r>
        <w:rPr>
          <w:rFonts w:eastAsia="仿宋_GB2312" w:cs="Times New Roman"/>
        </w:rPr>
        <w:t>表 4</w:t>
      </w:r>
      <w:r>
        <w:rPr>
          <w:rFonts w:eastAsia="仿宋_GB2312" w:cs="Times New Roman"/>
        </w:rPr>
        <w:noBreakHyphen/>
      </w:r>
      <w:r>
        <w:rPr>
          <w:rFonts w:eastAsia="仿宋_GB2312" w:cs="Times New Roman"/>
        </w:rPr>
        <w:t>4</w:t>
      </w:r>
      <w:r>
        <w:rPr>
          <w:rFonts w:eastAsia="仿宋_GB2312" w:cs="Times New Roman"/>
        </w:rPr>
        <w:fldChar w:fldCharType="end"/>
      </w:r>
      <w:r>
        <w:rPr>
          <w:rFonts w:hint="eastAsia" w:eastAsia="仿宋_GB2312" w:cs="Times New Roman"/>
        </w:rPr>
        <w:t>所示。</w:t>
      </w:r>
    </w:p>
    <w:p>
      <w:pPr>
        <w:ind w:firstLine="560"/>
        <w:rPr>
          <w:rFonts w:eastAsia="仿宋_GB2312" w:cs="Times New Roman"/>
        </w:rPr>
      </w:pPr>
      <w:r>
        <w:rPr>
          <w:rFonts w:eastAsia="仿宋_GB2312" w:cs="Times New Roman"/>
        </w:rPr>
        <w:t>（1）咸宁桑宁环境服务有限公司充电站，位于咸安区经济开发区锦龙路6号，新建5台120kW一机双枪直流充电桩。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70" name="图片 70" descr="IMG_20220623_1218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0" name="图片 70" descr="IMG_20220623_121847"/>
                    <pic:cNvPicPr>
                      <a:picLocks noChangeAspect="true"/>
                    </pic:cNvPicPr>
                  </pic:nvPicPr>
                  <pic:blipFill>
                    <a:blip r:embed="rId67"/>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71" name="图片 71" descr="IMG_20220623_1218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 name="图片 71" descr="IMG_20220623_121851"/>
                    <pic:cNvPicPr>
                      <a:picLocks noChangeAspect="true"/>
                    </pic:cNvPicPr>
                  </pic:nvPicPr>
                  <pic:blipFill>
                    <a:blip r:embed="rId68"/>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10</w:t>
      </w:r>
      <w:r>
        <w:rPr>
          <w:rFonts w:eastAsia="仿宋_GB2312" w:cs="Times New Roman"/>
        </w:rPr>
        <w:fldChar w:fldCharType="end"/>
      </w:r>
      <w:r>
        <w:rPr>
          <w:rFonts w:eastAsia="仿宋_GB2312" w:cs="Times New Roman"/>
        </w:rPr>
        <w:t xml:space="preserve"> 咸宁桑宁环境服务有限公司充电站</w:t>
      </w:r>
    </w:p>
    <w:p>
      <w:pPr>
        <w:ind w:firstLine="560"/>
        <w:rPr>
          <w:rFonts w:eastAsia="仿宋_GB2312" w:cs="Times New Roman"/>
        </w:rPr>
      </w:pPr>
      <w:r>
        <w:rPr>
          <w:rFonts w:eastAsia="仿宋_GB2312" w:cs="Times New Roman"/>
        </w:rPr>
        <w:t>（2）温泉园林管理办公室充电站，位于咸安区办事处贺胜路199号，新建4台120kW一机双枪直流充电桩。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72" name="图片 72" descr="IMG_20220624_0943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72" descr="IMG_20220624_094318"/>
                    <pic:cNvPicPr>
                      <a:picLocks noChangeAspect="true"/>
                    </pic:cNvPicPr>
                  </pic:nvPicPr>
                  <pic:blipFill>
                    <a:blip r:embed="rId69"/>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73" name="图片 73" descr="IMG_20220624_0943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3" name="图片 73" descr="IMG_20220624_094340"/>
                    <pic:cNvPicPr>
                      <a:picLocks noChangeAspect="true"/>
                    </pic:cNvPicPr>
                  </pic:nvPicPr>
                  <pic:blipFill>
                    <a:blip r:embed="rId70"/>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11</w:t>
      </w:r>
      <w:r>
        <w:rPr>
          <w:rFonts w:eastAsia="仿宋_GB2312" w:cs="Times New Roman"/>
        </w:rPr>
        <w:fldChar w:fldCharType="end"/>
      </w:r>
      <w:r>
        <w:rPr>
          <w:rFonts w:eastAsia="仿宋_GB2312" w:cs="Times New Roman"/>
        </w:rPr>
        <w:t xml:space="preserve"> 温泉园林管理办公室充电站</w:t>
      </w:r>
    </w:p>
    <w:p>
      <w:pPr>
        <w:ind w:firstLine="560"/>
        <w:rPr>
          <w:rFonts w:eastAsia="仿宋_GB2312" w:cs="Times New Roman"/>
        </w:rPr>
      </w:pPr>
      <w:r>
        <w:rPr>
          <w:rFonts w:eastAsia="仿宋_GB2312" w:cs="Times New Roman"/>
        </w:rPr>
        <w:t>（3）马柏停车场环卫充电站，位于咸安区香城古街斜对面，新建10台120kW一机双枪直流充电桩。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74" name="图片 74" descr="IMG_20220624_1116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4" name="图片 74" descr="IMG_20220624_111635"/>
                    <pic:cNvPicPr>
                      <a:picLocks noChangeAspect="true"/>
                    </pic:cNvPicPr>
                  </pic:nvPicPr>
                  <pic:blipFill>
                    <a:blip r:embed="rId71"/>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75" name="图片 75" descr="IMG_20220624_1117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75" descr="IMG_20220624_111719"/>
                    <pic:cNvPicPr>
                      <a:picLocks noChangeAspect="true"/>
                    </pic:cNvPicPr>
                  </pic:nvPicPr>
                  <pic:blipFill>
                    <a:blip r:embed="rId72"/>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12</w:t>
      </w:r>
      <w:r>
        <w:rPr>
          <w:rFonts w:eastAsia="仿宋_GB2312" w:cs="Times New Roman"/>
        </w:rPr>
        <w:fldChar w:fldCharType="end"/>
      </w:r>
      <w:r>
        <w:rPr>
          <w:rFonts w:eastAsia="仿宋_GB2312" w:cs="Times New Roman"/>
        </w:rPr>
        <w:t xml:space="preserve"> 马柏停车场环卫充电站</w:t>
      </w:r>
    </w:p>
    <w:p>
      <w:pPr>
        <w:pStyle w:val="19"/>
        <w:ind w:firstLine="560"/>
        <w:rPr>
          <w:rFonts w:eastAsia="仿宋_GB2312" w:cs="Times New Roman"/>
        </w:rPr>
      </w:pPr>
      <w:bookmarkStart w:id="170" w:name="_Ref30929"/>
    </w:p>
    <w:p>
      <w:pPr>
        <w:pStyle w:val="19"/>
        <w:ind w:firstLine="560"/>
        <w:rPr>
          <w:rFonts w:eastAsia="仿宋_GB2312" w:cs="Times New Roman"/>
        </w:rPr>
      </w:pPr>
      <w:bookmarkStart w:id="171" w:name="_Ref116556948"/>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4</w:t>
      </w:r>
      <w:r>
        <w:rPr>
          <w:rFonts w:eastAsia="仿宋_GB2312" w:cs="Times New Roman"/>
        </w:rPr>
        <w:fldChar w:fldCharType="end"/>
      </w:r>
      <w:bookmarkEnd w:id="170"/>
      <w:bookmarkEnd w:id="171"/>
      <w:r>
        <w:rPr>
          <w:rFonts w:eastAsia="仿宋_GB2312" w:cs="Times New Roman"/>
        </w:rPr>
        <w:t xml:space="preserve"> 咸安区环卫充电站布局规划表</w:t>
      </w:r>
    </w:p>
    <w:tbl>
      <w:tblPr>
        <w:tblStyle w:val="76"/>
        <w:tblW w:w="501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34"/>
        <w:gridCol w:w="2069"/>
        <w:gridCol w:w="1812"/>
        <w:gridCol w:w="1332"/>
        <w:gridCol w:w="1142"/>
        <w:gridCol w:w="10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56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24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08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79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68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62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咸宁桑宁环境服务有限公司充电站</w:t>
            </w:r>
          </w:p>
        </w:tc>
        <w:tc>
          <w:tcPr>
            <w:tcW w:w="108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咸安区经济开发区锦龙路6号</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温泉园林管理办公室充电站</w:t>
            </w:r>
          </w:p>
        </w:tc>
        <w:tc>
          <w:tcPr>
            <w:tcW w:w="108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咸安区办事处贺胜路199号</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马柏停车场环卫充电站</w:t>
            </w:r>
          </w:p>
        </w:tc>
        <w:tc>
          <w:tcPr>
            <w:tcW w:w="108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咸安区香城古街斜对面</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08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p>
    <w:p>
      <w:pPr>
        <w:pStyle w:val="19"/>
        <w:rPr>
          <w:rFonts w:eastAsia="仿宋_GB2312" w:cs="Times New Roman"/>
        </w:rPr>
      </w:pPr>
      <w:r>
        <w:rPr>
          <w:rFonts w:eastAsia="仿宋_GB2312" w:cs="Times New Roman"/>
        </w:rPr>
        <w:drawing>
          <wp:inline distT="0" distB="0" distL="0" distR="0">
            <wp:extent cx="5274310" cy="3412490"/>
            <wp:effectExtent l="0" t="0" r="2540" b="0"/>
            <wp:docPr id="7184" name="图片 71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84" name="图片 7184"/>
                    <pic:cNvPicPr>
                      <a:picLocks noChangeAspect="true"/>
                    </pic:cNvPicPr>
                  </pic:nvPicPr>
                  <pic:blipFill>
                    <a:blip r:embed="rId73"/>
                    <a:stretch>
                      <a:fillRect/>
                    </a:stretch>
                  </pic:blipFill>
                  <pic:spPr>
                    <a:xfrm>
                      <a:off x="0" y="0"/>
                      <a:ext cx="5274310" cy="3412490"/>
                    </a:xfrm>
                    <a:prstGeom prst="rect">
                      <a:avLst/>
                    </a:prstGeom>
                  </pic:spPr>
                </pic:pic>
              </a:graphicData>
            </a:graphic>
          </wp:inline>
        </w:drawing>
      </w:r>
    </w:p>
    <w:p>
      <w:pPr>
        <w:pStyle w:val="19"/>
        <w:rPr>
          <w:rFonts w:eastAsia="仿宋_GB2312" w:cs="Times New Roman"/>
          <w:bCs/>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13</w:t>
      </w:r>
      <w:r>
        <w:rPr>
          <w:rFonts w:eastAsia="仿宋_GB2312" w:cs="Times New Roman"/>
        </w:rPr>
        <w:fldChar w:fldCharType="end"/>
      </w:r>
      <w:r>
        <w:rPr>
          <w:rFonts w:eastAsia="仿宋_GB2312" w:cs="Times New Roman"/>
        </w:rPr>
        <w:t>咸安区环卫充电站布点图</w:t>
      </w:r>
    </w:p>
    <w:p>
      <w:pPr>
        <w:ind w:firstLine="562"/>
        <w:rPr>
          <w:rFonts w:eastAsia="仿宋_GB2312" w:cs="Times New Roman"/>
          <w:b/>
          <w:bCs/>
        </w:rPr>
      </w:pPr>
      <w:r>
        <w:rPr>
          <w:rFonts w:eastAsia="仿宋_GB2312" w:cs="Times New Roman"/>
          <w:b/>
          <w:bCs/>
        </w:rPr>
        <w:t>3.公交专用充电设施</w:t>
      </w:r>
    </w:p>
    <w:p>
      <w:pPr>
        <w:ind w:firstLine="560"/>
        <w:rPr>
          <w:rFonts w:eastAsia="仿宋_GB2312" w:cs="Times New Roman"/>
        </w:rPr>
      </w:pPr>
      <w:r>
        <w:rPr>
          <w:rFonts w:eastAsia="仿宋_GB2312" w:cs="Times New Roman"/>
        </w:rPr>
        <w:t>咸安区公交车充电站选址原则为公交首末站场、公交车夜间回车场或其周边、乡镇客运站等合适地点。至2025年，咸安区共有公交车充电站1座，10个充电桩。</w:t>
      </w:r>
    </w:p>
    <w:p>
      <w:pPr>
        <w:ind w:firstLine="560"/>
        <w:rPr>
          <w:rFonts w:eastAsia="仿宋_GB2312" w:cs="Times New Roman"/>
        </w:rPr>
      </w:pPr>
      <w:r>
        <w:rPr>
          <w:rFonts w:eastAsia="仿宋_GB2312" w:cs="Times New Roman"/>
        </w:rPr>
        <w:t>（1）咸安客运中心充电站，位于咸安区车站路与双峰路交叉口往西200米，新建5台120kW一机两枪直流充电桩。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76" name="图片 76" descr="IMG_20220622_1020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76" descr="IMG_20220622_102032"/>
                    <pic:cNvPicPr>
                      <a:picLocks noChangeAspect="true"/>
                    </pic:cNvPicPr>
                  </pic:nvPicPr>
                  <pic:blipFill>
                    <a:blip r:embed="rId74"/>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77" name="图片 77" descr="IMG_20220622_1020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77" descr="IMG_20220622_102046"/>
                    <pic:cNvPicPr>
                      <a:picLocks noChangeAspect="true"/>
                    </pic:cNvPicPr>
                  </pic:nvPicPr>
                  <pic:blipFill>
                    <a:blip r:embed="rId75"/>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14</w:t>
      </w:r>
      <w:r>
        <w:rPr>
          <w:rFonts w:eastAsia="仿宋_GB2312" w:cs="Times New Roman"/>
        </w:rPr>
        <w:fldChar w:fldCharType="end"/>
      </w:r>
      <w:r>
        <w:rPr>
          <w:rFonts w:eastAsia="仿宋_GB2312" w:cs="Times New Roman"/>
        </w:rPr>
        <w:t xml:space="preserve"> 咸安客运中心充电站</w:t>
      </w:r>
    </w:p>
    <w:p>
      <w:pPr>
        <w:ind w:firstLine="560"/>
      </w:pPr>
    </w:p>
    <w:p>
      <w:pPr>
        <w:pStyle w:val="19"/>
        <w:ind w:firstLine="560"/>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5</w:t>
      </w:r>
      <w:r>
        <w:rPr>
          <w:rFonts w:eastAsia="仿宋_GB2312" w:cs="Times New Roman"/>
        </w:rPr>
        <w:fldChar w:fldCharType="end"/>
      </w:r>
      <w:r>
        <w:rPr>
          <w:rFonts w:eastAsia="仿宋_GB2312" w:cs="Times New Roman"/>
        </w:rPr>
        <w:t xml:space="preserve"> 咸安区环卫充电站布局规划表</w:t>
      </w:r>
    </w:p>
    <w:tbl>
      <w:tblPr>
        <w:tblStyle w:val="76"/>
        <w:tblW w:w="5022" w:type="pct"/>
        <w:jc w:val="center"/>
        <w:tblLayout w:type="autofit"/>
        <w:tblCellMar>
          <w:top w:w="0" w:type="dxa"/>
          <w:left w:w="0" w:type="dxa"/>
          <w:bottom w:w="0" w:type="dxa"/>
          <w:right w:w="0" w:type="dxa"/>
        </w:tblCellMar>
      </w:tblPr>
      <w:tblGrid>
        <w:gridCol w:w="940"/>
        <w:gridCol w:w="2076"/>
        <w:gridCol w:w="1818"/>
        <w:gridCol w:w="1336"/>
        <w:gridCol w:w="1146"/>
        <w:gridCol w:w="1047"/>
      </w:tblGrid>
      <w:tr>
        <w:tblPrEx>
          <w:tblCellMar>
            <w:top w:w="0" w:type="dxa"/>
            <w:left w:w="0" w:type="dxa"/>
            <w:bottom w:w="0" w:type="dxa"/>
            <w:right w:w="0" w:type="dxa"/>
          </w:tblCellMar>
        </w:tblPrEx>
        <w:trPr>
          <w:trHeight w:val="283" w:hRule="atLeast"/>
          <w:tblHeader/>
          <w:jc w:val="center"/>
        </w:trPr>
        <w:tc>
          <w:tcPr>
            <w:tcW w:w="562" w:type="pct"/>
            <w:tcBorders>
              <w:top w:val="single" w:color="auto" w:sz="8" w:space="0"/>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序号</w:t>
            </w:r>
          </w:p>
        </w:tc>
        <w:tc>
          <w:tcPr>
            <w:tcW w:w="1241" w:type="pct"/>
            <w:tcBorders>
              <w:top w:val="single" w:color="auto" w:sz="8"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名称</w:t>
            </w:r>
          </w:p>
        </w:tc>
        <w:tc>
          <w:tcPr>
            <w:tcW w:w="1087" w:type="pct"/>
            <w:tcBorders>
              <w:top w:val="single" w:color="auto" w:sz="8"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地理位置</w:t>
            </w:r>
          </w:p>
        </w:tc>
        <w:tc>
          <w:tcPr>
            <w:tcW w:w="799" w:type="pct"/>
            <w:tcBorders>
              <w:top w:val="single" w:color="auto" w:sz="8"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实施类型</w:t>
            </w:r>
          </w:p>
        </w:tc>
        <w:tc>
          <w:tcPr>
            <w:tcW w:w="685" w:type="pct"/>
            <w:tcBorders>
              <w:top w:val="single" w:color="auto" w:sz="8"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充电桩数</w:t>
            </w:r>
          </w:p>
        </w:tc>
        <w:tc>
          <w:tcPr>
            <w:tcW w:w="626" w:type="pct"/>
            <w:tcBorders>
              <w:top w:val="single" w:color="auto" w:sz="8"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CellMar>
            <w:top w:w="0" w:type="dxa"/>
            <w:left w:w="0" w:type="dxa"/>
            <w:bottom w:w="0" w:type="dxa"/>
            <w:right w:w="0" w:type="dxa"/>
          </w:tblCellMar>
        </w:tblPrEx>
        <w:trPr>
          <w:trHeight w:val="283" w:hRule="atLeast"/>
          <w:jc w:val="center"/>
        </w:trPr>
        <w:tc>
          <w:tcPr>
            <w:tcW w:w="562"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2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咸安客运中心充电站</w:t>
            </w:r>
          </w:p>
        </w:tc>
        <w:tc>
          <w:tcPr>
            <w:tcW w:w="1087"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咸安区车站路与双峰路交叉口往西200米</w:t>
            </w:r>
          </w:p>
        </w:tc>
        <w:tc>
          <w:tcPr>
            <w:tcW w:w="7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62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2023</w:t>
            </w:r>
          </w:p>
        </w:tc>
      </w:tr>
      <w:tr>
        <w:tblPrEx>
          <w:tblCellMar>
            <w:top w:w="0" w:type="dxa"/>
            <w:left w:w="0" w:type="dxa"/>
            <w:bottom w:w="0" w:type="dxa"/>
            <w:right w:w="0" w:type="dxa"/>
          </w:tblCellMar>
        </w:tblPrEx>
        <w:trPr>
          <w:trHeight w:val="283" w:hRule="atLeast"/>
          <w:jc w:val="center"/>
        </w:trPr>
        <w:tc>
          <w:tcPr>
            <w:tcW w:w="562" w:type="pct"/>
            <w:tcBorders>
              <w:top w:val="nil"/>
              <w:left w:val="single" w:color="auto" w:sz="8" w:space="0"/>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241"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087"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799"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8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62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bookmarkEnd w:id="161"/>
      <w:bookmarkEnd w:id="162"/>
      <w:bookmarkEnd w:id="163"/>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ind w:firstLine="562"/>
        <w:rPr>
          <w:rFonts w:eastAsia="仿宋_GB2312" w:cs="Times New Roman"/>
          <w:b/>
          <w:bCs/>
        </w:rPr>
      </w:pPr>
      <w:r>
        <w:rPr>
          <w:rFonts w:eastAsia="仿宋_GB2312" w:cs="Times New Roman"/>
          <w:b/>
          <w:bCs/>
        </w:rPr>
        <w:t>4公务专用充电设施</w:t>
      </w:r>
    </w:p>
    <w:p>
      <w:pPr>
        <w:ind w:firstLine="560"/>
        <w:rPr>
          <w:rFonts w:eastAsia="仿宋_GB2312" w:cs="Times New Roman"/>
        </w:rPr>
      </w:pPr>
      <w:r>
        <w:rPr>
          <w:rFonts w:eastAsia="仿宋_GB2312" w:cs="Times New Roman"/>
        </w:rPr>
        <w:t>咸安区公务车充电站规划建设在政府部门及事业单位内部停车场内，至2025年，规划新建196个充电桩。咸安区公务车充电桩规划统计表如</w:t>
      </w:r>
      <w:r>
        <w:rPr>
          <w:rFonts w:eastAsia="仿宋_GB2312" w:cs="Times New Roman"/>
        </w:rPr>
        <w:fldChar w:fldCharType="begin"/>
      </w:r>
      <w:r>
        <w:rPr>
          <w:rFonts w:eastAsia="仿宋_GB2312" w:cs="Times New Roman"/>
        </w:rPr>
        <w:instrText xml:space="preserve"> REF _Ref112157146 \h  \* MERGEFORMAT </w:instrText>
      </w:r>
      <w:r>
        <w:rPr>
          <w:rFonts w:eastAsia="仿宋_GB2312" w:cs="Times New Roman"/>
        </w:rPr>
        <w:fldChar w:fldCharType="separate"/>
      </w:r>
      <w:r>
        <w:rPr>
          <w:rFonts w:eastAsia="仿宋_GB2312" w:cs="Times New Roman"/>
        </w:rPr>
        <w:t>表 4</w:t>
      </w:r>
      <w:r>
        <w:rPr>
          <w:rFonts w:eastAsia="仿宋_GB2312" w:cs="Times New Roman"/>
        </w:rPr>
        <w:noBreakHyphen/>
      </w:r>
      <w:r>
        <w:rPr>
          <w:rFonts w:eastAsia="仿宋_GB2312" w:cs="Times New Roman"/>
        </w:rPr>
        <w:t>6</w:t>
      </w:r>
      <w:r>
        <w:rPr>
          <w:rFonts w:eastAsia="仿宋_GB2312" w:cs="Times New Roman"/>
        </w:rPr>
        <w:fldChar w:fldCharType="end"/>
      </w:r>
      <w:r>
        <w:rPr>
          <w:rFonts w:eastAsia="仿宋_GB2312" w:cs="Times New Roman"/>
        </w:rPr>
        <w:t>所示。</w:t>
      </w:r>
    </w:p>
    <w:p>
      <w:pPr>
        <w:ind w:firstLine="560"/>
        <w:rPr>
          <w:rFonts w:eastAsia="仿宋_GB2312" w:cs="Times New Roman"/>
        </w:rPr>
      </w:pPr>
      <w:r>
        <w:rPr>
          <w:rFonts w:eastAsia="仿宋_GB2312" w:cs="Times New Roman"/>
        </w:rPr>
        <w:t>（1）咸宁市中级人民法院充电站，位于咸安区咸宁大道12-16号，新建4台120kW一机两枪直流充电桩。</w:t>
      </w:r>
    </w:p>
    <w:p>
      <w:pPr>
        <w:ind w:firstLine="560"/>
        <w:rPr>
          <w:rFonts w:eastAsia="仿宋_GB2312" w:cs="Times New Roman"/>
        </w:rPr>
      </w:pPr>
      <w:r>
        <w:rPr>
          <w:rFonts w:eastAsia="仿宋_GB2312" w:cs="Times New Roman"/>
        </w:rPr>
        <w:t>（2）咸宁市住房和城乡建设局充电站，位于咸安区咸宁大道东段与银泉大道交叉口西80米，新建4台120kW一机两枪直流充电桩。</w:t>
      </w:r>
    </w:p>
    <w:p>
      <w:pPr>
        <w:ind w:firstLine="560"/>
        <w:rPr>
          <w:rFonts w:eastAsia="仿宋_GB2312" w:cs="Times New Roman"/>
        </w:rPr>
      </w:pPr>
      <w:r>
        <w:rPr>
          <w:rFonts w:eastAsia="仿宋_GB2312" w:cs="Times New Roman"/>
        </w:rPr>
        <w:t>（3）咸宁市公安局咸安分局交通警察大队充电站，位于咸安区长安大道51号附近，新建4台120kW一机两枪直流充电桩。</w:t>
      </w:r>
    </w:p>
    <w:p>
      <w:pPr>
        <w:ind w:firstLine="560"/>
        <w:rPr>
          <w:rFonts w:eastAsia="仿宋_GB2312" w:cs="Times New Roman"/>
        </w:rPr>
      </w:pPr>
      <w:r>
        <w:rPr>
          <w:rFonts w:eastAsia="仿宋_GB2312" w:cs="Times New Roman"/>
        </w:rPr>
        <w:t>（4）咸宁市人民政府充电站，位于咸安区双鹤路16号，新建6台120kW一机两枪直流充电桩。</w:t>
      </w:r>
    </w:p>
    <w:p>
      <w:pPr>
        <w:ind w:firstLine="560"/>
        <w:rPr>
          <w:rFonts w:eastAsia="仿宋_GB2312" w:cs="Times New Roman"/>
        </w:rPr>
      </w:pPr>
      <w:r>
        <w:rPr>
          <w:rFonts w:eastAsia="仿宋_GB2312" w:cs="Times New Roman"/>
        </w:rPr>
        <w:t>（5）咸宁市公安局充电站，位于咸安区咸宁大道，新建4台120kW一机两枪直流充电桩。</w:t>
      </w:r>
    </w:p>
    <w:p>
      <w:pPr>
        <w:ind w:firstLine="560"/>
        <w:rPr>
          <w:rFonts w:eastAsia="仿宋_GB2312" w:cs="Times New Roman"/>
        </w:rPr>
      </w:pPr>
      <w:r>
        <w:rPr>
          <w:rFonts w:eastAsia="仿宋_GB2312" w:cs="Times New Roman"/>
        </w:rPr>
        <w:t>（6）咸宁市人民检察院充电站，位于咸安区银泉大道519号，新建4台120kW一机两枪直流充电桩。</w:t>
      </w:r>
    </w:p>
    <w:p>
      <w:pPr>
        <w:ind w:firstLine="560"/>
        <w:rPr>
          <w:rFonts w:eastAsia="仿宋_GB2312" w:cs="Times New Roman"/>
        </w:rPr>
      </w:pPr>
      <w:r>
        <w:rPr>
          <w:rFonts w:eastAsia="仿宋_GB2312" w:cs="Times New Roman"/>
        </w:rPr>
        <w:t>（7）咸安区人民法院充电站，位于咸安区文笔大道109号，新建4台120kW一机两枪直流充电桩。</w:t>
      </w:r>
    </w:p>
    <w:p>
      <w:pPr>
        <w:ind w:firstLine="560"/>
        <w:rPr>
          <w:rFonts w:eastAsia="仿宋_GB2312" w:cs="Times New Roman"/>
        </w:rPr>
      </w:pPr>
      <w:r>
        <w:rPr>
          <w:rFonts w:eastAsia="仿宋_GB2312" w:cs="Times New Roman"/>
        </w:rPr>
        <w:t>（8）咸宁市人力资源和社会保障局充电站，位于咸安区长安大道286号，新建4台120kW一机两枪直流充电桩。</w:t>
      </w:r>
    </w:p>
    <w:p>
      <w:pPr>
        <w:ind w:firstLine="560"/>
        <w:rPr>
          <w:rFonts w:eastAsia="仿宋_GB2312" w:cs="Times New Roman"/>
        </w:rPr>
      </w:pPr>
      <w:r>
        <w:rPr>
          <w:rFonts w:eastAsia="仿宋_GB2312" w:cs="Times New Roman"/>
        </w:rPr>
        <w:t>（9）咸宁市发展改革委员会充电站，位于咸安区银桂路9号，新建4台120kW一机两枪直流充电桩。</w:t>
      </w:r>
    </w:p>
    <w:p>
      <w:pPr>
        <w:ind w:firstLine="560"/>
        <w:rPr>
          <w:rFonts w:eastAsia="仿宋_GB2312" w:cs="Times New Roman"/>
        </w:rPr>
      </w:pPr>
      <w:r>
        <w:rPr>
          <w:rFonts w:eastAsia="仿宋_GB2312" w:cs="Times New Roman"/>
        </w:rPr>
        <w:t>（10）咸安区汀泗桥镇政府充电站，位于咸安区汀泗桥镇沿河路6号，新建2台120kW一机两枪直流充电桩。</w:t>
      </w:r>
    </w:p>
    <w:p>
      <w:pPr>
        <w:ind w:firstLine="560"/>
        <w:rPr>
          <w:rFonts w:eastAsia="仿宋_GB2312" w:cs="Times New Roman"/>
        </w:rPr>
      </w:pPr>
      <w:r>
        <w:rPr>
          <w:rFonts w:eastAsia="仿宋_GB2312" w:cs="Times New Roman"/>
        </w:rPr>
        <w:t>（11）咸安区向阳湖镇人民政府充电站，位于咸安区向阳湖镇正街，新建2台120kW一机两枪直流充电桩。</w:t>
      </w:r>
    </w:p>
    <w:p>
      <w:pPr>
        <w:ind w:firstLine="560"/>
        <w:rPr>
          <w:rFonts w:eastAsia="仿宋_GB2312" w:cs="Times New Roman"/>
        </w:rPr>
      </w:pPr>
      <w:r>
        <w:rPr>
          <w:rFonts w:eastAsia="仿宋_GB2312" w:cs="Times New Roman"/>
        </w:rPr>
        <w:t>（12）咸安区官埠桥镇人民政府充电站，位于咸安区官埠桥镇张公街226号，新建2台120kW一机两枪直流充电桩。</w:t>
      </w:r>
    </w:p>
    <w:p>
      <w:pPr>
        <w:ind w:firstLine="560"/>
        <w:rPr>
          <w:rFonts w:eastAsia="仿宋_GB2312" w:cs="Times New Roman"/>
        </w:rPr>
      </w:pPr>
      <w:r>
        <w:rPr>
          <w:rFonts w:eastAsia="仿宋_GB2312" w:cs="Times New Roman"/>
        </w:rPr>
        <w:t>（13）咸安区横沟桥镇人民政府充电站，位于咸安区横沟桥镇神鹿大道特8号，新建2台120kW一机两枪直流充电桩。</w:t>
      </w:r>
    </w:p>
    <w:p>
      <w:pPr>
        <w:ind w:firstLine="560"/>
        <w:rPr>
          <w:rFonts w:eastAsia="仿宋_GB2312" w:cs="Times New Roman"/>
        </w:rPr>
      </w:pPr>
      <w:r>
        <w:rPr>
          <w:rFonts w:eastAsia="仿宋_GB2312" w:cs="Times New Roman"/>
        </w:rPr>
        <w:t>（14）咸安区贺胜桥镇人民政府充电站，位于咸安区贺胜桥镇长堤路19号，新建2台120kW一机两枪直流充电桩。</w:t>
      </w:r>
    </w:p>
    <w:p>
      <w:pPr>
        <w:ind w:firstLine="560"/>
        <w:rPr>
          <w:rFonts w:eastAsia="仿宋_GB2312" w:cs="Times New Roman"/>
        </w:rPr>
      </w:pPr>
      <w:r>
        <w:rPr>
          <w:rFonts w:eastAsia="仿宋_GB2312" w:cs="Times New Roman"/>
        </w:rPr>
        <w:t>（15）咸安区双溪桥镇人民政府充电站，位于咸安区双溪桥镇双溪正街68号，新建2台120kW一机两枪直流充电桩。</w:t>
      </w:r>
    </w:p>
    <w:p>
      <w:pPr>
        <w:ind w:firstLine="560"/>
        <w:rPr>
          <w:rFonts w:eastAsia="仿宋_GB2312" w:cs="Times New Roman"/>
        </w:rPr>
      </w:pPr>
      <w:r>
        <w:rPr>
          <w:rFonts w:eastAsia="仿宋_GB2312" w:cs="Times New Roman"/>
        </w:rPr>
        <w:t>（16）咸安区马桥镇人民政府充电站，位于咸安区马桥镇西街149号，新建2台120kW一机两枪直流充电桩。</w:t>
      </w:r>
    </w:p>
    <w:p>
      <w:pPr>
        <w:ind w:firstLine="560"/>
        <w:rPr>
          <w:rFonts w:eastAsia="仿宋_GB2312" w:cs="Times New Roman"/>
        </w:rPr>
      </w:pPr>
      <w:r>
        <w:rPr>
          <w:rFonts w:eastAsia="仿宋_GB2312" w:cs="Times New Roman"/>
        </w:rPr>
        <w:t>（17）咸安区桂花镇人民政府充电站，位于咸安区桂花镇柏墩街，新建2台120kW一机两枪直流充电桩。</w:t>
      </w:r>
    </w:p>
    <w:p>
      <w:pPr>
        <w:ind w:firstLine="560"/>
        <w:rPr>
          <w:rFonts w:eastAsia="仿宋_GB2312" w:cs="Times New Roman"/>
        </w:rPr>
      </w:pPr>
      <w:r>
        <w:rPr>
          <w:rFonts w:eastAsia="仿宋_GB2312" w:cs="Times New Roman"/>
        </w:rPr>
        <w:t>（18）咸安区高桥镇人民政府充电站，位于咸安区同心路8号，新建2台120kW一机两枪直流充电桩。</w:t>
      </w:r>
    </w:p>
    <w:p>
      <w:pPr>
        <w:ind w:firstLine="560"/>
        <w:rPr>
          <w:rFonts w:eastAsia="仿宋_GB2312" w:cs="Times New Roman"/>
        </w:rPr>
      </w:pPr>
      <w:r>
        <w:rPr>
          <w:rFonts w:eastAsia="仿宋_GB2312" w:cs="Times New Roman"/>
        </w:rPr>
        <w:t>（19）咸安区大幕乡人民政府充电站，位于咸安区大幕乡德才路1号，2台120kW一机两枪直流充电桩。</w:t>
      </w:r>
    </w:p>
    <w:p>
      <w:pPr>
        <w:ind w:firstLine="560"/>
        <w:rPr>
          <w:rFonts w:eastAsia="仿宋_GB2312" w:cs="Times New Roman"/>
        </w:rPr>
      </w:pPr>
      <w:r>
        <w:rPr>
          <w:rFonts w:eastAsia="仿宋_GB2312" w:cs="Times New Roman"/>
        </w:rPr>
        <w:t>（20）国家税务总局咸安区税务局充电站，咸安区浮山办事处文笔路236号，新建4台120kW一机两枪直流充电桩。</w:t>
      </w:r>
    </w:p>
    <w:p>
      <w:pPr>
        <w:ind w:firstLine="560"/>
        <w:rPr>
          <w:rFonts w:eastAsia="仿宋_GB2312" w:cs="Times New Roman"/>
        </w:rPr>
      </w:pPr>
      <w:r>
        <w:rPr>
          <w:rFonts w:eastAsia="仿宋_GB2312" w:cs="Times New Roman"/>
        </w:rPr>
        <w:t>（21）咸宁市自然资源和规划局充电站，位于咸安区温泉办事处咸宁大道23号，新建4台120kW一机两枪直流充电桩。</w:t>
      </w:r>
    </w:p>
    <w:p>
      <w:pPr>
        <w:ind w:firstLine="560"/>
        <w:rPr>
          <w:rFonts w:eastAsia="仿宋_GB2312" w:cs="Times New Roman"/>
        </w:rPr>
      </w:pPr>
      <w:r>
        <w:rPr>
          <w:rFonts w:eastAsia="仿宋_GB2312" w:cs="Times New Roman"/>
        </w:rPr>
        <w:t>（22）咸宁市教育局充电站，位于咸安区温泉办事处咸宁大道11号，新建4台120kW一机两枪直流充电桩。</w:t>
      </w:r>
    </w:p>
    <w:p>
      <w:pPr>
        <w:ind w:firstLine="560"/>
        <w:rPr>
          <w:rFonts w:eastAsia="仿宋_GB2312" w:cs="Times New Roman"/>
        </w:rPr>
      </w:pPr>
      <w:r>
        <w:rPr>
          <w:rFonts w:eastAsia="仿宋_GB2312" w:cs="Times New Roman"/>
        </w:rPr>
        <w:t>（23）咸宁市林业局充电站，位于咸安区银泉大道621号，新建4台120kW一机两枪直流充电桩。</w:t>
      </w:r>
    </w:p>
    <w:p>
      <w:pPr>
        <w:ind w:firstLine="560"/>
        <w:rPr>
          <w:rFonts w:eastAsia="仿宋_GB2312" w:cs="Times New Roman"/>
        </w:rPr>
      </w:pPr>
      <w:r>
        <w:rPr>
          <w:rFonts w:eastAsia="仿宋_GB2312" w:cs="Times New Roman"/>
        </w:rPr>
        <w:t>（24）国家电网咸宁供电公司充电站，位于咸安区淦河大道30号，新建4台120kW一机两枪直流充电桩。</w:t>
      </w:r>
    </w:p>
    <w:p>
      <w:pPr>
        <w:ind w:firstLine="560"/>
        <w:rPr>
          <w:rFonts w:eastAsia="仿宋_GB2312" w:cs="Times New Roman"/>
        </w:rPr>
      </w:pPr>
      <w:r>
        <w:rPr>
          <w:rFonts w:eastAsia="仿宋_GB2312" w:cs="Times New Roman"/>
        </w:rPr>
        <w:t>（25）咸宁市公安局咸安分局充电站，位于咸安区银泉大道3号，新建4台120kW一机两枪直流充电桩。</w:t>
      </w:r>
    </w:p>
    <w:p>
      <w:pPr>
        <w:ind w:firstLine="560"/>
        <w:rPr>
          <w:rFonts w:eastAsia="仿宋_GB2312" w:cs="Times New Roman"/>
        </w:rPr>
      </w:pPr>
      <w:r>
        <w:rPr>
          <w:rFonts w:eastAsia="仿宋_GB2312" w:cs="Times New Roman"/>
        </w:rPr>
        <w:t>（26）咸安区司法局充电站，位于咸安区长安大道93号，新建4台120kW一机两枪直流充电桩。</w:t>
      </w:r>
    </w:p>
    <w:p>
      <w:pPr>
        <w:ind w:firstLine="560"/>
        <w:rPr>
          <w:rFonts w:eastAsia="仿宋_GB2312" w:cs="Times New Roman"/>
        </w:rPr>
      </w:pPr>
      <w:r>
        <w:rPr>
          <w:rFonts w:eastAsia="仿宋_GB2312" w:cs="Times New Roman"/>
        </w:rPr>
        <w:t>（27）咸安区财政局充电站，位于咸安区咸宁大道45号，新建4台120kW一机两枪直流充电桩。</w:t>
      </w:r>
    </w:p>
    <w:p>
      <w:pPr>
        <w:ind w:firstLine="560"/>
        <w:rPr>
          <w:rFonts w:eastAsia="仿宋_GB2312" w:cs="Times New Roman"/>
        </w:rPr>
      </w:pPr>
      <w:r>
        <w:rPr>
          <w:rFonts w:eastAsia="仿宋_GB2312" w:cs="Times New Roman"/>
        </w:rPr>
        <w:t>（28）咸安区交通局充电站，位于咸安区咸宁大道49号，新建4台120kW一机两枪直流充电桩。</w:t>
      </w:r>
    </w:p>
    <w:p>
      <w:pPr>
        <w:ind w:firstLine="560"/>
        <w:rPr>
          <w:rFonts w:eastAsia="仿宋_GB2312" w:cs="Times New Roman"/>
        </w:rPr>
      </w:pPr>
      <w:r>
        <w:rPr>
          <w:rFonts w:eastAsia="仿宋_GB2312" w:cs="Times New Roman"/>
        </w:rPr>
        <w:t>（29）咸安区水利局充电站，位于咸安区咸宁大道246号，新建4台120kW一机两枪直流充电桩。</w:t>
      </w:r>
    </w:p>
    <w:p>
      <w:pPr>
        <w:pStyle w:val="19"/>
        <w:rPr>
          <w:rFonts w:eastAsia="仿宋_GB2312" w:cs="Times New Roman"/>
        </w:rPr>
      </w:pPr>
      <w:bookmarkStart w:id="172" w:name="_Ref112157146"/>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6</w:t>
      </w:r>
      <w:r>
        <w:rPr>
          <w:rFonts w:eastAsia="仿宋_GB2312" w:cs="Times New Roman"/>
        </w:rPr>
        <w:fldChar w:fldCharType="end"/>
      </w:r>
      <w:bookmarkEnd w:id="172"/>
      <w:r>
        <w:rPr>
          <w:rFonts w:eastAsia="仿宋_GB2312" w:cs="Times New Roman"/>
        </w:rPr>
        <w:t xml:space="preserve"> 咸安区公务充电站布局规划表</w:t>
      </w:r>
    </w:p>
    <w:tbl>
      <w:tblPr>
        <w:tblStyle w:val="76"/>
        <w:tblW w:w="50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39"/>
        <w:gridCol w:w="2073"/>
        <w:gridCol w:w="2371"/>
        <w:gridCol w:w="1029"/>
        <w:gridCol w:w="895"/>
        <w:gridCol w:w="1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56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24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41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61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53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62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咸宁市中级人民法院充电站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咸安区咸宁大道12-16号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咸宁市住房和城乡建设局充电站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咸安区咸宁大道东段与银泉大道交叉口西80米</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咸宁市公安局咸安分局交通警察大队充电站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咸安区长安大道51号附近</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咸宁市人民政府充电站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咸安区双鹤路16号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咸宁市公安局充电站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咸安区咸宁大道</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咸宁市人民检察院充电站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咸安区银泉大道519号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咸安区人民法院充电站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咸安区文笔大道109号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咸宁市人力资源和社会保障局充电站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咸安区长安大道286号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咸宁市发展改革委员会充电站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咸安区银桂路9号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咸安区汀泗桥镇政府充电站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咸安区汀泗桥镇沿河路6号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420"/>
              <w:rPr>
                <w:rFonts w:eastAsia="仿宋_GB2312" w:cs="Times New Roman"/>
                <w:color w:val="000000"/>
                <w:kern w:val="0"/>
                <w:sz w:val="21"/>
              </w:rPr>
            </w:pPr>
            <w:r>
              <w:rPr>
                <w:rFonts w:eastAsia="仿宋_GB2312" w:cs="Times New Roman"/>
                <w:color w:val="000000"/>
                <w:kern w:val="0"/>
                <w:sz w:val="21"/>
              </w:rPr>
              <w:t>4</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11</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咸安区向阳湖镇人民政府充电站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咸安区向阳湖镇正街</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420"/>
              <w:rPr>
                <w:rFonts w:eastAsia="仿宋_GB2312" w:cs="Times New Roman"/>
                <w:color w:val="000000"/>
                <w:kern w:val="0"/>
                <w:sz w:val="21"/>
              </w:rPr>
            </w:pPr>
            <w:r>
              <w:rPr>
                <w:rFonts w:eastAsia="仿宋_GB2312" w:cs="Times New Roman"/>
                <w:color w:val="000000"/>
                <w:kern w:val="0"/>
                <w:sz w:val="21"/>
              </w:rPr>
              <w:t>4</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咸安区官埠桥镇人民政府充电站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咸安区官埠桥镇张公街226号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420"/>
              <w:rPr>
                <w:rFonts w:eastAsia="仿宋_GB2312" w:cs="Times New Roman"/>
                <w:color w:val="000000"/>
                <w:kern w:val="0"/>
                <w:sz w:val="21"/>
              </w:rPr>
            </w:pPr>
            <w:r>
              <w:rPr>
                <w:rFonts w:eastAsia="仿宋_GB2312" w:cs="Times New Roman"/>
                <w:color w:val="000000"/>
                <w:kern w:val="0"/>
                <w:sz w:val="21"/>
              </w:rPr>
              <w:t>4</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13</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咸安区横沟桥镇人民政府充电站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咸安区横沟桥镇神鹿大道特8号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420"/>
              <w:rPr>
                <w:rFonts w:eastAsia="仿宋_GB2312" w:cs="Times New Roman"/>
                <w:color w:val="000000"/>
                <w:kern w:val="0"/>
                <w:sz w:val="21"/>
              </w:rPr>
            </w:pPr>
            <w:r>
              <w:rPr>
                <w:rFonts w:eastAsia="仿宋_GB2312" w:cs="Times New Roman"/>
                <w:color w:val="000000"/>
                <w:kern w:val="0"/>
                <w:sz w:val="21"/>
              </w:rPr>
              <w:t>4</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14</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咸安区贺胜桥镇人民政府充电站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咸安区贺胜桥镇长堤路19号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420"/>
              <w:rPr>
                <w:rFonts w:eastAsia="仿宋_GB2312" w:cs="Times New Roman"/>
                <w:color w:val="000000"/>
                <w:kern w:val="0"/>
                <w:sz w:val="21"/>
              </w:rPr>
            </w:pPr>
            <w:r>
              <w:rPr>
                <w:rFonts w:eastAsia="仿宋_GB2312" w:cs="Times New Roman"/>
                <w:color w:val="000000"/>
                <w:kern w:val="0"/>
                <w:sz w:val="21"/>
              </w:rPr>
              <w:t>4</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15</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咸安区双溪桥镇人民政府充电站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咸安区双溪桥镇双溪正街68号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420"/>
              <w:rPr>
                <w:rFonts w:eastAsia="仿宋_GB2312" w:cs="Times New Roman"/>
                <w:color w:val="000000"/>
                <w:kern w:val="0"/>
                <w:sz w:val="21"/>
              </w:rPr>
            </w:pPr>
            <w:r>
              <w:rPr>
                <w:rFonts w:eastAsia="仿宋_GB2312" w:cs="Times New Roman"/>
                <w:color w:val="000000"/>
                <w:kern w:val="0"/>
                <w:sz w:val="21"/>
              </w:rPr>
              <w:t>4</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咸安区马桥镇人民政府充电站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咸安区马桥镇西街149号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420"/>
              <w:rPr>
                <w:rFonts w:eastAsia="仿宋_GB2312" w:cs="Times New Roman"/>
                <w:color w:val="000000"/>
                <w:kern w:val="0"/>
                <w:sz w:val="21"/>
              </w:rPr>
            </w:pPr>
            <w:r>
              <w:rPr>
                <w:rFonts w:eastAsia="仿宋_GB2312" w:cs="Times New Roman"/>
                <w:color w:val="000000"/>
                <w:kern w:val="0"/>
                <w:sz w:val="21"/>
              </w:rPr>
              <w:t>4</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17</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咸安区桂花镇人民政府充电站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咸安区桂花镇柏墩街</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420"/>
              <w:rPr>
                <w:rFonts w:eastAsia="仿宋_GB2312" w:cs="Times New Roman"/>
                <w:color w:val="000000"/>
                <w:kern w:val="0"/>
                <w:sz w:val="21"/>
              </w:rPr>
            </w:pPr>
            <w:r>
              <w:rPr>
                <w:rFonts w:eastAsia="仿宋_GB2312" w:cs="Times New Roman"/>
                <w:color w:val="000000"/>
                <w:kern w:val="0"/>
                <w:sz w:val="21"/>
              </w:rPr>
              <w:t>4</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18</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咸安区高桥镇人民政府充电站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咸安区同心路8号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420"/>
              <w:rPr>
                <w:rFonts w:eastAsia="仿宋_GB2312" w:cs="Times New Roman"/>
                <w:color w:val="000000"/>
                <w:kern w:val="0"/>
                <w:sz w:val="21"/>
              </w:rPr>
            </w:pPr>
            <w:r>
              <w:rPr>
                <w:rFonts w:eastAsia="仿宋_GB2312" w:cs="Times New Roman"/>
                <w:color w:val="000000"/>
                <w:kern w:val="0"/>
                <w:sz w:val="21"/>
              </w:rPr>
              <w:t>4</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19</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咸安区大幕乡人民政府充电站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咸安区大幕乡德才路1号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国家税务总局咸安区税务局充电站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咸安区浮山办事处文笔路236号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21</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咸宁市自然资源和规划局充电站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咸安区温泉办事处咸宁大道23号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22</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咸宁市教育局充电站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咸安区温泉办事处咸宁大道11号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23</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咸宁市林业局充电站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咸安区银泉大道621号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国家电网咸宁供电公司充电站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咸安区淦河大道30号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25</w:t>
            </w:r>
          </w:p>
        </w:tc>
        <w:tc>
          <w:tcPr>
            <w:tcW w:w="1241"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咸宁市公安局咸安分局充电站</w:t>
            </w:r>
          </w:p>
        </w:tc>
        <w:tc>
          <w:tcPr>
            <w:tcW w:w="1419"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咸安区银泉大道3号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26</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咸安区司法局充电站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咸安区长安大道93号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27</w:t>
            </w:r>
          </w:p>
        </w:tc>
        <w:tc>
          <w:tcPr>
            <w:tcW w:w="1241" w:type="pct"/>
            <w:shd w:val="clear" w:color="auto" w:fill="auto"/>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咸安区财政局充电站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咸安区咸宁大道45号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28</w:t>
            </w:r>
          </w:p>
        </w:tc>
        <w:tc>
          <w:tcPr>
            <w:tcW w:w="1241" w:type="pct"/>
            <w:shd w:val="clear" w:color="auto" w:fill="auto"/>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咸安区交通局充电站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咸安区咸宁大道49号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29</w:t>
            </w:r>
          </w:p>
        </w:tc>
        <w:tc>
          <w:tcPr>
            <w:tcW w:w="1241" w:type="pct"/>
            <w:shd w:val="clear" w:color="auto" w:fill="auto"/>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咸安区水利局充电站</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咸安区咸宁大道246号</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41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1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53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196</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p>
    <w:p>
      <w:pPr>
        <w:pStyle w:val="19"/>
        <w:rPr>
          <w:rFonts w:eastAsia="仿宋_GB2312" w:cs="Times New Roman"/>
        </w:rPr>
      </w:pPr>
      <w:r>
        <w:rPr>
          <w:rFonts w:eastAsia="仿宋_GB2312" w:cs="Times New Roman"/>
        </w:rPr>
        <w:drawing>
          <wp:inline distT="0" distB="0" distL="0" distR="0">
            <wp:extent cx="5274310" cy="3286760"/>
            <wp:effectExtent l="0" t="0" r="2540" b="8890"/>
            <wp:docPr id="7217" name="图片 72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17" name="图片 7217"/>
                    <pic:cNvPicPr>
                      <a:picLocks noChangeAspect="true"/>
                    </pic:cNvPicPr>
                  </pic:nvPicPr>
                  <pic:blipFill>
                    <a:blip r:embed="rId76"/>
                    <a:stretch>
                      <a:fillRect/>
                    </a:stretch>
                  </pic:blipFill>
                  <pic:spPr>
                    <a:xfrm>
                      <a:off x="0" y="0"/>
                      <a:ext cx="5274310" cy="3286760"/>
                    </a:xfrm>
                    <a:prstGeom prst="rect">
                      <a:avLst/>
                    </a:prstGeom>
                  </pic:spPr>
                </pic:pic>
              </a:graphicData>
            </a:graphic>
          </wp:inline>
        </w:drawing>
      </w:r>
    </w:p>
    <w:p>
      <w:pPr>
        <w:pStyle w:val="19"/>
        <w:rPr>
          <w:rFonts w:eastAsia="仿宋_GB2312" w:cs="Times New Roman"/>
        </w:rPr>
      </w:pPr>
      <w:r>
        <w:rPr>
          <w:rFonts w:eastAsia="仿宋_GB2312" w:cs="Times New Roman"/>
          <w:szCs w:val="16"/>
        </w:rPr>
        <w:t xml:space="preserve">图 </w:t>
      </w:r>
      <w:r>
        <w:rPr>
          <w:rFonts w:eastAsia="仿宋_GB2312" w:cs="Times New Roman"/>
          <w:szCs w:val="16"/>
        </w:rPr>
        <w:fldChar w:fldCharType="begin"/>
      </w:r>
      <w:r>
        <w:rPr>
          <w:rFonts w:eastAsia="仿宋_GB2312" w:cs="Times New Roman"/>
          <w:szCs w:val="16"/>
        </w:rPr>
        <w:instrText xml:space="preserve"> STYLEREF 1 \s </w:instrText>
      </w:r>
      <w:r>
        <w:rPr>
          <w:rFonts w:eastAsia="仿宋_GB2312" w:cs="Times New Roman"/>
          <w:szCs w:val="16"/>
        </w:rPr>
        <w:fldChar w:fldCharType="separate"/>
      </w:r>
      <w:r>
        <w:rPr>
          <w:rFonts w:eastAsia="仿宋_GB2312" w:cs="Times New Roman"/>
          <w:szCs w:val="16"/>
        </w:rPr>
        <w:t>4</w:t>
      </w:r>
      <w:r>
        <w:rPr>
          <w:rFonts w:eastAsia="仿宋_GB2312" w:cs="Times New Roman"/>
          <w:szCs w:val="16"/>
        </w:rPr>
        <w:fldChar w:fldCharType="end"/>
      </w:r>
      <w:r>
        <w:rPr>
          <w:rFonts w:eastAsia="仿宋_GB2312" w:cs="Times New Roman"/>
          <w:szCs w:val="16"/>
        </w:rPr>
        <w:noBreakHyphen/>
      </w:r>
      <w:r>
        <w:rPr>
          <w:rFonts w:eastAsia="仿宋_GB2312" w:cs="Times New Roman"/>
          <w:szCs w:val="16"/>
        </w:rPr>
        <w:fldChar w:fldCharType="begin"/>
      </w:r>
      <w:r>
        <w:rPr>
          <w:rFonts w:eastAsia="仿宋_GB2312" w:cs="Times New Roman"/>
          <w:szCs w:val="16"/>
        </w:rPr>
        <w:instrText xml:space="preserve"> SEQ 图 \* ARABIC \s 1 </w:instrText>
      </w:r>
      <w:r>
        <w:rPr>
          <w:rFonts w:eastAsia="仿宋_GB2312" w:cs="Times New Roman"/>
          <w:szCs w:val="16"/>
        </w:rPr>
        <w:fldChar w:fldCharType="separate"/>
      </w:r>
      <w:r>
        <w:rPr>
          <w:rFonts w:eastAsia="仿宋_GB2312" w:cs="Times New Roman"/>
          <w:szCs w:val="16"/>
        </w:rPr>
        <w:t>15</w:t>
      </w:r>
      <w:r>
        <w:rPr>
          <w:rFonts w:eastAsia="仿宋_GB2312" w:cs="Times New Roman"/>
          <w:szCs w:val="16"/>
        </w:rPr>
        <w:fldChar w:fldCharType="end"/>
      </w:r>
      <w:r>
        <w:rPr>
          <w:rFonts w:eastAsia="仿宋_GB2312" w:cs="Times New Roman"/>
          <w:bCs/>
          <w:szCs w:val="21"/>
        </w:rPr>
        <w:t>咸安区中心城区公务充电站布局规划图</w:t>
      </w:r>
    </w:p>
    <w:p>
      <w:pPr>
        <w:pStyle w:val="5"/>
        <w:adjustRightInd w:val="0"/>
        <w:snapToGrid w:val="0"/>
        <w:spacing w:before="156" w:beforeLines="50"/>
        <w:ind w:firstLine="283"/>
        <w:rPr>
          <w:rFonts w:eastAsia="仿宋_GB2312" w:cs="Times New Roman"/>
        </w:rPr>
      </w:pPr>
      <w:r>
        <w:rPr>
          <w:rFonts w:eastAsia="仿宋_GB2312" w:cs="Times New Roman"/>
        </w:rPr>
        <w:t>公用</w:t>
      </w:r>
      <w:bookmarkStart w:id="173" w:name="_Toc24124951"/>
      <w:bookmarkStart w:id="174" w:name="_Toc61257726"/>
      <w:bookmarkStart w:id="175" w:name="_Toc61257728"/>
      <w:bookmarkStart w:id="176" w:name="_Ref16602627"/>
      <w:r>
        <w:rPr>
          <w:rFonts w:eastAsia="仿宋_GB2312" w:cs="Times New Roman"/>
        </w:rPr>
        <w:t>充电设施</w:t>
      </w:r>
    </w:p>
    <w:bookmarkEnd w:id="173"/>
    <w:bookmarkEnd w:id="174"/>
    <w:bookmarkEnd w:id="175"/>
    <w:bookmarkEnd w:id="176"/>
    <w:p>
      <w:pPr>
        <w:ind w:firstLine="560"/>
        <w:rPr>
          <w:rFonts w:eastAsia="仿宋_GB2312" w:cs="Times New Roman"/>
        </w:rPr>
      </w:pPr>
      <w:r>
        <w:rPr>
          <w:rFonts w:eastAsia="仿宋_GB2312" w:cs="Times New Roman"/>
        </w:rPr>
        <w:t>城市公共充电站</w:t>
      </w:r>
      <w:bookmarkStart w:id="177" w:name="_Hlk94258873"/>
      <w:r>
        <w:rPr>
          <w:rFonts w:hint="eastAsia" w:eastAsia="仿宋_GB2312" w:cs="Times New Roman"/>
        </w:rPr>
        <w:t>主要是</w:t>
      </w:r>
      <w:r>
        <w:rPr>
          <w:rFonts w:eastAsia="仿宋_GB2312" w:cs="Times New Roman"/>
        </w:rPr>
        <w:t>在现有公共车位上改造，充电桩及车棚需占用车位头上0.6m长位置，车位宽按3m计算，故需2.4平米/车位，同时考虑一个充电站箱变占用12平米空间；如新建停车场及充电站，则按每个充电桩50平米面积预留考虑。</w:t>
      </w:r>
    </w:p>
    <w:p>
      <w:pPr>
        <w:ind w:firstLine="562"/>
        <w:rPr>
          <w:rFonts w:eastAsia="仿宋_GB2312" w:cs="Times New Roman"/>
          <w:b/>
          <w:bCs/>
        </w:rPr>
      </w:pPr>
      <w:bookmarkStart w:id="178" w:name="OLE_LINK2"/>
      <w:r>
        <w:rPr>
          <w:rFonts w:eastAsia="仿宋_GB2312" w:cs="Times New Roman"/>
          <w:b/>
          <w:bCs/>
        </w:rPr>
        <w:t>1.外部公用充电设施</w:t>
      </w:r>
    </w:p>
    <w:bookmarkEnd w:id="178"/>
    <w:p>
      <w:pPr>
        <w:ind w:firstLine="560"/>
        <w:rPr>
          <w:rFonts w:eastAsia="仿宋_GB2312" w:cs="Times New Roman"/>
        </w:rPr>
      </w:pPr>
      <w:r>
        <w:rPr>
          <w:rFonts w:eastAsia="仿宋_GB2312" w:cs="Times New Roman"/>
        </w:rPr>
        <w:t>咸安区到2025年新建外部公用充电站</w:t>
      </w:r>
      <w:r>
        <w:rPr>
          <w:rFonts w:hint="eastAsia" w:eastAsia="仿宋_GB2312" w:cs="Times New Roman"/>
        </w:rPr>
        <w:t>62</w:t>
      </w:r>
      <w:r>
        <w:rPr>
          <w:rFonts w:eastAsia="仿宋_GB2312" w:cs="Times New Roman"/>
        </w:rPr>
        <w:t>座，充电桩共</w:t>
      </w:r>
      <w:r>
        <w:rPr>
          <w:rFonts w:hint="eastAsia" w:eastAsia="仿宋_GB2312" w:cs="Times New Roman"/>
        </w:rPr>
        <w:t>60</w:t>
      </w:r>
      <w:r>
        <w:rPr>
          <w:rFonts w:eastAsia="仿宋_GB2312" w:cs="Times New Roman"/>
        </w:rPr>
        <w:t>8台。十四五期间规划新建公共充电桩明细如</w:t>
      </w:r>
      <w:r>
        <w:rPr>
          <w:rFonts w:eastAsia="仿宋_GB2312" w:cs="Times New Roman"/>
        </w:rPr>
        <w:fldChar w:fldCharType="begin"/>
      </w:r>
      <w:r>
        <w:rPr>
          <w:rFonts w:eastAsia="仿宋_GB2312" w:cs="Times New Roman"/>
        </w:rPr>
        <w:instrText xml:space="preserve"> REF _Ref115443745 \h  \* MERGEFORMAT </w:instrText>
      </w:r>
      <w:r>
        <w:rPr>
          <w:rFonts w:eastAsia="仿宋_GB2312" w:cs="Times New Roman"/>
        </w:rPr>
        <w:fldChar w:fldCharType="separate"/>
      </w:r>
      <w:r>
        <w:rPr>
          <w:rFonts w:eastAsia="仿宋_GB2312" w:cs="Times New Roman"/>
        </w:rPr>
        <w:t>表 4</w:t>
      </w:r>
      <w:r>
        <w:rPr>
          <w:rFonts w:eastAsia="仿宋_GB2312" w:cs="Times New Roman"/>
        </w:rPr>
        <w:noBreakHyphen/>
      </w:r>
      <w:r>
        <w:rPr>
          <w:rFonts w:eastAsia="仿宋_GB2312" w:cs="Times New Roman"/>
        </w:rPr>
        <w:t>7</w:t>
      </w:r>
      <w:r>
        <w:rPr>
          <w:rFonts w:eastAsia="仿宋_GB2312" w:cs="Times New Roman"/>
        </w:rPr>
        <w:fldChar w:fldCharType="end"/>
      </w:r>
      <w:r>
        <w:rPr>
          <w:rFonts w:eastAsia="仿宋_GB2312" w:cs="Times New Roman"/>
        </w:rPr>
        <w:t>所示。</w:t>
      </w:r>
      <w:bookmarkEnd w:id="177"/>
    </w:p>
    <w:p>
      <w:pPr>
        <w:ind w:firstLine="560"/>
        <w:rPr>
          <w:rFonts w:eastAsia="仿宋_GB2312" w:cs="Times New Roman"/>
        </w:rPr>
      </w:pPr>
      <w:r>
        <w:rPr>
          <w:rFonts w:eastAsia="仿宋_GB2312" w:cs="Times New Roman"/>
        </w:rPr>
        <w:t>（1）咸宁市政务服务中心充电站，位于咸安区金桂路咸宁经济开发区孵化园，新建10台120kW一机两枪直流充电桩。</w:t>
      </w:r>
    </w:p>
    <w:p>
      <w:pPr>
        <w:ind w:firstLine="560"/>
        <w:rPr>
          <w:rFonts w:eastAsia="仿宋_GB2312" w:cs="Times New Roman"/>
        </w:rPr>
      </w:pPr>
      <w:r>
        <w:rPr>
          <w:rFonts w:eastAsia="仿宋_GB2312" w:cs="Times New Roman"/>
        </w:rPr>
        <w:t>（2）咸宁义乌国际商贸城充电站，位于咸安区咸安大道(五洲商贸城旁)，新建4台120kW一机两枪直流充电桩。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80" name="图片 80" descr="IMG_20220622_0957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0" name="图片 80" descr="IMG_20220622_095727"/>
                    <pic:cNvPicPr>
                      <a:picLocks noChangeAspect="true"/>
                    </pic:cNvPicPr>
                  </pic:nvPicPr>
                  <pic:blipFill>
                    <a:blip r:embed="rId77"/>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81" name="图片 81" descr="IMG_20220622_0957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81" descr="IMG_20220622_095708"/>
                    <pic:cNvPicPr>
                      <a:picLocks noChangeAspect="true"/>
                    </pic:cNvPicPr>
                  </pic:nvPicPr>
                  <pic:blipFill>
                    <a:blip r:embed="rId78"/>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16</w:t>
      </w:r>
      <w:r>
        <w:rPr>
          <w:rFonts w:eastAsia="仿宋_GB2312" w:cs="Times New Roman"/>
        </w:rPr>
        <w:fldChar w:fldCharType="end"/>
      </w:r>
      <w:r>
        <w:rPr>
          <w:rFonts w:eastAsia="仿宋_GB2312" w:cs="Times New Roman"/>
        </w:rPr>
        <w:t>咸宁义乌国际商贸城充电站</w:t>
      </w:r>
    </w:p>
    <w:p>
      <w:pPr>
        <w:ind w:firstLine="560"/>
        <w:rPr>
          <w:rFonts w:eastAsia="仿宋_GB2312" w:cs="Times New Roman"/>
        </w:rPr>
      </w:pPr>
      <w:r>
        <w:rPr>
          <w:rFonts w:eastAsia="仿宋_GB2312" w:cs="Times New Roman"/>
        </w:rPr>
        <w:t>（3）咸宁市交通路停车场充电站，位于咸安区交通路与佳地园巷交叉口北40米，新建10台120kW一机两枪直流充电桩。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82" name="图片 82" descr="IMG_20220624_0849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2" name="图片 82" descr="IMG_20220624_084959"/>
                    <pic:cNvPicPr>
                      <a:picLocks noChangeAspect="true"/>
                    </pic:cNvPicPr>
                  </pic:nvPicPr>
                  <pic:blipFill>
                    <a:blip r:embed="rId79"/>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83" name="图片 83" descr="IMG_20220624_0852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3" name="图片 83" descr="IMG_20220624_085206"/>
                    <pic:cNvPicPr>
                      <a:picLocks noChangeAspect="true"/>
                    </pic:cNvPicPr>
                  </pic:nvPicPr>
                  <pic:blipFill>
                    <a:blip r:embed="rId80"/>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17</w:t>
      </w:r>
      <w:r>
        <w:rPr>
          <w:rFonts w:eastAsia="仿宋_GB2312" w:cs="Times New Roman"/>
        </w:rPr>
        <w:fldChar w:fldCharType="end"/>
      </w:r>
      <w:r>
        <w:rPr>
          <w:rFonts w:eastAsia="仿宋_GB2312" w:cs="Times New Roman"/>
        </w:rPr>
        <w:t>咸宁市交通路停车场充电站</w:t>
      </w:r>
    </w:p>
    <w:p>
      <w:pPr>
        <w:ind w:firstLine="560"/>
        <w:rPr>
          <w:rFonts w:eastAsia="仿宋_GB2312" w:cs="Times New Roman"/>
        </w:rPr>
      </w:pPr>
      <w:r>
        <w:rPr>
          <w:rFonts w:eastAsia="仿宋_GB2312" w:cs="Times New Roman"/>
        </w:rPr>
        <w:t>（4）咸宁市新世纪广场停车场充电站，位于咸安区龙茶巷与为民巷交叉口西100米，新建4台120kW一机两枪直流充电桩。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3839845" cy="2879725"/>
            <wp:effectExtent l="0" t="0" r="635" b="635"/>
            <wp:docPr id="86" name="图片 86" descr="IMG_20220623_1528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86" descr="IMG_20220623_152855"/>
                    <pic:cNvPicPr>
                      <a:picLocks noChangeAspect="true"/>
                    </pic:cNvPicPr>
                  </pic:nvPicPr>
                  <pic:blipFill>
                    <a:blip r:embed="rId81"/>
                    <a:stretch>
                      <a:fillRect/>
                    </a:stretch>
                  </pic:blipFill>
                  <pic:spPr>
                    <a:xfrm>
                      <a:off x="0" y="0"/>
                      <a:ext cx="3839845" cy="287972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18</w:t>
      </w:r>
      <w:r>
        <w:rPr>
          <w:rFonts w:eastAsia="仿宋_GB2312" w:cs="Times New Roman"/>
        </w:rPr>
        <w:fldChar w:fldCharType="end"/>
      </w:r>
      <w:r>
        <w:rPr>
          <w:rFonts w:eastAsia="仿宋_GB2312" w:cs="Times New Roman"/>
        </w:rPr>
        <w:t>咸宁市新世纪广场停车场充电站</w:t>
      </w:r>
    </w:p>
    <w:p>
      <w:pPr>
        <w:ind w:firstLine="560"/>
        <w:rPr>
          <w:rFonts w:eastAsia="仿宋_GB2312" w:cs="Times New Roman"/>
        </w:rPr>
      </w:pPr>
      <w:r>
        <w:rPr>
          <w:rFonts w:eastAsia="仿宋_GB2312" w:cs="Times New Roman"/>
        </w:rPr>
        <w:t>（5）潜山国家森林公园停车场充电站，位于咸安区月亮湾路11号，新建4台120kW一机两枪直流充电桩。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87" name="图片 87" descr="IMG_20220623_1539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87" descr="IMG_20220623_153943"/>
                    <pic:cNvPicPr>
                      <a:picLocks noChangeAspect="true"/>
                    </pic:cNvPicPr>
                  </pic:nvPicPr>
                  <pic:blipFill>
                    <a:blip r:embed="rId82"/>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89" name="图片 89" descr="IMG_20220623_1539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89" descr="IMG_20220623_153951"/>
                    <pic:cNvPicPr>
                      <a:picLocks noChangeAspect="true"/>
                    </pic:cNvPicPr>
                  </pic:nvPicPr>
                  <pic:blipFill>
                    <a:blip r:embed="rId83"/>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19</w:t>
      </w:r>
      <w:r>
        <w:rPr>
          <w:rFonts w:eastAsia="仿宋_GB2312" w:cs="Times New Roman"/>
        </w:rPr>
        <w:fldChar w:fldCharType="end"/>
      </w:r>
      <w:r>
        <w:rPr>
          <w:rFonts w:eastAsia="仿宋_GB2312" w:cs="Times New Roman"/>
        </w:rPr>
        <w:t>潜山国家森林公园停车场充电站</w:t>
      </w:r>
    </w:p>
    <w:p>
      <w:pPr>
        <w:ind w:firstLine="560"/>
        <w:rPr>
          <w:rFonts w:eastAsia="仿宋_GB2312" w:cs="Times New Roman"/>
        </w:rPr>
      </w:pPr>
      <w:r>
        <w:rPr>
          <w:rFonts w:eastAsia="仿宋_GB2312" w:cs="Times New Roman"/>
        </w:rPr>
        <w:t>（6）三江温泉度假区停车场充电站，位于三江森林温泉度假区停车场，新建10台120kW一机两枪直流充电桩。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91" name="图片 91" descr="IMG_20220623_1552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91" descr="IMG_20220623_155205"/>
                    <pic:cNvPicPr>
                      <a:picLocks noChangeAspect="true"/>
                    </pic:cNvPicPr>
                  </pic:nvPicPr>
                  <pic:blipFill>
                    <a:blip r:embed="rId84"/>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92" name="图片 92" descr="IMG_20220623_1552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2" name="图片 92" descr="IMG_20220623_155219"/>
                    <pic:cNvPicPr>
                      <a:picLocks noChangeAspect="true"/>
                    </pic:cNvPicPr>
                  </pic:nvPicPr>
                  <pic:blipFill>
                    <a:blip r:embed="rId85"/>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20</w:t>
      </w:r>
      <w:r>
        <w:rPr>
          <w:rFonts w:eastAsia="仿宋_GB2312" w:cs="Times New Roman"/>
        </w:rPr>
        <w:fldChar w:fldCharType="end"/>
      </w:r>
      <w:r>
        <w:rPr>
          <w:rFonts w:eastAsia="仿宋_GB2312" w:cs="Times New Roman"/>
        </w:rPr>
        <w:t>三江温泉度假区停车场充电站</w:t>
      </w:r>
    </w:p>
    <w:p>
      <w:pPr>
        <w:ind w:firstLine="560"/>
        <w:rPr>
          <w:rFonts w:eastAsia="仿宋_GB2312" w:cs="Times New Roman"/>
        </w:rPr>
      </w:pPr>
      <w:r>
        <w:rPr>
          <w:rFonts w:eastAsia="仿宋_GB2312" w:cs="Times New Roman"/>
        </w:rPr>
        <w:t>（7）温泉国际酒店停车场充电站，位于咸安区南昌路1号，新建4台120kW一机两枪直流充电桩。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93" name="图片 93" descr="IMG_20220623_1544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图片 93" descr="IMG_20220623_154447"/>
                    <pic:cNvPicPr>
                      <a:picLocks noChangeAspect="true"/>
                    </pic:cNvPicPr>
                  </pic:nvPicPr>
                  <pic:blipFill>
                    <a:blip r:embed="rId86"/>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94" name="图片 94" descr="IMG_20220623_1545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4" name="图片 94" descr="IMG_20220623_154503"/>
                    <pic:cNvPicPr>
                      <a:picLocks noChangeAspect="true"/>
                    </pic:cNvPicPr>
                  </pic:nvPicPr>
                  <pic:blipFill>
                    <a:blip r:embed="rId87"/>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21</w:t>
      </w:r>
      <w:r>
        <w:rPr>
          <w:rFonts w:eastAsia="仿宋_GB2312" w:cs="Times New Roman"/>
        </w:rPr>
        <w:fldChar w:fldCharType="end"/>
      </w:r>
      <w:r>
        <w:rPr>
          <w:rFonts w:eastAsia="仿宋_GB2312" w:cs="Times New Roman"/>
        </w:rPr>
        <w:t>温泉国际酒店停车场充电站</w:t>
      </w:r>
    </w:p>
    <w:p>
      <w:pPr>
        <w:ind w:firstLine="560"/>
        <w:rPr>
          <w:rFonts w:eastAsia="仿宋_GB2312" w:cs="Times New Roman"/>
        </w:rPr>
      </w:pPr>
      <w:r>
        <w:rPr>
          <w:rFonts w:eastAsia="仿宋_GB2312" w:cs="Times New Roman"/>
        </w:rPr>
        <w:t>（8）湖北科技学院附属第二医院停车场充电站，位于咸安区茶花路与桂花路交叉口东北20米，新建4台120kW一机两枪直流充电桩。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96" name="图片 96" descr="IMG_20220624_1050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 name="图片 96" descr="IMG_20220624_105010"/>
                    <pic:cNvPicPr>
                      <a:picLocks noChangeAspect="true"/>
                    </pic:cNvPicPr>
                  </pic:nvPicPr>
                  <pic:blipFill>
                    <a:blip r:embed="rId88"/>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97" name="图片 97" descr="IMG_20220624_1050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 name="图片 97" descr="IMG_20220624_105018"/>
                    <pic:cNvPicPr>
                      <a:picLocks noChangeAspect="true"/>
                    </pic:cNvPicPr>
                  </pic:nvPicPr>
                  <pic:blipFill>
                    <a:blip r:embed="rId89"/>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22</w:t>
      </w:r>
      <w:r>
        <w:rPr>
          <w:rFonts w:eastAsia="仿宋_GB2312" w:cs="Times New Roman"/>
        </w:rPr>
        <w:fldChar w:fldCharType="end"/>
      </w:r>
      <w:r>
        <w:rPr>
          <w:rFonts w:eastAsia="仿宋_GB2312" w:cs="Times New Roman"/>
        </w:rPr>
        <w:t>湖北科技学院附属第二医院停车场充电站</w:t>
      </w:r>
    </w:p>
    <w:p>
      <w:pPr>
        <w:ind w:firstLine="560"/>
        <w:rPr>
          <w:rFonts w:eastAsia="仿宋_GB2312" w:cs="Times New Roman"/>
        </w:rPr>
      </w:pPr>
      <w:r>
        <w:rPr>
          <w:rFonts w:eastAsia="仿宋_GB2312" w:cs="Times New Roman"/>
        </w:rPr>
        <w:t>（9）咸宁市香城古街停车场充电站，位于咸安区马柏大道与良才路交叉口东120米，新建4台120kW一机两枪直流充电桩。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433955" cy="1825625"/>
            <wp:effectExtent l="0" t="0" r="4445" b="3175"/>
            <wp:docPr id="98" name="图片 98" descr="IMG_20220624_1120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8" name="图片 98" descr="IMG_20220624_112022"/>
                    <pic:cNvPicPr>
                      <a:picLocks noChangeAspect="true"/>
                    </pic:cNvPicPr>
                  </pic:nvPicPr>
                  <pic:blipFill>
                    <a:blip r:embed="rId90"/>
                    <a:stretch>
                      <a:fillRect/>
                    </a:stretch>
                  </pic:blipFill>
                  <pic:spPr>
                    <a:xfrm>
                      <a:off x="0" y="0"/>
                      <a:ext cx="2440400" cy="1830450"/>
                    </a:xfrm>
                    <a:prstGeom prst="rect">
                      <a:avLst/>
                    </a:prstGeom>
                  </pic:spPr>
                </pic:pic>
              </a:graphicData>
            </a:graphic>
          </wp:inline>
        </w:drawing>
      </w:r>
      <w:r>
        <w:rPr>
          <w:rFonts w:eastAsia="仿宋_GB2312" w:cs="Times New Roman"/>
        </w:rPr>
        <w:drawing>
          <wp:inline distT="0" distB="0" distL="114300" distR="114300">
            <wp:extent cx="2458085" cy="1843405"/>
            <wp:effectExtent l="0" t="0" r="0" b="4445"/>
            <wp:docPr id="99" name="图片 99" descr="IMG_20220624_1120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9" name="图片 99" descr="IMG_20220624_112048"/>
                    <pic:cNvPicPr>
                      <a:picLocks noChangeAspect="true"/>
                    </pic:cNvPicPr>
                  </pic:nvPicPr>
                  <pic:blipFill>
                    <a:blip r:embed="rId91"/>
                    <a:stretch>
                      <a:fillRect/>
                    </a:stretch>
                  </pic:blipFill>
                  <pic:spPr>
                    <a:xfrm>
                      <a:off x="0" y="0"/>
                      <a:ext cx="2469525" cy="185229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23</w:t>
      </w:r>
      <w:r>
        <w:rPr>
          <w:rFonts w:eastAsia="仿宋_GB2312" w:cs="Times New Roman"/>
        </w:rPr>
        <w:fldChar w:fldCharType="end"/>
      </w:r>
      <w:r>
        <w:rPr>
          <w:rFonts w:eastAsia="仿宋_GB2312" w:cs="Times New Roman"/>
        </w:rPr>
        <w:t>咸宁市香城古街停车场充电站</w:t>
      </w:r>
    </w:p>
    <w:p>
      <w:pPr>
        <w:ind w:firstLine="560"/>
        <w:rPr>
          <w:rFonts w:eastAsia="仿宋_GB2312" w:cs="Times New Roman"/>
        </w:rPr>
      </w:pPr>
      <w:r>
        <w:rPr>
          <w:rFonts w:eastAsia="仿宋_GB2312" w:cs="Times New Roman"/>
        </w:rPr>
        <w:t>（10）咸安区市场监督管理局停车场充电站，位于咸安区长安大道109号，新建4台120kW一机两枪直流充电桩。</w:t>
      </w:r>
    </w:p>
    <w:p>
      <w:pPr>
        <w:ind w:firstLine="560"/>
        <w:rPr>
          <w:rFonts w:eastAsia="仿宋_GB2312" w:cs="Times New Roman"/>
        </w:rPr>
      </w:pPr>
      <w:r>
        <w:rPr>
          <w:rFonts w:eastAsia="仿宋_GB2312" w:cs="Times New Roman"/>
        </w:rPr>
        <w:t>（11）咸宁绿洲湾停车场充电站，位于咸安区银泉大道38号附近，新建4台120kW一机两枪直流充电桩。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400935" cy="1800860"/>
            <wp:effectExtent l="0" t="0" r="0" b="8890"/>
            <wp:docPr id="104" name="图片 104" descr="IMG_20220623_1012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4" name="图片 104" descr="IMG_20220623_101245"/>
                    <pic:cNvPicPr>
                      <a:picLocks noChangeAspect="true"/>
                    </pic:cNvPicPr>
                  </pic:nvPicPr>
                  <pic:blipFill>
                    <a:blip r:embed="rId92"/>
                    <a:stretch>
                      <a:fillRect/>
                    </a:stretch>
                  </pic:blipFill>
                  <pic:spPr>
                    <a:xfrm>
                      <a:off x="0" y="0"/>
                      <a:ext cx="2404503" cy="1803524"/>
                    </a:xfrm>
                    <a:prstGeom prst="rect">
                      <a:avLst/>
                    </a:prstGeom>
                  </pic:spPr>
                </pic:pic>
              </a:graphicData>
            </a:graphic>
          </wp:inline>
        </w:drawing>
      </w:r>
      <w:r>
        <w:rPr>
          <w:rFonts w:eastAsia="仿宋_GB2312" w:cs="Times New Roman"/>
        </w:rPr>
        <w:drawing>
          <wp:inline distT="0" distB="0" distL="114300" distR="114300">
            <wp:extent cx="2410460" cy="1807845"/>
            <wp:effectExtent l="0" t="0" r="8890" b="1905"/>
            <wp:docPr id="110" name="图片 110" descr="IMG_20220623_1012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0" name="图片 110" descr="IMG_20220623_101227"/>
                    <pic:cNvPicPr>
                      <a:picLocks noChangeAspect="true"/>
                    </pic:cNvPicPr>
                  </pic:nvPicPr>
                  <pic:blipFill>
                    <a:blip r:embed="rId93"/>
                    <a:stretch>
                      <a:fillRect/>
                    </a:stretch>
                  </pic:blipFill>
                  <pic:spPr>
                    <a:xfrm>
                      <a:off x="0" y="0"/>
                      <a:ext cx="2420068" cy="1815200"/>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24</w:t>
      </w:r>
      <w:r>
        <w:rPr>
          <w:rFonts w:eastAsia="仿宋_GB2312" w:cs="Times New Roman"/>
        </w:rPr>
        <w:fldChar w:fldCharType="end"/>
      </w:r>
      <w:r>
        <w:rPr>
          <w:rFonts w:eastAsia="仿宋_GB2312" w:cs="Times New Roman"/>
        </w:rPr>
        <w:t>咸宁绿洲湾停车场充电站</w:t>
      </w:r>
    </w:p>
    <w:p>
      <w:pPr>
        <w:ind w:firstLine="560"/>
        <w:rPr>
          <w:rFonts w:eastAsia="仿宋_GB2312" w:cs="Times New Roman"/>
        </w:rPr>
      </w:pPr>
      <w:r>
        <w:rPr>
          <w:rFonts w:eastAsia="仿宋_GB2312" w:cs="Times New Roman"/>
        </w:rPr>
        <w:t>（12）咸宁火车站充电站，位于咸安区怀德路209号咸宁站停车场，新建4台120kW一机两枪直流充电桩。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112" name="图片 112" descr="IMG_20220622_1038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2" name="图片 112" descr="IMG_20220622_103816"/>
                    <pic:cNvPicPr>
                      <a:picLocks noChangeAspect="true"/>
                    </pic:cNvPicPr>
                  </pic:nvPicPr>
                  <pic:blipFill>
                    <a:blip r:embed="rId94"/>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14" name="图片 114" descr="IMG_20220622_1038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4" name="图片 114" descr="IMG_20220622_103834"/>
                    <pic:cNvPicPr>
                      <a:picLocks noChangeAspect="true"/>
                    </pic:cNvPicPr>
                  </pic:nvPicPr>
                  <pic:blipFill>
                    <a:blip r:embed="rId95"/>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25</w:t>
      </w:r>
      <w:r>
        <w:rPr>
          <w:rFonts w:eastAsia="仿宋_GB2312" w:cs="Times New Roman"/>
        </w:rPr>
        <w:fldChar w:fldCharType="end"/>
      </w:r>
      <w:r>
        <w:rPr>
          <w:rFonts w:eastAsia="仿宋_GB2312" w:cs="Times New Roman"/>
        </w:rPr>
        <w:t>咸宁火车站充电站</w:t>
      </w:r>
    </w:p>
    <w:p>
      <w:pPr>
        <w:ind w:firstLine="560"/>
        <w:rPr>
          <w:rFonts w:eastAsia="仿宋_GB2312" w:cs="Times New Roman"/>
        </w:rPr>
      </w:pPr>
      <w:r>
        <w:rPr>
          <w:rFonts w:eastAsia="仿宋_GB2312" w:cs="Times New Roman"/>
        </w:rPr>
        <w:t>（13）道路交通安全协会宝塔工作组充电站，位于咸安区咸安大道吉祥小区东南侧约200米，新建4台120kW一机两枪直流充电桩。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3839845" cy="2879725"/>
            <wp:effectExtent l="0" t="0" r="635" b="635"/>
            <wp:docPr id="119" name="图片 119" descr="IMG_20220622_1120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9" name="图片 119" descr="IMG_20220622_112000"/>
                    <pic:cNvPicPr>
                      <a:picLocks noChangeAspect="true"/>
                    </pic:cNvPicPr>
                  </pic:nvPicPr>
                  <pic:blipFill>
                    <a:blip r:embed="rId96"/>
                    <a:stretch>
                      <a:fillRect/>
                    </a:stretch>
                  </pic:blipFill>
                  <pic:spPr>
                    <a:xfrm>
                      <a:off x="0" y="0"/>
                      <a:ext cx="3839845" cy="287972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26</w:t>
      </w:r>
      <w:r>
        <w:rPr>
          <w:rFonts w:eastAsia="仿宋_GB2312" w:cs="Times New Roman"/>
        </w:rPr>
        <w:fldChar w:fldCharType="end"/>
      </w:r>
      <w:r>
        <w:rPr>
          <w:rFonts w:eastAsia="仿宋_GB2312" w:cs="Times New Roman"/>
        </w:rPr>
        <w:t>道路交通安全协会宝塔工作组充电站</w:t>
      </w:r>
    </w:p>
    <w:p>
      <w:pPr>
        <w:ind w:firstLine="560"/>
        <w:rPr>
          <w:rFonts w:eastAsia="仿宋_GB2312" w:cs="Times New Roman"/>
        </w:rPr>
      </w:pPr>
      <w:r>
        <w:rPr>
          <w:rFonts w:eastAsia="仿宋_GB2312" w:cs="Times New Roman"/>
        </w:rPr>
        <w:t>（14）碧桂园文化广场充电站，位于咸安区碧桂路咸宁碧桂园东南侧约50米，新建4台120kW一机两枪直流充电桩。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120" name="图片 120" descr="IMG_20220623_0950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0" name="图片 120" descr="IMG_20220623_095030"/>
                    <pic:cNvPicPr>
                      <a:picLocks noChangeAspect="true"/>
                    </pic:cNvPicPr>
                  </pic:nvPicPr>
                  <pic:blipFill>
                    <a:blip r:embed="rId97"/>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23" name="图片 123" descr="IMG_20220623_0950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3" name="图片 123" descr="IMG_20220623_095037"/>
                    <pic:cNvPicPr>
                      <a:picLocks noChangeAspect="true"/>
                    </pic:cNvPicPr>
                  </pic:nvPicPr>
                  <pic:blipFill>
                    <a:blip r:embed="rId98"/>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27</w:t>
      </w:r>
      <w:r>
        <w:rPr>
          <w:rFonts w:eastAsia="仿宋_GB2312" w:cs="Times New Roman"/>
        </w:rPr>
        <w:fldChar w:fldCharType="end"/>
      </w:r>
      <w:r>
        <w:rPr>
          <w:rFonts w:eastAsia="仿宋_GB2312" w:cs="Times New Roman"/>
        </w:rPr>
        <w:t>碧桂园文化广场充电站</w:t>
      </w:r>
    </w:p>
    <w:p>
      <w:pPr>
        <w:ind w:firstLine="560"/>
        <w:rPr>
          <w:rFonts w:eastAsia="仿宋_GB2312" w:cs="Times New Roman"/>
        </w:rPr>
      </w:pPr>
      <w:r>
        <w:rPr>
          <w:rFonts w:eastAsia="仿宋_GB2312" w:cs="Times New Roman"/>
        </w:rPr>
        <w:t>（15）咸宁家宴新天丽大酒店充电站，位于咸安区长安大道家宴新天丽大酒店东北侧约30米，新建4台120kW一机两枪直流充电桩。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124" name="图片 124" descr="IMG_20220622_1147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4" name="图片 124" descr="IMG_20220622_114758"/>
                    <pic:cNvPicPr>
                      <a:picLocks noChangeAspect="true"/>
                    </pic:cNvPicPr>
                  </pic:nvPicPr>
                  <pic:blipFill>
                    <a:blip r:embed="rId99"/>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27" name="图片 127" descr="IMG_20220622_1148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7" name="图片 127" descr="IMG_20220622_114859"/>
                    <pic:cNvPicPr>
                      <a:picLocks noChangeAspect="true"/>
                    </pic:cNvPicPr>
                  </pic:nvPicPr>
                  <pic:blipFill>
                    <a:blip r:embed="rId100"/>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28</w:t>
      </w:r>
      <w:r>
        <w:rPr>
          <w:rFonts w:eastAsia="仿宋_GB2312" w:cs="Times New Roman"/>
        </w:rPr>
        <w:fldChar w:fldCharType="end"/>
      </w:r>
      <w:r>
        <w:rPr>
          <w:rFonts w:eastAsia="仿宋_GB2312" w:cs="Times New Roman"/>
        </w:rPr>
        <w:t>咸宁家宴新天丽大酒店充电站</w:t>
      </w:r>
    </w:p>
    <w:p>
      <w:pPr>
        <w:ind w:firstLine="560"/>
        <w:rPr>
          <w:rFonts w:eastAsia="仿宋_GB2312" w:cs="Times New Roman"/>
        </w:rPr>
      </w:pPr>
      <w:r>
        <w:rPr>
          <w:rFonts w:eastAsia="仿宋_GB2312" w:cs="Times New Roman"/>
        </w:rPr>
        <w:t>（16）咸宁山水一品充电站，位于咸安区嫦娥大道597号，新建4台120kW一机两枪直流充电桩。</w:t>
      </w:r>
    </w:p>
    <w:p>
      <w:pPr>
        <w:pStyle w:val="19"/>
        <w:tabs>
          <w:tab w:val="center" w:pos="4213"/>
          <w:tab w:val="right" w:pos="8306"/>
        </w:tabs>
        <w:jc w:val="left"/>
        <w:rPr>
          <w:rFonts w:eastAsia="仿宋_GB2312" w:cs="Times New Roman"/>
        </w:rPr>
      </w:pPr>
      <w:r>
        <w:rPr>
          <w:rFonts w:eastAsia="仿宋_GB2312" w:cs="Times New Roman"/>
        </w:rPr>
        <w:tab/>
      </w:r>
      <w:r>
        <w:rPr>
          <w:rFonts w:eastAsia="仿宋_GB2312" w:cs="Times New Roman"/>
        </w:rPr>
        <w:drawing>
          <wp:inline distT="0" distB="0" distL="114300" distR="114300">
            <wp:extent cx="2591435" cy="1943735"/>
            <wp:effectExtent l="0" t="0" r="14605" b="6985"/>
            <wp:docPr id="128" name="图片 128" descr="IMG_20220623_0929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8" name="图片 128" descr="IMG_20220623_092900"/>
                    <pic:cNvPicPr>
                      <a:picLocks noChangeAspect="true"/>
                    </pic:cNvPicPr>
                  </pic:nvPicPr>
                  <pic:blipFill>
                    <a:blip r:embed="rId101"/>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32" name="图片 132" descr="IMG_20220623_0929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2" name="图片 132" descr="IMG_20220623_092909"/>
                    <pic:cNvPicPr>
                      <a:picLocks noChangeAspect="true"/>
                    </pic:cNvPicPr>
                  </pic:nvPicPr>
                  <pic:blipFill>
                    <a:blip r:embed="rId102"/>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29</w:t>
      </w:r>
      <w:r>
        <w:rPr>
          <w:rFonts w:eastAsia="仿宋_GB2312" w:cs="Times New Roman"/>
        </w:rPr>
        <w:fldChar w:fldCharType="end"/>
      </w:r>
      <w:r>
        <w:rPr>
          <w:rFonts w:eastAsia="仿宋_GB2312" w:cs="Times New Roman"/>
        </w:rPr>
        <w:t>咸宁山水一品充电站</w:t>
      </w:r>
    </w:p>
    <w:p>
      <w:pPr>
        <w:ind w:firstLine="560"/>
        <w:rPr>
          <w:rFonts w:eastAsia="仿宋_GB2312" w:cs="Times New Roman"/>
        </w:rPr>
      </w:pPr>
      <w:r>
        <w:rPr>
          <w:rFonts w:eastAsia="仿宋_GB2312" w:cs="Times New Roman"/>
        </w:rPr>
        <w:t>（17）咸宁兴安酒店充电站，位于宁市咸安区书台街与咸安大道交叉口东南280米兴安酒店停车场，新建4台120kW一机两枪直流充电桩。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135" name="图片 135" descr="IMG_20220623_1112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5" name="图片 135" descr="IMG_20220623_111244"/>
                    <pic:cNvPicPr>
                      <a:picLocks noChangeAspect="true"/>
                    </pic:cNvPicPr>
                  </pic:nvPicPr>
                  <pic:blipFill>
                    <a:blip r:embed="rId103"/>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36" name="图片 136" descr="IMG_20220623_1113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6" name="图片 136" descr="IMG_20220623_111305"/>
                    <pic:cNvPicPr>
                      <a:picLocks noChangeAspect="true"/>
                    </pic:cNvPicPr>
                  </pic:nvPicPr>
                  <pic:blipFill>
                    <a:blip r:embed="rId104"/>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30</w:t>
      </w:r>
      <w:r>
        <w:rPr>
          <w:rFonts w:eastAsia="仿宋_GB2312" w:cs="Times New Roman"/>
        </w:rPr>
        <w:fldChar w:fldCharType="end"/>
      </w:r>
      <w:r>
        <w:rPr>
          <w:rFonts w:eastAsia="仿宋_GB2312" w:cs="Times New Roman"/>
        </w:rPr>
        <w:t>咸宁兴安酒店充电站</w:t>
      </w:r>
    </w:p>
    <w:p>
      <w:pPr>
        <w:ind w:firstLine="560"/>
        <w:rPr>
          <w:rFonts w:eastAsia="仿宋_GB2312" w:cs="Times New Roman"/>
        </w:rPr>
      </w:pPr>
      <w:r>
        <w:rPr>
          <w:rFonts w:eastAsia="仿宋_GB2312" w:cs="Times New Roman"/>
        </w:rPr>
        <w:t>（18）咸宁东林天府充电站，位于咸安区官埠桥镇107国道东东林天府停车场，新建4台120kW一机两枪直流充电桩。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138" name="图片 138" descr="IMG_20220623_1125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8" name="图片 138" descr="IMG_20220623_112512"/>
                    <pic:cNvPicPr>
                      <a:picLocks noChangeAspect="true"/>
                    </pic:cNvPicPr>
                  </pic:nvPicPr>
                  <pic:blipFill>
                    <a:blip r:embed="rId105"/>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42" name="图片 142" descr="IMG_20220623_1125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2" name="图片 142" descr="IMG_20220623_112520"/>
                    <pic:cNvPicPr>
                      <a:picLocks noChangeAspect="true"/>
                    </pic:cNvPicPr>
                  </pic:nvPicPr>
                  <pic:blipFill>
                    <a:blip r:embed="rId106"/>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31</w:t>
      </w:r>
      <w:r>
        <w:rPr>
          <w:rFonts w:eastAsia="仿宋_GB2312" w:cs="Times New Roman"/>
        </w:rPr>
        <w:fldChar w:fldCharType="end"/>
      </w:r>
      <w:r>
        <w:rPr>
          <w:rFonts w:eastAsia="仿宋_GB2312" w:cs="Times New Roman"/>
        </w:rPr>
        <w:t>咸宁东林天府充电站</w:t>
      </w:r>
    </w:p>
    <w:p>
      <w:pPr>
        <w:ind w:firstLine="560"/>
        <w:rPr>
          <w:rFonts w:eastAsia="仿宋_GB2312" w:cs="Times New Roman"/>
        </w:rPr>
      </w:pPr>
      <w:r>
        <w:rPr>
          <w:rFonts w:eastAsia="仿宋_GB2312" w:cs="Times New Roman"/>
        </w:rPr>
        <w:t>（19）咸宁麻塘风湿医院充电站，位于咸安区桂乡大道2附近，新建4台120kW一机两枪直流充电桩。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145" name="图片 145" descr="IMG_20220623_1042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5" name="图片 145" descr="IMG_20220623_104257"/>
                    <pic:cNvPicPr>
                      <a:picLocks noChangeAspect="true"/>
                    </pic:cNvPicPr>
                  </pic:nvPicPr>
                  <pic:blipFill>
                    <a:blip r:embed="rId107"/>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46" name="图片 146" descr="IMG_20220623_1043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6" name="图片 146" descr="IMG_20220623_104315"/>
                    <pic:cNvPicPr>
                      <a:picLocks noChangeAspect="true"/>
                    </pic:cNvPicPr>
                  </pic:nvPicPr>
                  <pic:blipFill>
                    <a:blip r:embed="rId108"/>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32</w:t>
      </w:r>
      <w:r>
        <w:rPr>
          <w:rFonts w:eastAsia="仿宋_GB2312" w:cs="Times New Roman"/>
        </w:rPr>
        <w:fldChar w:fldCharType="end"/>
      </w:r>
      <w:r>
        <w:rPr>
          <w:rFonts w:eastAsia="仿宋_GB2312" w:cs="Times New Roman"/>
        </w:rPr>
        <w:t>咸宁麻塘风湿医院充电站</w:t>
      </w:r>
    </w:p>
    <w:p>
      <w:pPr>
        <w:ind w:firstLine="560"/>
        <w:rPr>
          <w:rFonts w:eastAsia="仿宋_GB2312" w:cs="Times New Roman"/>
        </w:rPr>
      </w:pPr>
      <w:r>
        <w:rPr>
          <w:rFonts w:eastAsia="仿宋_GB2312" w:cs="Times New Roman"/>
        </w:rPr>
        <w:t>（20）国网咸宁检修公司充电站，位于咸安区国家电网咸宁检修公司(旗鼓大道东)，新建4台120kW一机两枪直流充电桩。</w:t>
      </w:r>
    </w:p>
    <w:p>
      <w:pPr>
        <w:pStyle w:val="19"/>
        <w:rPr>
          <w:rFonts w:eastAsia="仿宋_GB2312" w:cs="Times New Roman"/>
        </w:rPr>
      </w:pPr>
      <w:r>
        <w:rPr>
          <w:rFonts w:eastAsia="仿宋_GB2312" w:cs="Times New Roman"/>
        </w:rPr>
        <w:drawing>
          <wp:inline distT="0" distB="0" distL="114300" distR="114300">
            <wp:extent cx="2308860" cy="1731645"/>
            <wp:effectExtent l="0" t="0" r="0" b="1905"/>
            <wp:docPr id="148" name="图片 148" descr="IMG_20220623_1054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 name="图片 148" descr="IMG_20220623_105417"/>
                    <pic:cNvPicPr>
                      <a:picLocks noChangeAspect="true"/>
                    </pic:cNvPicPr>
                  </pic:nvPicPr>
                  <pic:blipFill>
                    <a:blip r:embed="rId109"/>
                    <a:stretch>
                      <a:fillRect/>
                    </a:stretch>
                  </pic:blipFill>
                  <pic:spPr>
                    <a:xfrm>
                      <a:off x="0" y="0"/>
                      <a:ext cx="2317452" cy="1738232"/>
                    </a:xfrm>
                    <a:prstGeom prst="rect">
                      <a:avLst/>
                    </a:prstGeom>
                  </pic:spPr>
                </pic:pic>
              </a:graphicData>
            </a:graphic>
          </wp:inline>
        </w:drawing>
      </w:r>
      <w:r>
        <w:rPr>
          <w:rFonts w:eastAsia="仿宋_GB2312" w:cs="Times New Roman"/>
        </w:rPr>
        <w:drawing>
          <wp:inline distT="0" distB="0" distL="114300" distR="114300">
            <wp:extent cx="2308860" cy="1731645"/>
            <wp:effectExtent l="0" t="0" r="0" b="1905"/>
            <wp:docPr id="151" name="图片 151" descr="IMG_20220623_1054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1" name="图片 151" descr="IMG_20220623_105457"/>
                    <pic:cNvPicPr>
                      <a:picLocks noChangeAspect="true"/>
                    </pic:cNvPicPr>
                  </pic:nvPicPr>
                  <pic:blipFill>
                    <a:blip r:embed="rId110"/>
                    <a:stretch>
                      <a:fillRect/>
                    </a:stretch>
                  </pic:blipFill>
                  <pic:spPr>
                    <a:xfrm>
                      <a:off x="0" y="0"/>
                      <a:ext cx="2320004" cy="1740146"/>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33</w:t>
      </w:r>
      <w:r>
        <w:rPr>
          <w:rFonts w:eastAsia="仿宋_GB2312" w:cs="Times New Roman"/>
        </w:rPr>
        <w:fldChar w:fldCharType="end"/>
      </w:r>
      <w:r>
        <w:rPr>
          <w:rFonts w:eastAsia="仿宋_GB2312" w:cs="Times New Roman"/>
        </w:rPr>
        <w:t>国网咸宁检修公司充电站</w:t>
      </w:r>
    </w:p>
    <w:p>
      <w:pPr>
        <w:ind w:firstLine="560"/>
        <w:rPr>
          <w:rFonts w:eastAsia="仿宋_GB2312" w:cs="Times New Roman"/>
        </w:rPr>
      </w:pPr>
      <w:r>
        <w:rPr>
          <w:rFonts w:eastAsia="仿宋_GB2312" w:cs="Times New Roman"/>
        </w:rPr>
        <w:t>（21）咸宁众创空间充电站，位于咸安区贺胜路与栗林路交叉口南540米，新建4台120kW一机两枪直流充电桩。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152" name="图片 152" descr="IMG_20220623_1139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2" name="图片 152" descr="IMG_20220623_113946"/>
                    <pic:cNvPicPr>
                      <a:picLocks noChangeAspect="true"/>
                    </pic:cNvPicPr>
                  </pic:nvPicPr>
                  <pic:blipFill>
                    <a:blip r:embed="rId111"/>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54" name="图片 154" descr="IMG_20220623_1139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4" name="图片 154" descr="IMG_20220623_113953"/>
                    <pic:cNvPicPr>
                      <a:picLocks noChangeAspect="true"/>
                    </pic:cNvPicPr>
                  </pic:nvPicPr>
                  <pic:blipFill>
                    <a:blip r:embed="rId112"/>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34</w:t>
      </w:r>
      <w:r>
        <w:rPr>
          <w:rFonts w:eastAsia="仿宋_GB2312" w:cs="Times New Roman"/>
        </w:rPr>
        <w:fldChar w:fldCharType="end"/>
      </w:r>
      <w:r>
        <w:rPr>
          <w:rFonts w:eastAsia="仿宋_GB2312" w:cs="Times New Roman"/>
        </w:rPr>
        <w:t>咸宁众创空间充电站</w:t>
      </w:r>
    </w:p>
    <w:p>
      <w:pPr>
        <w:ind w:firstLine="560"/>
        <w:rPr>
          <w:rFonts w:eastAsia="仿宋_GB2312" w:cs="Times New Roman"/>
        </w:rPr>
      </w:pPr>
      <w:r>
        <w:rPr>
          <w:rFonts w:eastAsia="仿宋_GB2312" w:cs="Times New Roman"/>
        </w:rPr>
        <w:t>（22）咸宁市香吾山停车场充电站，位于咸安区温泉第一街旁边肯德基对面，新建4台120kW一机两枪直流充电桩。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157" name="图片 157" descr="IMG_20220623_1606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7" name="图片 157" descr="IMG_20220623_160617"/>
                    <pic:cNvPicPr>
                      <a:picLocks noChangeAspect="true"/>
                    </pic:cNvPicPr>
                  </pic:nvPicPr>
                  <pic:blipFill>
                    <a:blip r:embed="rId113"/>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58" name="图片 158" descr="IMG_20220623_1606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8" name="图片 158" descr="IMG_20220623_160625"/>
                    <pic:cNvPicPr>
                      <a:picLocks noChangeAspect="true"/>
                    </pic:cNvPicPr>
                  </pic:nvPicPr>
                  <pic:blipFill>
                    <a:blip r:embed="rId114"/>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35</w:t>
      </w:r>
      <w:r>
        <w:rPr>
          <w:rFonts w:eastAsia="仿宋_GB2312" w:cs="Times New Roman"/>
        </w:rPr>
        <w:fldChar w:fldCharType="end"/>
      </w:r>
      <w:r>
        <w:rPr>
          <w:rFonts w:eastAsia="仿宋_GB2312" w:cs="Times New Roman"/>
        </w:rPr>
        <w:t>咸宁市香吾山停车场充电站</w:t>
      </w:r>
    </w:p>
    <w:p>
      <w:pPr>
        <w:ind w:firstLine="560"/>
        <w:rPr>
          <w:rFonts w:eastAsia="仿宋_GB2312" w:cs="Times New Roman"/>
        </w:rPr>
      </w:pPr>
      <w:r>
        <w:rPr>
          <w:rFonts w:eastAsia="仿宋_GB2312" w:cs="Times New Roman"/>
        </w:rPr>
        <w:t>（23）咸宁万达广场充电站，位于咸安区长安大道特188号，新建4台120kW一机两枪直流充电桩。</w:t>
      </w:r>
    </w:p>
    <w:p>
      <w:pPr>
        <w:pStyle w:val="19"/>
        <w:rPr>
          <w:rFonts w:eastAsia="仿宋_GB2312" w:cs="Times New Roman"/>
        </w:rPr>
      </w:pPr>
      <w:r>
        <w:rPr>
          <w:rFonts w:eastAsia="仿宋_GB2312" w:cs="Times New Roman"/>
        </w:rPr>
        <w:drawing>
          <wp:inline distT="0" distB="0" distL="114300" distR="114300">
            <wp:extent cx="2244725" cy="1684020"/>
            <wp:effectExtent l="0" t="0" r="3175" b="0"/>
            <wp:docPr id="159" name="图片 159" descr="IMG_20220624_1330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9" name="图片 159" descr="IMG_20220624_133025"/>
                    <pic:cNvPicPr>
                      <a:picLocks noChangeAspect="true"/>
                    </pic:cNvPicPr>
                  </pic:nvPicPr>
                  <pic:blipFill>
                    <a:blip r:embed="rId115"/>
                    <a:stretch>
                      <a:fillRect/>
                    </a:stretch>
                  </pic:blipFill>
                  <pic:spPr>
                    <a:xfrm>
                      <a:off x="0" y="0"/>
                      <a:ext cx="2254879" cy="1691297"/>
                    </a:xfrm>
                    <a:prstGeom prst="rect">
                      <a:avLst/>
                    </a:prstGeom>
                  </pic:spPr>
                </pic:pic>
              </a:graphicData>
            </a:graphic>
          </wp:inline>
        </w:drawing>
      </w:r>
      <w:r>
        <w:rPr>
          <w:rFonts w:eastAsia="仿宋_GB2312" w:cs="Times New Roman"/>
        </w:rPr>
        <w:drawing>
          <wp:inline distT="0" distB="0" distL="114300" distR="114300">
            <wp:extent cx="2295525" cy="1722120"/>
            <wp:effectExtent l="0" t="0" r="9525" b="0"/>
            <wp:docPr id="161" name="图片 161" descr="IMG_20220624_1330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1" name="图片 161" descr="IMG_20220624_133027"/>
                    <pic:cNvPicPr>
                      <a:picLocks noChangeAspect="true"/>
                    </pic:cNvPicPr>
                  </pic:nvPicPr>
                  <pic:blipFill>
                    <a:blip r:embed="rId116"/>
                    <a:stretch>
                      <a:fillRect/>
                    </a:stretch>
                  </pic:blipFill>
                  <pic:spPr>
                    <a:xfrm>
                      <a:off x="0" y="0"/>
                      <a:ext cx="2305511" cy="172927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36</w:t>
      </w:r>
      <w:r>
        <w:rPr>
          <w:rFonts w:eastAsia="仿宋_GB2312" w:cs="Times New Roman"/>
        </w:rPr>
        <w:fldChar w:fldCharType="end"/>
      </w:r>
      <w:r>
        <w:rPr>
          <w:rFonts w:eastAsia="仿宋_GB2312" w:cs="Times New Roman"/>
        </w:rPr>
        <w:t>咸宁万达广场充电站</w:t>
      </w:r>
    </w:p>
    <w:p>
      <w:pPr>
        <w:ind w:firstLine="560"/>
        <w:rPr>
          <w:rFonts w:eastAsia="仿宋_GB2312" w:cs="Times New Roman"/>
        </w:rPr>
      </w:pPr>
      <w:r>
        <w:rPr>
          <w:rFonts w:eastAsia="仿宋_GB2312" w:cs="Times New Roman"/>
        </w:rPr>
        <w:t>（24）咸宁光谷广场充电站，位于咸安区温泉路37号，新建4台120kW一机两枪直流充电桩。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163" name="图片 163" descr="IMG_20220623_1559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3" name="图片 163" descr="IMG_20220623_155909"/>
                    <pic:cNvPicPr>
                      <a:picLocks noChangeAspect="true"/>
                    </pic:cNvPicPr>
                  </pic:nvPicPr>
                  <pic:blipFill>
                    <a:blip r:embed="rId117"/>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65" name="图片 165" descr="IMG_20220623_1559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5" name="图片 165" descr="IMG_20220623_155931"/>
                    <pic:cNvPicPr>
                      <a:picLocks noChangeAspect="true"/>
                    </pic:cNvPicPr>
                  </pic:nvPicPr>
                  <pic:blipFill>
                    <a:blip r:embed="rId118"/>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37</w:t>
      </w:r>
      <w:r>
        <w:rPr>
          <w:rFonts w:eastAsia="仿宋_GB2312" w:cs="Times New Roman"/>
        </w:rPr>
        <w:fldChar w:fldCharType="end"/>
      </w:r>
      <w:r>
        <w:rPr>
          <w:rFonts w:eastAsia="仿宋_GB2312" w:cs="Times New Roman"/>
        </w:rPr>
        <w:t>咸宁光谷广场充电站</w:t>
      </w:r>
    </w:p>
    <w:p>
      <w:pPr>
        <w:ind w:firstLine="560"/>
        <w:rPr>
          <w:rFonts w:eastAsia="仿宋_GB2312" w:cs="Times New Roman"/>
        </w:rPr>
      </w:pPr>
      <w:r>
        <w:rPr>
          <w:rFonts w:eastAsia="仿宋_GB2312" w:cs="Times New Roman"/>
        </w:rPr>
        <w:t>（25）嫦娥广场充电站，位于咸安区永安大道16号，新建4台120kW一机两枪直流充电桩。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168" name="图片 168" descr="IMG_20220622_1139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8" name="图片 168" descr="IMG_20220622_113927"/>
                    <pic:cNvPicPr>
                      <a:picLocks noChangeAspect="true"/>
                    </pic:cNvPicPr>
                  </pic:nvPicPr>
                  <pic:blipFill>
                    <a:blip r:embed="rId119"/>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69" name="图片 169" descr="IMG_20220622_1139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9" name="图片 169" descr="IMG_20220622_113935"/>
                    <pic:cNvPicPr>
                      <a:picLocks noChangeAspect="true"/>
                    </pic:cNvPicPr>
                  </pic:nvPicPr>
                  <pic:blipFill>
                    <a:blip r:embed="rId120"/>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38</w:t>
      </w:r>
      <w:r>
        <w:rPr>
          <w:rFonts w:eastAsia="仿宋_GB2312" w:cs="Times New Roman"/>
        </w:rPr>
        <w:fldChar w:fldCharType="end"/>
      </w:r>
      <w:r>
        <w:rPr>
          <w:rFonts w:eastAsia="仿宋_GB2312" w:cs="Times New Roman"/>
        </w:rPr>
        <w:t>嫦娥广场充电站</w:t>
      </w:r>
    </w:p>
    <w:p>
      <w:pPr>
        <w:ind w:firstLine="560"/>
        <w:rPr>
          <w:rFonts w:eastAsia="仿宋_GB2312" w:cs="Times New Roman"/>
        </w:rPr>
      </w:pPr>
      <w:r>
        <w:rPr>
          <w:rFonts w:eastAsia="仿宋_GB2312" w:cs="Times New Roman"/>
        </w:rPr>
        <w:t>（26）亿丰农商贸批发大市场充电站，位于亿丰农商贸批发大市场斜对面，新建4台120kW一机两枪直流充电桩。</w:t>
      </w:r>
    </w:p>
    <w:p>
      <w:pPr>
        <w:pStyle w:val="19"/>
        <w:rPr>
          <w:rFonts w:eastAsia="仿宋_GB2312" w:cs="Times New Roman"/>
        </w:rPr>
      </w:pPr>
      <w:r>
        <w:rPr>
          <w:rFonts w:eastAsia="仿宋_GB2312" w:cs="Times New Roman"/>
        </w:rPr>
        <w:drawing>
          <wp:inline distT="0" distB="0" distL="114300" distR="114300">
            <wp:extent cx="2295525" cy="1722120"/>
            <wp:effectExtent l="0" t="0" r="9525" b="0"/>
            <wp:docPr id="171" name="图片 171" descr="IMG_20220622_0950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1" name="图片 171" descr="IMG_20220622_095057"/>
                    <pic:cNvPicPr>
                      <a:picLocks noChangeAspect="true"/>
                    </pic:cNvPicPr>
                  </pic:nvPicPr>
                  <pic:blipFill>
                    <a:blip r:embed="rId121"/>
                    <a:stretch>
                      <a:fillRect/>
                    </a:stretch>
                  </pic:blipFill>
                  <pic:spPr>
                    <a:xfrm>
                      <a:off x="0" y="0"/>
                      <a:ext cx="2305727" cy="1729436"/>
                    </a:xfrm>
                    <a:prstGeom prst="rect">
                      <a:avLst/>
                    </a:prstGeom>
                  </pic:spPr>
                </pic:pic>
              </a:graphicData>
            </a:graphic>
          </wp:inline>
        </w:drawing>
      </w:r>
      <w:r>
        <w:rPr>
          <w:rFonts w:eastAsia="仿宋_GB2312" w:cs="Times New Roman"/>
        </w:rPr>
        <w:drawing>
          <wp:inline distT="0" distB="0" distL="114300" distR="114300">
            <wp:extent cx="2285365" cy="1714500"/>
            <wp:effectExtent l="0" t="0" r="635" b="0"/>
            <wp:docPr id="173" name="图片 173" descr="IMG_20220622_0951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3" name="图片 173" descr="IMG_20220622_095101"/>
                    <pic:cNvPicPr>
                      <a:picLocks noChangeAspect="true"/>
                    </pic:cNvPicPr>
                  </pic:nvPicPr>
                  <pic:blipFill>
                    <a:blip r:embed="rId122"/>
                    <a:stretch>
                      <a:fillRect/>
                    </a:stretch>
                  </pic:blipFill>
                  <pic:spPr>
                    <a:xfrm>
                      <a:off x="0" y="0"/>
                      <a:ext cx="2294488" cy="1721006"/>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39</w:t>
      </w:r>
      <w:r>
        <w:rPr>
          <w:rFonts w:eastAsia="仿宋_GB2312" w:cs="Times New Roman"/>
        </w:rPr>
        <w:fldChar w:fldCharType="end"/>
      </w:r>
      <w:r>
        <w:rPr>
          <w:rFonts w:eastAsia="仿宋_GB2312" w:cs="Times New Roman"/>
        </w:rPr>
        <w:t>亿丰农商贸批发大市场充电站</w:t>
      </w:r>
    </w:p>
    <w:p>
      <w:pPr>
        <w:ind w:firstLine="560"/>
        <w:rPr>
          <w:rFonts w:eastAsia="仿宋_GB2312" w:cs="Times New Roman"/>
        </w:rPr>
      </w:pPr>
      <w:r>
        <w:rPr>
          <w:rFonts w:eastAsia="仿宋_GB2312" w:cs="Times New Roman"/>
        </w:rPr>
        <w:t>（27）城隍庙购物广场充电站，位于城隍庙购物广场附近停车场，新建4台120kW一机两枪直流充电桩。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175" name="图片 175" descr="IMG_20220622_0937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5" name="图片 175" descr="IMG_20220622_093704"/>
                    <pic:cNvPicPr>
                      <a:picLocks noChangeAspect="true"/>
                    </pic:cNvPicPr>
                  </pic:nvPicPr>
                  <pic:blipFill>
                    <a:blip r:embed="rId123"/>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76" name="图片 176" descr="IMG_20220622_0937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6" name="图片 176" descr="IMG_20220622_093718"/>
                    <pic:cNvPicPr>
                      <a:picLocks noChangeAspect="true"/>
                    </pic:cNvPicPr>
                  </pic:nvPicPr>
                  <pic:blipFill>
                    <a:blip r:embed="rId124"/>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40</w:t>
      </w:r>
      <w:r>
        <w:rPr>
          <w:rFonts w:eastAsia="仿宋_GB2312" w:cs="Times New Roman"/>
        </w:rPr>
        <w:fldChar w:fldCharType="end"/>
      </w:r>
      <w:r>
        <w:rPr>
          <w:rFonts w:eastAsia="仿宋_GB2312" w:cs="Times New Roman"/>
        </w:rPr>
        <w:t>城隍庙购物广场充电站</w:t>
      </w:r>
    </w:p>
    <w:p>
      <w:pPr>
        <w:ind w:firstLine="560"/>
        <w:rPr>
          <w:rFonts w:eastAsia="仿宋_GB2312" w:cs="Times New Roman"/>
        </w:rPr>
      </w:pPr>
      <w:r>
        <w:rPr>
          <w:rFonts w:eastAsia="仿宋_GB2312" w:cs="Times New Roman"/>
        </w:rPr>
        <w:t>（28）咸安大酒店充电站，位于咸安区双峰路与车站路交叉口，新建4台120kW一机两枪直流充电桩。</w:t>
      </w:r>
    </w:p>
    <w:p>
      <w:pPr>
        <w:pStyle w:val="19"/>
        <w:rPr>
          <w:rFonts w:eastAsia="仿宋_GB2312" w:cs="Times New Roman"/>
        </w:rPr>
      </w:pPr>
      <w:r>
        <w:rPr>
          <w:rFonts w:eastAsia="仿宋_GB2312" w:cs="Times New Roman"/>
        </w:rPr>
        <w:drawing>
          <wp:inline distT="0" distB="0" distL="114300" distR="114300">
            <wp:extent cx="3839845" cy="2879725"/>
            <wp:effectExtent l="0" t="0" r="635" b="635"/>
            <wp:docPr id="179" name="图片 179" descr="IMG_20220622_1022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9" name="图片 179" descr="IMG_20220622_102205"/>
                    <pic:cNvPicPr>
                      <a:picLocks noChangeAspect="true"/>
                    </pic:cNvPicPr>
                  </pic:nvPicPr>
                  <pic:blipFill>
                    <a:blip r:embed="rId125"/>
                    <a:stretch>
                      <a:fillRect/>
                    </a:stretch>
                  </pic:blipFill>
                  <pic:spPr>
                    <a:xfrm>
                      <a:off x="0" y="0"/>
                      <a:ext cx="3839845" cy="287972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41</w:t>
      </w:r>
      <w:r>
        <w:rPr>
          <w:rFonts w:eastAsia="仿宋_GB2312" w:cs="Times New Roman"/>
        </w:rPr>
        <w:fldChar w:fldCharType="end"/>
      </w:r>
      <w:r>
        <w:rPr>
          <w:rFonts w:eastAsia="仿宋_GB2312" w:cs="Times New Roman"/>
        </w:rPr>
        <w:t>咸安大酒店充电站</w:t>
      </w:r>
    </w:p>
    <w:p>
      <w:pPr>
        <w:ind w:firstLine="560"/>
        <w:rPr>
          <w:rFonts w:eastAsia="仿宋_GB2312" w:cs="Times New Roman"/>
        </w:rPr>
      </w:pPr>
      <w:r>
        <w:rPr>
          <w:rFonts w:eastAsia="仿宋_GB2312" w:cs="Times New Roman"/>
        </w:rPr>
        <w:t>（29）永安街道办事处充电站，位于永安街道办事处，新建4台120kW一机两枪直流充电桩。</w:t>
      </w:r>
    </w:p>
    <w:p>
      <w:pPr>
        <w:ind w:firstLine="560"/>
        <w:rPr>
          <w:rFonts w:eastAsia="仿宋_GB2312" w:cs="Times New Roman"/>
        </w:rPr>
      </w:pPr>
      <w:r>
        <w:rPr>
          <w:rFonts w:eastAsia="仿宋_GB2312" w:cs="Times New Roman"/>
        </w:rPr>
        <w:t>（30）文笔路社区居委会充电站，位于咸安区永安办事处文笔大道238号，新建4台120kW一机两枪直流充电桩。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184" name="图片 184" descr="IMG_20220623_1031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4" name="图片 184" descr="IMG_20220623_103129"/>
                    <pic:cNvPicPr>
                      <a:picLocks noChangeAspect="true"/>
                    </pic:cNvPicPr>
                  </pic:nvPicPr>
                  <pic:blipFill>
                    <a:blip r:embed="rId126"/>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186" name="图片 186" descr="IMG_20220623_1031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6" name="图片 186" descr="IMG_20220623_103131"/>
                    <pic:cNvPicPr>
                      <a:picLocks noChangeAspect="true"/>
                    </pic:cNvPicPr>
                  </pic:nvPicPr>
                  <pic:blipFill>
                    <a:blip r:embed="rId127"/>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42</w:t>
      </w:r>
      <w:r>
        <w:rPr>
          <w:rFonts w:eastAsia="仿宋_GB2312" w:cs="Times New Roman"/>
        </w:rPr>
        <w:fldChar w:fldCharType="end"/>
      </w:r>
      <w:r>
        <w:rPr>
          <w:rFonts w:eastAsia="仿宋_GB2312" w:cs="Times New Roman"/>
        </w:rPr>
        <w:t>文笔路社区居委会充电站</w:t>
      </w:r>
    </w:p>
    <w:p>
      <w:pPr>
        <w:ind w:firstLine="560"/>
        <w:rPr>
          <w:rFonts w:eastAsia="仿宋_GB2312" w:cs="Times New Roman"/>
        </w:rPr>
      </w:pPr>
      <w:r>
        <w:rPr>
          <w:rFonts w:eastAsia="仿宋_GB2312" w:cs="Times New Roman"/>
        </w:rPr>
        <w:t>（31）咸宁市第二人民医院充电站，位于咸安区金桂路，新建4台120kW一机两枪直流充电桩。</w:t>
      </w:r>
    </w:p>
    <w:p>
      <w:pPr>
        <w:ind w:firstLine="560"/>
        <w:rPr>
          <w:rFonts w:eastAsia="仿宋_GB2312" w:cs="Times New Roman"/>
        </w:rPr>
      </w:pPr>
      <w:r>
        <w:rPr>
          <w:rFonts w:eastAsia="仿宋_GB2312" w:cs="Times New Roman"/>
        </w:rPr>
        <w:t>（32）咸宁市公安局交通警察支队充电站，位于咸安区贺胜路与金桂路交叉口东北200米，新建10台120kW一机两枪直流充电桩。</w:t>
      </w:r>
    </w:p>
    <w:p>
      <w:pPr>
        <w:ind w:firstLine="560"/>
        <w:rPr>
          <w:rFonts w:eastAsia="仿宋_GB2312" w:cs="Times New Roman"/>
        </w:rPr>
      </w:pPr>
      <w:r>
        <w:rPr>
          <w:rFonts w:eastAsia="仿宋_GB2312" w:cs="Times New Roman"/>
        </w:rPr>
        <w:t>（33）银泉广场充电站，位于咸安区金桂路与银泉大道交叉口东北角，新建4台120kW一机两枪直流充电桩。</w:t>
      </w:r>
    </w:p>
    <w:p>
      <w:pPr>
        <w:pStyle w:val="19"/>
        <w:rPr>
          <w:rFonts w:eastAsia="仿宋_GB2312" w:cs="Times New Roman"/>
        </w:rPr>
      </w:pPr>
      <w:r>
        <w:rPr>
          <w:rFonts w:eastAsia="仿宋_GB2312" w:cs="Times New Roman"/>
        </w:rPr>
        <w:drawing>
          <wp:inline distT="0" distB="0" distL="114300" distR="114300">
            <wp:extent cx="2398395" cy="1798955"/>
            <wp:effectExtent l="0" t="0" r="1905" b="0"/>
            <wp:docPr id="194" name="图片 194" descr="IMG_20220623_1320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4" name="图片 194" descr="IMG_20220623_132028"/>
                    <pic:cNvPicPr>
                      <a:picLocks noChangeAspect="true"/>
                    </pic:cNvPicPr>
                  </pic:nvPicPr>
                  <pic:blipFill>
                    <a:blip r:embed="rId128"/>
                    <a:stretch>
                      <a:fillRect/>
                    </a:stretch>
                  </pic:blipFill>
                  <pic:spPr>
                    <a:xfrm>
                      <a:off x="0" y="0"/>
                      <a:ext cx="2405104" cy="1803975"/>
                    </a:xfrm>
                    <a:prstGeom prst="rect">
                      <a:avLst/>
                    </a:prstGeom>
                  </pic:spPr>
                </pic:pic>
              </a:graphicData>
            </a:graphic>
          </wp:inline>
        </w:drawing>
      </w:r>
      <w:r>
        <w:rPr>
          <w:rFonts w:eastAsia="仿宋_GB2312" w:cs="Times New Roman"/>
        </w:rPr>
        <w:drawing>
          <wp:inline distT="0" distB="0" distL="114300" distR="114300">
            <wp:extent cx="2374900" cy="1781175"/>
            <wp:effectExtent l="0" t="0" r="6350" b="9525"/>
            <wp:docPr id="196" name="图片 196" descr="IMG_20220623_1320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6" name="图片 196" descr="IMG_20220623_132042"/>
                    <pic:cNvPicPr>
                      <a:picLocks noChangeAspect="true"/>
                    </pic:cNvPicPr>
                  </pic:nvPicPr>
                  <pic:blipFill>
                    <a:blip r:embed="rId129"/>
                    <a:stretch>
                      <a:fillRect/>
                    </a:stretch>
                  </pic:blipFill>
                  <pic:spPr>
                    <a:xfrm>
                      <a:off x="0" y="0"/>
                      <a:ext cx="2384391" cy="1788440"/>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43</w:t>
      </w:r>
      <w:r>
        <w:rPr>
          <w:rFonts w:eastAsia="仿宋_GB2312" w:cs="Times New Roman"/>
        </w:rPr>
        <w:fldChar w:fldCharType="end"/>
      </w:r>
      <w:r>
        <w:rPr>
          <w:rFonts w:eastAsia="仿宋_GB2312" w:cs="Times New Roman"/>
        </w:rPr>
        <w:t>银泉广场充电站</w:t>
      </w:r>
    </w:p>
    <w:p>
      <w:pPr>
        <w:ind w:firstLine="560"/>
        <w:rPr>
          <w:rFonts w:eastAsia="仿宋_GB2312" w:cs="Times New Roman"/>
        </w:rPr>
      </w:pPr>
      <w:r>
        <w:rPr>
          <w:rFonts w:eastAsia="仿宋_GB2312" w:cs="Times New Roman"/>
        </w:rPr>
        <w:t>（34）房产交易大厦充电站，位于咸安区浮山办事处金桂路151号，新建4台120kW一机两枪直流充电桩。</w:t>
      </w:r>
    </w:p>
    <w:p>
      <w:pPr>
        <w:pStyle w:val="19"/>
        <w:rPr>
          <w:rFonts w:eastAsia="仿宋_GB2312" w:cs="Times New Roman"/>
        </w:rPr>
      </w:pPr>
      <w:r>
        <w:rPr>
          <w:rFonts w:eastAsia="仿宋_GB2312" w:cs="Times New Roman"/>
        </w:rPr>
        <w:drawing>
          <wp:inline distT="0" distB="0" distL="114300" distR="114300">
            <wp:extent cx="2339340" cy="1754505"/>
            <wp:effectExtent l="0" t="0" r="3810" b="0"/>
            <wp:docPr id="199" name="图片 199" descr="IMG_20220623_1412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9" name="图片 199" descr="IMG_20220623_141251"/>
                    <pic:cNvPicPr>
                      <a:picLocks noChangeAspect="true"/>
                    </pic:cNvPicPr>
                  </pic:nvPicPr>
                  <pic:blipFill>
                    <a:blip r:embed="rId130"/>
                    <a:stretch>
                      <a:fillRect/>
                    </a:stretch>
                  </pic:blipFill>
                  <pic:spPr>
                    <a:xfrm>
                      <a:off x="0" y="0"/>
                      <a:ext cx="2350546" cy="1763054"/>
                    </a:xfrm>
                    <a:prstGeom prst="rect">
                      <a:avLst/>
                    </a:prstGeom>
                  </pic:spPr>
                </pic:pic>
              </a:graphicData>
            </a:graphic>
          </wp:inline>
        </w:drawing>
      </w:r>
      <w:r>
        <w:rPr>
          <w:rFonts w:eastAsia="仿宋_GB2312" w:cs="Times New Roman"/>
        </w:rPr>
        <w:drawing>
          <wp:inline distT="0" distB="0" distL="114300" distR="114300">
            <wp:extent cx="2315210" cy="1736725"/>
            <wp:effectExtent l="0" t="0" r="8890" b="0"/>
            <wp:docPr id="200" name="图片 200" descr="IMG_20220623_1413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0" name="图片 200" descr="IMG_20220623_141329"/>
                    <pic:cNvPicPr>
                      <a:picLocks noChangeAspect="true"/>
                    </pic:cNvPicPr>
                  </pic:nvPicPr>
                  <pic:blipFill>
                    <a:blip r:embed="rId131"/>
                    <a:stretch>
                      <a:fillRect/>
                    </a:stretch>
                  </pic:blipFill>
                  <pic:spPr>
                    <a:xfrm>
                      <a:off x="0" y="0"/>
                      <a:ext cx="2333925" cy="1750587"/>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44</w:t>
      </w:r>
      <w:r>
        <w:rPr>
          <w:rFonts w:eastAsia="仿宋_GB2312" w:cs="Times New Roman"/>
        </w:rPr>
        <w:fldChar w:fldCharType="end"/>
      </w:r>
      <w:r>
        <w:rPr>
          <w:rFonts w:eastAsia="仿宋_GB2312" w:cs="Times New Roman"/>
        </w:rPr>
        <w:t>房产交易大厦充电站</w:t>
      </w:r>
    </w:p>
    <w:p>
      <w:pPr>
        <w:ind w:firstLine="560"/>
        <w:rPr>
          <w:rFonts w:eastAsia="仿宋_GB2312" w:cs="Times New Roman"/>
        </w:rPr>
      </w:pPr>
      <w:r>
        <w:rPr>
          <w:rFonts w:eastAsia="仿宋_GB2312" w:cs="Times New Roman"/>
        </w:rPr>
        <w:t>（35）中国联通有限公司咸宁分公司充电站，位于咸安区淦河大道8号，新建4台120kW一机两枪直流充电桩。</w:t>
      </w:r>
    </w:p>
    <w:p>
      <w:pPr>
        <w:pStyle w:val="19"/>
        <w:rPr>
          <w:rFonts w:eastAsia="仿宋_GB2312" w:cs="Times New Roman"/>
        </w:rPr>
      </w:pPr>
      <w:r>
        <w:rPr>
          <w:rFonts w:eastAsia="仿宋_GB2312" w:cs="Times New Roman"/>
        </w:rPr>
        <w:drawing>
          <wp:inline distT="0" distB="0" distL="114300" distR="114300">
            <wp:extent cx="2446020" cy="1834515"/>
            <wp:effectExtent l="0" t="0" r="0" b="0"/>
            <wp:docPr id="203" name="图片 203" descr="IMG_20220623_1501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3" name="图片 203" descr="IMG_20220623_150138"/>
                    <pic:cNvPicPr>
                      <a:picLocks noChangeAspect="true"/>
                    </pic:cNvPicPr>
                  </pic:nvPicPr>
                  <pic:blipFill>
                    <a:blip r:embed="rId132"/>
                    <a:stretch>
                      <a:fillRect/>
                    </a:stretch>
                  </pic:blipFill>
                  <pic:spPr>
                    <a:xfrm>
                      <a:off x="0" y="0"/>
                      <a:ext cx="2455079" cy="1841460"/>
                    </a:xfrm>
                    <a:prstGeom prst="rect">
                      <a:avLst/>
                    </a:prstGeom>
                  </pic:spPr>
                </pic:pic>
              </a:graphicData>
            </a:graphic>
          </wp:inline>
        </w:drawing>
      </w:r>
      <w:r>
        <w:rPr>
          <w:rFonts w:eastAsia="仿宋_GB2312" w:cs="Times New Roman"/>
        </w:rPr>
        <w:drawing>
          <wp:inline distT="0" distB="0" distL="114300" distR="114300">
            <wp:extent cx="2433955" cy="1824990"/>
            <wp:effectExtent l="0" t="0" r="4445" b="3810"/>
            <wp:docPr id="204" name="图片 204" descr="IMG_20220623_1501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4" name="图片 204" descr="IMG_20220623_150145"/>
                    <pic:cNvPicPr>
                      <a:picLocks noChangeAspect="true"/>
                    </pic:cNvPicPr>
                  </pic:nvPicPr>
                  <pic:blipFill>
                    <a:blip r:embed="rId133"/>
                    <a:stretch>
                      <a:fillRect/>
                    </a:stretch>
                  </pic:blipFill>
                  <pic:spPr>
                    <a:xfrm>
                      <a:off x="0" y="0"/>
                      <a:ext cx="2447789" cy="1835992"/>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45</w:t>
      </w:r>
      <w:r>
        <w:rPr>
          <w:rFonts w:eastAsia="仿宋_GB2312" w:cs="Times New Roman"/>
        </w:rPr>
        <w:fldChar w:fldCharType="end"/>
      </w:r>
      <w:r>
        <w:rPr>
          <w:rFonts w:eastAsia="仿宋_GB2312" w:cs="Times New Roman"/>
        </w:rPr>
        <w:t>中国联通有限公司咸宁分公司充电站</w:t>
      </w:r>
    </w:p>
    <w:p>
      <w:pPr>
        <w:ind w:firstLine="560"/>
        <w:rPr>
          <w:rFonts w:eastAsia="仿宋_GB2312" w:cs="Times New Roman"/>
        </w:rPr>
      </w:pPr>
      <w:r>
        <w:rPr>
          <w:rFonts w:eastAsia="仿宋_GB2312" w:cs="Times New Roman"/>
        </w:rPr>
        <w:t>（36）咸宁蓝海停车场充电站，位于咸安区淦河大道76号，新建10台120kW一机两枪直流充电桩。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207" name="图片 207" descr="165599364188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7" name="图片 207" descr="1655993641887"/>
                    <pic:cNvPicPr>
                      <a:picLocks noChangeAspect="true"/>
                    </pic:cNvPicPr>
                  </pic:nvPicPr>
                  <pic:blipFill>
                    <a:blip r:embed="rId134"/>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208" name="图片 208" descr="165599364189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8" name="图片 208" descr="1655993641899"/>
                    <pic:cNvPicPr>
                      <a:picLocks noChangeAspect="true"/>
                    </pic:cNvPicPr>
                  </pic:nvPicPr>
                  <pic:blipFill>
                    <a:blip r:embed="rId135"/>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46</w:t>
      </w:r>
      <w:r>
        <w:rPr>
          <w:rFonts w:eastAsia="仿宋_GB2312" w:cs="Times New Roman"/>
        </w:rPr>
        <w:fldChar w:fldCharType="end"/>
      </w:r>
      <w:r>
        <w:rPr>
          <w:rFonts w:eastAsia="仿宋_GB2312" w:cs="Times New Roman"/>
        </w:rPr>
        <w:t>咸宁蓝海停车场充电站</w:t>
      </w:r>
    </w:p>
    <w:p>
      <w:pPr>
        <w:ind w:firstLine="560"/>
        <w:rPr>
          <w:rFonts w:eastAsia="仿宋_GB2312" w:cs="Times New Roman"/>
        </w:rPr>
      </w:pPr>
      <w:r>
        <w:rPr>
          <w:rFonts w:eastAsia="仿宋_GB2312" w:cs="Times New Roman"/>
        </w:rPr>
        <w:t>（37）银泉大道生态停车场充电站，位于咸安区银泉大道519号咸宁市人民检察院斜对面停车场，新建6台120kW一机两枪直流充电桩。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211" name="图片 211" descr="IMG_20220624_0913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1" name="图片 211" descr="IMG_20220624_091357"/>
                    <pic:cNvPicPr>
                      <a:picLocks noChangeAspect="true"/>
                    </pic:cNvPicPr>
                  </pic:nvPicPr>
                  <pic:blipFill>
                    <a:blip r:embed="rId136"/>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212" name="图片 212" descr="IMG_20220624_0914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2" name="图片 212" descr="IMG_20220624_091432"/>
                    <pic:cNvPicPr>
                      <a:picLocks noChangeAspect="true"/>
                    </pic:cNvPicPr>
                  </pic:nvPicPr>
                  <pic:blipFill>
                    <a:blip r:embed="rId137"/>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47</w:t>
      </w:r>
      <w:r>
        <w:rPr>
          <w:rFonts w:eastAsia="仿宋_GB2312" w:cs="Times New Roman"/>
        </w:rPr>
        <w:fldChar w:fldCharType="end"/>
      </w:r>
      <w:r>
        <w:rPr>
          <w:rFonts w:eastAsia="仿宋_GB2312" w:cs="Times New Roman"/>
        </w:rPr>
        <w:t>银泉大道生态停车场充电站</w:t>
      </w:r>
    </w:p>
    <w:p>
      <w:pPr>
        <w:ind w:firstLine="560"/>
        <w:rPr>
          <w:rFonts w:eastAsia="仿宋_GB2312" w:cs="Times New Roman"/>
        </w:rPr>
      </w:pPr>
      <w:r>
        <w:rPr>
          <w:rFonts w:eastAsia="仿宋_GB2312" w:cs="Times New Roman"/>
        </w:rPr>
        <w:t>（38）杨下停车场充电站，位于咸安区贺胜路杨下停车场，新建4台120kW一机两枪直流充电桩。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213" name="图片 213" descr="IMG_20220624_0952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3" name="图片 213" descr="IMG_20220624_095248"/>
                    <pic:cNvPicPr>
                      <a:picLocks noChangeAspect="true"/>
                    </pic:cNvPicPr>
                  </pic:nvPicPr>
                  <pic:blipFill>
                    <a:blip r:embed="rId138"/>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214" name="图片 214" descr="IMG_20220624_0953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4" name="图片 214" descr="IMG_20220624_095320"/>
                    <pic:cNvPicPr>
                      <a:picLocks noChangeAspect="true"/>
                    </pic:cNvPicPr>
                  </pic:nvPicPr>
                  <pic:blipFill>
                    <a:blip r:embed="rId139"/>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48</w:t>
      </w:r>
      <w:r>
        <w:rPr>
          <w:rFonts w:eastAsia="仿宋_GB2312" w:cs="Times New Roman"/>
        </w:rPr>
        <w:fldChar w:fldCharType="end"/>
      </w:r>
      <w:r>
        <w:rPr>
          <w:rFonts w:eastAsia="仿宋_GB2312" w:cs="Times New Roman"/>
        </w:rPr>
        <w:t>杨下停车场充电站</w:t>
      </w:r>
    </w:p>
    <w:p>
      <w:pPr>
        <w:ind w:firstLine="560"/>
        <w:rPr>
          <w:rFonts w:eastAsia="仿宋_GB2312" w:cs="Times New Roman"/>
        </w:rPr>
      </w:pPr>
      <w:r>
        <w:rPr>
          <w:rFonts w:eastAsia="仿宋_GB2312" w:cs="Times New Roman"/>
        </w:rPr>
        <w:t>（39）咸宁市体育中心充电站，位于咸安区咸宁大道29号，新建4台120kW一机两枪直流充电桩。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217" name="图片 217" descr="IMG_20220624_1025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7" name="图片 217" descr="IMG_20220624_102510"/>
                    <pic:cNvPicPr>
                      <a:picLocks noChangeAspect="true"/>
                    </pic:cNvPicPr>
                  </pic:nvPicPr>
                  <pic:blipFill>
                    <a:blip r:embed="rId140"/>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218" name="图片 218" descr="IMG_20220624_1025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8" name="图片 218" descr="IMG_20220624_102532"/>
                    <pic:cNvPicPr>
                      <a:picLocks noChangeAspect="true"/>
                    </pic:cNvPicPr>
                  </pic:nvPicPr>
                  <pic:blipFill>
                    <a:blip r:embed="rId141"/>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49</w:t>
      </w:r>
      <w:r>
        <w:rPr>
          <w:rFonts w:eastAsia="仿宋_GB2312" w:cs="Times New Roman"/>
        </w:rPr>
        <w:fldChar w:fldCharType="end"/>
      </w:r>
      <w:r>
        <w:rPr>
          <w:rFonts w:eastAsia="仿宋_GB2312" w:cs="Times New Roman"/>
        </w:rPr>
        <w:t>咸宁市体育中心充电站</w:t>
      </w:r>
    </w:p>
    <w:p>
      <w:pPr>
        <w:ind w:firstLine="560"/>
        <w:rPr>
          <w:rFonts w:eastAsia="仿宋_GB2312" w:cs="Times New Roman"/>
        </w:rPr>
      </w:pPr>
      <w:r>
        <w:rPr>
          <w:rFonts w:eastAsia="仿宋_GB2312" w:cs="Times New Roman"/>
        </w:rPr>
        <w:t>（40）金叶体育馆充电站，位于咸安区马桥镇马柏大道25号，新建4台120kW一机两枪直流充电桩。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221" name="图片 221" descr="IMG_20220624_1055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1" name="图片 221" descr="IMG_20220624_105554"/>
                    <pic:cNvPicPr>
                      <a:picLocks noChangeAspect="true"/>
                    </pic:cNvPicPr>
                  </pic:nvPicPr>
                  <pic:blipFill>
                    <a:blip r:embed="rId142"/>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222" name="图片 222" descr="IMG_20220624_1056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2" name="图片 222" descr="IMG_20220624_105616"/>
                    <pic:cNvPicPr>
                      <a:picLocks noChangeAspect="true"/>
                    </pic:cNvPicPr>
                  </pic:nvPicPr>
                  <pic:blipFill>
                    <a:blip r:embed="rId143"/>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50</w:t>
      </w:r>
      <w:r>
        <w:rPr>
          <w:rFonts w:eastAsia="仿宋_GB2312" w:cs="Times New Roman"/>
        </w:rPr>
        <w:fldChar w:fldCharType="end"/>
      </w:r>
      <w:r>
        <w:rPr>
          <w:rFonts w:eastAsia="仿宋_GB2312" w:cs="Times New Roman"/>
        </w:rPr>
        <w:t>金叶体育馆充电站</w:t>
      </w:r>
    </w:p>
    <w:p>
      <w:pPr>
        <w:ind w:firstLine="560"/>
        <w:rPr>
          <w:rFonts w:eastAsia="仿宋_GB2312" w:cs="Times New Roman"/>
        </w:rPr>
      </w:pPr>
      <w:r>
        <w:rPr>
          <w:rFonts w:eastAsia="仿宋_GB2312" w:cs="Times New Roman"/>
        </w:rPr>
        <w:t>（41）三毛烧烤美食广场停车场充电站，位于咸安区滨河东路三毛烧烤停车场，新建4台120kW一机两枪直流充电桩。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224" name="图片 224" descr="IMG_20220624_1143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4" name="图片 224" descr="IMG_20220624_114332"/>
                    <pic:cNvPicPr>
                      <a:picLocks noChangeAspect="true"/>
                    </pic:cNvPicPr>
                  </pic:nvPicPr>
                  <pic:blipFill>
                    <a:blip r:embed="rId144"/>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227" name="图片 227" descr="IMG_20220624_1144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7" name="图片 227" descr="IMG_20220624_114414"/>
                    <pic:cNvPicPr>
                      <a:picLocks noChangeAspect="true"/>
                    </pic:cNvPicPr>
                  </pic:nvPicPr>
                  <pic:blipFill>
                    <a:blip r:embed="rId145"/>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51</w:t>
      </w:r>
      <w:r>
        <w:rPr>
          <w:rFonts w:eastAsia="仿宋_GB2312" w:cs="Times New Roman"/>
        </w:rPr>
        <w:fldChar w:fldCharType="end"/>
      </w:r>
      <w:r>
        <w:rPr>
          <w:rFonts w:eastAsia="仿宋_GB2312" w:cs="Times New Roman"/>
        </w:rPr>
        <w:t>三毛烧烤美食广场停车场充电站</w:t>
      </w:r>
    </w:p>
    <w:p>
      <w:pPr>
        <w:ind w:firstLine="560"/>
        <w:rPr>
          <w:rFonts w:eastAsia="仿宋_GB2312" w:cs="Times New Roman"/>
        </w:rPr>
      </w:pPr>
      <w:r>
        <w:rPr>
          <w:rFonts w:eastAsia="仿宋_GB2312" w:cs="Times New Roman"/>
        </w:rPr>
        <w:t>（42）咸安区汀泗桥镇公共充电站，位于咸安区汀泗桥镇，新建4台120kW一机两枪直流充电桩。</w:t>
      </w:r>
    </w:p>
    <w:p>
      <w:pPr>
        <w:ind w:firstLine="560"/>
        <w:rPr>
          <w:rFonts w:eastAsia="仿宋_GB2312" w:cs="Times New Roman"/>
        </w:rPr>
      </w:pPr>
      <w:r>
        <w:rPr>
          <w:rFonts w:eastAsia="仿宋_GB2312" w:cs="Times New Roman"/>
        </w:rPr>
        <w:t>（43）咸安区向阳湖镇公共充电站，位于咸安区向阳湖镇，新建4台120kW一机两枪直流充电桩。</w:t>
      </w:r>
    </w:p>
    <w:p>
      <w:pPr>
        <w:ind w:firstLine="560"/>
        <w:rPr>
          <w:rFonts w:eastAsia="仿宋_GB2312" w:cs="Times New Roman"/>
        </w:rPr>
      </w:pPr>
      <w:r>
        <w:rPr>
          <w:rFonts w:eastAsia="仿宋_GB2312" w:cs="Times New Roman"/>
        </w:rPr>
        <w:t>（44）咸安区官埠桥镇公共充电站，位于咸安区官埠桥镇，新建4台120kW一机两枪直流充电桩。</w:t>
      </w:r>
    </w:p>
    <w:p>
      <w:pPr>
        <w:ind w:firstLine="560"/>
        <w:rPr>
          <w:rFonts w:eastAsia="仿宋_GB2312" w:cs="Times New Roman"/>
        </w:rPr>
      </w:pPr>
      <w:r>
        <w:rPr>
          <w:rFonts w:eastAsia="仿宋_GB2312" w:cs="Times New Roman"/>
        </w:rPr>
        <w:t>（45）咸安区横沟桥镇公共充电站，位于咸安区横沟桥镇，新建4台120kW一机两枪直流充电桩。</w:t>
      </w:r>
    </w:p>
    <w:p>
      <w:pPr>
        <w:ind w:firstLine="560"/>
        <w:rPr>
          <w:rFonts w:eastAsia="仿宋_GB2312" w:cs="Times New Roman"/>
        </w:rPr>
      </w:pPr>
      <w:r>
        <w:rPr>
          <w:rFonts w:eastAsia="仿宋_GB2312" w:cs="Times New Roman"/>
        </w:rPr>
        <w:t>（46）咸安区双溪桥镇公共充电站，位于咸安区双溪桥镇，新建4台120kW一机两枪直流充电桩。</w:t>
      </w:r>
    </w:p>
    <w:p>
      <w:pPr>
        <w:ind w:firstLine="560"/>
        <w:rPr>
          <w:rFonts w:eastAsia="仿宋_GB2312" w:cs="Times New Roman"/>
        </w:rPr>
      </w:pPr>
      <w:r>
        <w:rPr>
          <w:rFonts w:eastAsia="仿宋_GB2312" w:cs="Times New Roman"/>
        </w:rPr>
        <w:t>（47）咸安区马桥镇公共充电站，位于咸安区马桥镇，新建4台120kW一机两枪直流充电桩。</w:t>
      </w:r>
    </w:p>
    <w:p>
      <w:pPr>
        <w:ind w:firstLine="560"/>
        <w:rPr>
          <w:rFonts w:eastAsia="仿宋_GB2312" w:cs="Times New Roman"/>
        </w:rPr>
      </w:pPr>
      <w:r>
        <w:rPr>
          <w:rFonts w:eastAsia="仿宋_GB2312" w:cs="Times New Roman"/>
        </w:rPr>
        <w:t>（48）咸安区桂花镇公共充电站，位于咸安区桂花镇，新建4台120kW一机两枪直流充电桩。</w:t>
      </w:r>
    </w:p>
    <w:p>
      <w:pPr>
        <w:ind w:firstLine="560"/>
        <w:rPr>
          <w:rFonts w:eastAsia="仿宋_GB2312" w:cs="Times New Roman"/>
        </w:rPr>
      </w:pPr>
      <w:r>
        <w:rPr>
          <w:rFonts w:eastAsia="仿宋_GB2312" w:cs="Times New Roman"/>
        </w:rPr>
        <w:t>（49）咸安区高桥镇公共充电站，位于咸安区高桥镇，新建4台120kW一机两枪直流充电桩。</w:t>
      </w:r>
    </w:p>
    <w:p>
      <w:pPr>
        <w:ind w:firstLine="560"/>
        <w:rPr>
          <w:rFonts w:eastAsia="仿宋_GB2312" w:cs="Times New Roman"/>
        </w:rPr>
      </w:pPr>
      <w:r>
        <w:rPr>
          <w:rFonts w:eastAsia="仿宋_GB2312" w:cs="Times New Roman"/>
        </w:rPr>
        <w:t>（50）咸安区大幕乡公共充电站，位于咸安区大幕乡，新建4台120kW一机两枪直流充电桩。</w:t>
      </w:r>
    </w:p>
    <w:p>
      <w:pPr>
        <w:ind w:firstLine="560"/>
        <w:rPr>
          <w:rFonts w:eastAsia="仿宋_GB2312" w:cs="Times New Roman"/>
        </w:rPr>
      </w:pPr>
      <w:r>
        <w:rPr>
          <w:rFonts w:eastAsia="仿宋_GB2312" w:cs="Times New Roman"/>
        </w:rPr>
        <w:t>（51）小码洗车华辰广场车充电站，位于咸安区财贸新都汇对面停车场对面，新建2台120kW一机两枪直流充电桩。</w:t>
      </w:r>
    </w:p>
    <w:p>
      <w:pPr>
        <w:ind w:firstLine="560"/>
        <w:rPr>
          <w:rFonts w:eastAsia="仿宋_GB2312" w:cs="Times New Roman"/>
        </w:rPr>
      </w:pPr>
      <w:r>
        <w:rPr>
          <w:rFonts w:eastAsia="仿宋_GB2312" w:cs="Times New Roman"/>
        </w:rPr>
        <w:t>（52）咸宁市梓山湖人民医院充电站，位于梓山湖人民医院停车场，新建4台120kW一机两枪直流充电桩。</w:t>
      </w:r>
    </w:p>
    <w:p>
      <w:pPr>
        <w:ind w:firstLine="560"/>
        <w:rPr>
          <w:rFonts w:eastAsia="仿宋_GB2312" w:cs="Times New Roman"/>
        </w:rPr>
      </w:pPr>
      <w:r>
        <w:rPr>
          <w:rFonts w:eastAsia="仿宋_GB2312" w:cs="Times New Roman"/>
        </w:rPr>
        <w:t>（53）咸宁市梓山湖蜜月湾玫瑰园充电站，位于蜜月湾玫瑰园停车场，新建10台120kW一机两枪直流充电桩。</w:t>
      </w:r>
    </w:p>
    <w:p>
      <w:pPr>
        <w:ind w:firstLine="560"/>
        <w:rPr>
          <w:rFonts w:eastAsia="仿宋_GB2312" w:cs="Times New Roman"/>
        </w:rPr>
      </w:pPr>
      <w:r>
        <w:rPr>
          <w:rFonts w:eastAsia="仿宋_GB2312" w:cs="Times New Roman"/>
        </w:rPr>
        <w:t>（54）咸宁市通圣太乙温泉充电站，位于咸安区浮山办事处太乙村八组，新建4台120kW一机两枪直流充电桩。</w:t>
      </w:r>
    </w:p>
    <w:p>
      <w:pPr>
        <w:ind w:firstLine="560"/>
        <w:rPr>
          <w:rFonts w:eastAsia="仿宋_GB2312" w:cs="Times New Roman"/>
        </w:rPr>
      </w:pPr>
      <w:r>
        <w:rPr>
          <w:rFonts w:eastAsia="仿宋_GB2312" w:cs="Times New Roman"/>
        </w:rPr>
        <w:t>（55）三咸宁市楚天瑶池温泉度假村充电站，位于咸安区温泉路3号，新建4台120kW一机两枪直流充电桩。</w:t>
      </w:r>
    </w:p>
    <w:p>
      <w:pPr>
        <w:ind w:firstLine="560"/>
        <w:rPr>
          <w:rFonts w:eastAsia="仿宋_GB2312" w:cs="Times New Roman"/>
        </w:rPr>
      </w:pPr>
      <w:r>
        <w:rPr>
          <w:rFonts w:eastAsia="仿宋_GB2312" w:cs="Times New Roman"/>
        </w:rPr>
        <w:t>（56）咸宁市温泉谷度假区充电站，位于咸安区月亮湾特1号(潜山森林公园旁)，新建10台120kW一机两枪直流充电桩。</w:t>
      </w:r>
    </w:p>
    <w:p>
      <w:pPr>
        <w:ind w:firstLine="560"/>
        <w:rPr>
          <w:rFonts w:eastAsia="仿宋_GB2312" w:cs="Times New Roman"/>
        </w:rPr>
      </w:pPr>
      <w:r>
        <w:rPr>
          <w:rFonts w:eastAsia="仿宋_GB2312" w:cs="Times New Roman"/>
        </w:rPr>
        <w:t>（57）黄鹤楼森林美酒小镇充电站，位于咸安区金桂道259号，新建8台120kW一机两枪直流充电桩。</w:t>
      </w:r>
    </w:p>
    <w:p>
      <w:pPr>
        <w:ind w:firstLine="560"/>
        <w:rPr>
          <w:rFonts w:eastAsia="仿宋_GB2312" w:cs="Times New Roman"/>
        </w:rPr>
      </w:pPr>
      <w:r>
        <w:rPr>
          <w:rFonts w:eastAsia="仿宋_GB2312" w:cs="Times New Roman"/>
        </w:rPr>
        <w:t>（58）咸宁中心医院充电站，位于咸宁中心医院，新建4台120kW一机两枪直流充电桩。</w:t>
      </w:r>
    </w:p>
    <w:p>
      <w:pPr>
        <w:ind w:firstLine="560"/>
        <w:rPr>
          <w:rFonts w:eastAsia="仿宋_GB2312" w:cs="Times New Roman"/>
        </w:rPr>
      </w:pPr>
      <w:r>
        <w:rPr>
          <w:rFonts w:eastAsia="仿宋_GB2312" w:cs="Times New Roman"/>
        </w:rPr>
        <w:t>（59）高新区管委会充电站，位于高新区管委会，新建4台120kW一机两枪直流充电桩。</w:t>
      </w:r>
    </w:p>
    <w:p>
      <w:pPr>
        <w:ind w:firstLine="560"/>
        <w:rPr>
          <w:rFonts w:eastAsia="仿宋_GB2312" w:cs="Times New Roman"/>
        </w:rPr>
      </w:pPr>
      <w:r>
        <w:rPr>
          <w:rFonts w:eastAsia="仿宋_GB2312" w:cs="Times New Roman"/>
        </w:rPr>
        <w:t>（60）湖北科技学院充电站，位于湖北科技学院，新建4台120kW一机两枪直流充电桩。</w:t>
      </w:r>
    </w:p>
    <w:p>
      <w:pPr>
        <w:ind w:firstLine="560"/>
        <w:rPr>
          <w:rFonts w:eastAsia="仿宋_GB2312" w:cs="Times New Roman"/>
        </w:rPr>
      </w:pPr>
      <w:r>
        <w:rPr>
          <w:rFonts w:eastAsia="仿宋_GB2312" w:cs="Times New Roman"/>
        </w:rPr>
        <w:t>（61）咸宁职业技术学院充电站，位于咸宁职业技术学院，新建4台120kW一机两枪直流充电桩。</w:t>
      </w:r>
    </w:p>
    <w:p>
      <w:pPr>
        <w:ind w:firstLine="560"/>
        <w:rPr>
          <w:rFonts w:eastAsia="仿宋_GB2312" w:cs="Times New Roman"/>
        </w:rPr>
      </w:pPr>
      <w:r>
        <w:rPr>
          <w:rFonts w:eastAsia="仿宋_GB2312" w:cs="Times New Roman"/>
        </w:rPr>
        <w:t>（62）中百仓储咸宁购物广场充电站，位于温泉路70号附近，新建4台120kW一机两枪直流充电桩。</w:t>
      </w:r>
    </w:p>
    <w:p>
      <w:pPr>
        <w:pStyle w:val="19"/>
        <w:ind w:firstLine="560"/>
        <w:rPr>
          <w:rFonts w:eastAsia="仿宋_GB2312" w:cs="Times New Roman"/>
        </w:rPr>
      </w:pPr>
      <w:bookmarkStart w:id="179" w:name="_Ref31177"/>
      <w:r>
        <w:rPr>
          <w:rFonts w:eastAsia="仿宋_GB2312" w:cs="Times New Roman"/>
        </w:rPr>
        <w:t xml:space="preserve">                         </w:t>
      </w:r>
      <w:bookmarkStart w:id="180" w:name="_Ref115443745"/>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7</w:t>
      </w:r>
      <w:r>
        <w:rPr>
          <w:rFonts w:eastAsia="仿宋_GB2312" w:cs="Times New Roman"/>
        </w:rPr>
        <w:fldChar w:fldCharType="end"/>
      </w:r>
      <w:bookmarkEnd w:id="179"/>
      <w:bookmarkEnd w:id="180"/>
      <w:r>
        <w:rPr>
          <w:rFonts w:eastAsia="仿宋_GB2312" w:cs="Times New Roman"/>
        </w:rPr>
        <w:t xml:space="preserve"> 咸安区城市公共充电站布局规划表    单位：个、平米、年</w:t>
      </w:r>
    </w:p>
    <w:tbl>
      <w:tblPr>
        <w:tblStyle w:val="7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2"/>
        <w:gridCol w:w="2211"/>
        <w:gridCol w:w="2746"/>
        <w:gridCol w:w="660"/>
        <w:gridCol w:w="767"/>
        <w:gridCol w:w="692"/>
        <w:gridCol w:w="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blHeader/>
        </w:trPr>
        <w:tc>
          <w:tcPr>
            <w:tcW w:w="37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序号</w:t>
            </w:r>
          </w:p>
        </w:tc>
        <w:tc>
          <w:tcPr>
            <w:tcW w:w="129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名称</w:t>
            </w:r>
          </w:p>
        </w:tc>
        <w:tc>
          <w:tcPr>
            <w:tcW w:w="161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地理位置</w:t>
            </w:r>
          </w:p>
        </w:tc>
        <w:tc>
          <w:tcPr>
            <w:tcW w:w="38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实施类型</w:t>
            </w:r>
          </w:p>
        </w:tc>
        <w:tc>
          <w:tcPr>
            <w:tcW w:w="450"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充电桩数</w:t>
            </w:r>
          </w:p>
        </w:tc>
        <w:tc>
          <w:tcPr>
            <w:tcW w:w="40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预留面积</w:t>
            </w:r>
          </w:p>
        </w:tc>
        <w:tc>
          <w:tcPr>
            <w:tcW w:w="47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规划实施年份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咸宁市政务服务中心充电站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咸安区金桂路咸宁经济开发区孵化园</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咸宁义乌国际商贸城充电站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咸安区咸安大道(五洲商贸城旁)</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咸宁市交通路停车场充电站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咸安区交通路与佳地园巷交叉口北40米</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咸宁市新世纪广场停车场充电站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咸安区龙茶巷与为民巷交叉口西100米</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潜山国家森林公园停车场充电站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咸安区月亮湾路11号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三江温泉度假区停车场充电站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三江森林温泉度假区停车场</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温泉国际酒店停车场充电站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咸安区南昌路1号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湖北科技学院附属第二医院停车场充电站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咸安区茶花路与桂花路交叉口东北20米</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咸宁市香城古街停车场充电站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咸安区马柏大道与良才路交叉口东120米</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咸安区市场监督管</w:t>
            </w:r>
            <w:r>
              <w:rPr>
                <w:rFonts w:hint="eastAsia" w:eastAsia="仿宋_GB2312" w:cs="Times New Roman"/>
                <w:color w:val="000000"/>
                <w:kern w:val="0"/>
                <w:sz w:val="21"/>
                <w:szCs w:val="21"/>
                <w:lang w:eastAsia="zh-CN"/>
              </w:rPr>
              <w:t>理</w:t>
            </w:r>
            <w:r>
              <w:rPr>
                <w:rFonts w:eastAsia="仿宋_GB2312" w:cs="Times New Roman"/>
                <w:color w:val="000000"/>
                <w:kern w:val="0"/>
                <w:sz w:val="21"/>
                <w:szCs w:val="21"/>
              </w:rPr>
              <w:t>局停车场充电站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咸安区长安大道109号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咸宁绿洲湾停车场充电站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咸安区银泉大道38号附近</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咸宁火车站充电站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咸安区怀德路209号咸宁站停车场</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道路交通安全协会宝塔工作组充电站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咸安区咸安大道吉祥小区东南侧约200米</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14</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碧桂园文化广场充电站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咸安区碧桂路咸宁碧桂园东南侧约50米</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咸宁家宴新天丽大酒店充电站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咸安区长安大道家宴·新天丽大酒店东北侧约30米</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咸宁山水一品充电站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咸安区嫦娥大道597号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17</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咸宁兴安酒店充电站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宁市咸安区书台街与咸安大道交叉口东南280米兴安酒店停车场</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18</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咸宁东林天府充电站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咸安区官埠桥镇107国道东东林天府停车场</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咸宁麻塘风湿医院充电站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咸安区桂乡大道2附近</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国网咸宁检修公司充电站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咸安区国家电网咸宁检修公司(旗鼓大道东)</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21</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咸宁众创空间充电站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咸安区贺胜路与栗林路交叉口南540米</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咸宁市香吾山停车场充电站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咸安区温泉第一街旁边肯德基对面</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23</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咸宁万达广场充电站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咸安区长安大道特188号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24</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咸宁光谷广场充电站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咸安区温泉路37号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嫦娥广场充电站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咸安区永安大道16号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亿丰农商贸批发大市场充电站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亿丰农商贸批发大市场斜对面</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400</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城隍庙购物广场充电站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城隍庙购物广场附近停车场</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28</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咸安大酒店充电站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咸安区双峰路与车站路交叉口</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29</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永安街道办事处充电站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永安街道办事处</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文笔路社区居委会充电站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咸安区永安办事处文笔大道238号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31</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咸宁市第二人民医院充电站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咸安区金桂路</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32</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咸宁市公安局交通警察支队充电站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咸安区贺胜路与金桂路交叉口东北200米</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33</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银泉广场充电站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咸安区金桂路与银泉大道交叉口东北角</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34</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房产交易大厦充电站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咸安区浮山办事处金桂路151号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35</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中国联通有限公司咸宁分公司充电站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咸安区淦河大道8号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36</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咸宁蓝海停车场充电站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咸安区淦河大道76号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37</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银泉大道生态停车场充电站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咸安区银泉大道519号咸宁市人民检察院斜对面停车场</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33.6</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38</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杨下停车场充电站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咸安区贺胜路杨下停车场</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39</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咸宁市体育中心充电站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咸安区咸宁大道29号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金叶体育馆充电站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咸安区马桥镇马柏大道25号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41</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三毛烧烤美食广场停车场充电站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咸安区滨河东路三毛烧烤停车场</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42</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咸安区汀泗桥镇公共充电站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咸安区汀泗桥镇</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43</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咸安区向阳湖镇公共充电站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咸安区向阳湖镇</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44</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咸安区官埠桥镇公共充电站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咸安区官埠桥镇</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45</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咸安区横沟桥镇公共充电站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咸安区横沟桥镇</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46</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咸安区双溪桥镇公共充电站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咸安区双溪桥镇</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47</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咸安区马桥镇公共充电站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咸安区马桥镇</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咸安区桂花镇公共充电站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咸安区桂花镇</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49</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咸安区高桥镇公共充电站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咸安区高桥镇</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50</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咸安区大幕乡公共充电站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咸安区大幕乡</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51</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小码洗车华辰广场车充电站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咸安区财贸新都汇对面停车场对面</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19.2</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52</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咸宁市梓山湖人民医院充电站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梓山湖人民医院停车场</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53</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咸宁市梓山湖蜜月湾玫瑰园充电站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蜜月湾玫瑰园停车场</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54</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咸宁市通圣太乙温泉充电站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咸安区浮山办事处太乙村八组</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55</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咸宁市楚天瑶池温泉度假村充电站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咸安区温泉路3号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56</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咸宁市温泉谷度假区充电站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咸安区月亮湾特1号(潜山森林公园旁)</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57</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黄鹤楼森林美酒小镇充电站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咸安区金桂道259号</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40.8</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58</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咸宁中心医院充电站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咸宁中心医院</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59</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高新区管委会充电站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高新区管委会</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60</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湖北科技学院充电站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湖北科技学院</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61</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咸宁职业技术学院充电站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咸宁职业技术学院</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62</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中百仓储咸宁购物广场充电站</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温泉路70号附近</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汇总</w:t>
            </w:r>
          </w:p>
        </w:tc>
        <w:tc>
          <w:tcPr>
            <w:tcW w:w="12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161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3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5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608</w:t>
            </w:r>
          </w:p>
        </w:tc>
        <w:tc>
          <w:tcPr>
            <w:tcW w:w="4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7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909060"/>
            <wp:effectExtent l="0" t="0" r="2540" b="0"/>
            <wp:docPr id="7218" name="图片 72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18" name="图片 7218"/>
                    <pic:cNvPicPr>
                      <a:picLocks noChangeAspect="true"/>
                    </pic:cNvPicPr>
                  </pic:nvPicPr>
                  <pic:blipFill>
                    <a:blip r:embed="rId146"/>
                    <a:stretch>
                      <a:fillRect/>
                    </a:stretch>
                  </pic:blipFill>
                  <pic:spPr>
                    <a:xfrm>
                      <a:off x="0" y="0"/>
                      <a:ext cx="5274310" cy="3909060"/>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52</w:t>
      </w:r>
      <w:r>
        <w:rPr>
          <w:rFonts w:eastAsia="仿宋_GB2312" w:cs="Times New Roman"/>
        </w:rPr>
        <w:fldChar w:fldCharType="end"/>
      </w:r>
      <w:r>
        <w:rPr>
          <w:rFonts w:eastAsia="仿宋_GB2312" w:cs="Times New Roman"/>
        </w:rPr>
        <w:t>咸安区城市公共充电站布点图</w:t>
      </w:r>
    </w:p>
    <w:p>
      <w:pPr>
        <w:ind w:firstLine="562"/>
        <w:rPr>
          <w:rFonts w:eastAsia="仿宋_GB2312" w:cs="Times New Roman"/>
          <w:b/>
          <w:bCs/>
        </w:rPr>
      </w:pPr>
      <w:r>
        <w:rPr>
          <w:rFonts w:eastAsia="仿宋_GB2312" w:cs="Times New Roman"/>
          <w:b/>
          <w:bCs/>
        </w:rPr>
        <w:t>2.小区公共充电设施</w:t>
      </w:r>
    </w:p>
    <w:p>
      <w:pPr>
        <w:ind w:firstLine="560"/>
        <w:rPr>
          <w:rFonts w:eastAsia="仿宋_GB2312" w:cs="Times New Roman"/>
        </w:rPr>
      </w:pPr>
      <w:r>
        <w:rPr>
          <w:rFonts w:eastAsia="仿宋_GB2312" w:cs="Times New Roman"/>
          <w:szCs w:val="21"/>
        </w:rPr>
        <w:t>至2025年，咸安区新建小区内部公共充电桩427个。咸安区小区公共充电桩规划如</w:t>
      </w:r>
      <w:r>
        <w:rPr>
          <w:rFonts w:eastAsia="仿宋_GB2312" w:cs="Times New Roman"/>
          <w:szCs w:val="21"/>
        </w:rPr>
        <w:fldChar w:fldCharType="begin"/>
      </w:r>
      <w:r>
        <w:rPr>
          <w:rFonts w:eastAsia="仿宋_GB2312" w:cs="Times New Roman"/>
          <w:szCs w:val="21"/>
        </w:rPr>
        <w:instrText xml:space="preserve"> REF _Ref112158172 \h  \* MERGEFORMAT </w:instrText>
      </w:r>
      <w:r>
        <w:rPr>
          <w:rFonts w:eastAsia="仿宋_GB2312" w:cs="Times New Roman"/>
          <w:szCs w:val="21"/>
        </w:rPr>
        <w:fldChar w:fldCharType="separate"/>
      </w:r>
      <w:r>
        <w:rPr>
          <w:rFonts w:eastAsia="仿宋_GB2312" w:cs="Times New Roman"/>
        </w:rPr>
        <w:t>表 4</w:t>
      </w:r>
      <w:r>
        <w:rPr>
          <w:rFonts w:eastAsia="仿宋_GB2312" w:cs="Times New Roman"/>
        </w:rPr>
        <w:noBreakHyphen/>
      </w:r>
      <w:r>
        <w:rPr>
          <w:rFonts w:eastAsia="仿宋_GB2312" w:cs="Times New Roman"/>
        </w:rPr>
        <w:t>8</w:t>
      </w:r>
      <w:r>
        <w:rPr>
          <w:rFonts w:eastAsia="仿宋_GB2312" w:cs="Times New Roman"/>
          <w:szCs w:val="21"/>
        </w:rPr>
        <w:fldChar w:fldCharType="end"/>
      </w:r>
      <w:r>
        <w:rPr>
          <w:rFonts w:eastAsia="仿宋_GB2312" w:cs="Times New Roman"/>
          <w:szCs w:val="21"/>
        </w:rPr>
        <w:t>所示。</w:t>
      </w:r>
    </w:p>
    <w:p>
      <w:pPr>
        <w:pStyle w:val="19"/>
        <w:ind w:left="1600" w:hanging="480"/>
        <w:rPr>
          <w:rFonts w:eastAsia="仿宋_GB2312" w:cs="Times New Roman"/>
        </w:rPr>
      </w:pPr>
      <w:bookmarkStart w:id="181" w:name="_Ref112158172"/>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8</w:t>
      </w:r>
      <w:r>
        <w:rPr>
          <w:rFonts w:eastAsia="仿宋_GB2312" w:cs="Times New Roman"/>
        </w:rPr>
        <w:fldChar w:fldCharType="end"/>
      </w:r>
      <w:bookmarkEnd w:id="181"/>
      <w:r>
        <w:rPr>
          <w:rFonts w:eastAsia="仿宋_GB2312" w:cs="Times New Roman"/>
          <w:szCs w:val="21"/>
        </w:rPr>
        <w:t>咸安区</w:t>
      </w:r>
      <w:r>
        <w:rPr>
          <w:rFonts w:eastAsia="仿宋_GB2312" w:cs="Times New Roman"/>
        </w:rPr>
        <w:t>私人充电桩规划统计表</w:t>
      </w:r>
    </w:p>
    <w:tbl>
      <w:tblPr>
        <w:tblStyle w:val="76"/>
        <w:tblpPr w:leftFromText="180" w:rightFromText="180" w:vertAnchor="text" w:horzAnchor="margin" w:tblpY="21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67"/>
        <w:gridCol w:w="1208"/>
        <w:gridCol w:w="1209"/>
        <w:gridCol w:w="1209"/>
        <w:gridCol w:w="1209"/>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trPr>
        <w:tc>
          <w:tcPr>
            <w:tcW w:w="136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2022</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2023</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2024</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2025</w:t>
            </w:r>
          </w:p>
        </w:tc>
        <w:tc>
          <w:tcPr>
            <w:tcW w:w="727" w:type="pct"/>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十四五汇总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36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hint="eastAsia" w:eastAsia="仿宋_GB2312" w:cs="Times New Roman"/>
                <w:color w:val="000000"/>
                <w:kern w:val="0"/>
                <w:sz w:val="21"/>
              </w:rPr>
              <w:t>小区公用充电桩</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71</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94</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116</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146</w:t>
            </w:r>
          </w:p>
        </w:tc>
        <w:tc>
          <w:tcPr>
            <w:tcW w:w="727" w:type="pct"/>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427</w:t>
            </w:r>
          </w:p>
        </w:tc>
      </w:tr>
    </w:tbl>
    <w:p>
      <w:pPr>
        <w:ind w:firstLine="560"/>
      </w:pPr>
      <w:r>
        <w:rPr>
          <w:rFonts w:hint="eastAsia" w:eastAsia="仿宋_GB2312" w:cs="Times New Roman"/>
        </w:rPr>
        <w:t>此外</w:t>
      </w:r>
      <w:r>
        <w:rPr>
          <w:rFonts w:eastAsia="仿宋_GB2312" w:cs="Times New Roman"/>
        </w:rPr>
        <w:t>，咸宁市老旧小区规划涉及222个小区或社区，</w:t>
      </w:r>
      <w:r>
        <w:rPr>
          <w:rFonts w:hint="eastAsia" w:eastAsia="仿宋_GB2312" w:cs="Times New Roman"/>
        </w:rPr>
        <w:t>公共桩需求为359个。</w:t>
      </w:r>
      <w:r>
        <w:rPr>
          <w:rFonts w:eastAsia="仿宋_GB2312" w:cs="Times New Roman"/>
        </w:rPr>
        <w:t>共规划新建内部公用充电桩</w:t>
      </w:r>
      <w:r>
        <w:rPr>
          <w:rFonts w:hint="eastAsia" w:eastAsia="仿宋_GB2312" w:cs="Times New Roman"/>
        </w:rPr>
        <w:t>359</w:t>
      </w:r>
      <w:r>
        <w:rPr>
          <w:rFonts w:eastAsia="仿宋_GB2312" w:cs="Times New Roman"/>
        </w:rPr>
        <w:t>个。其中</w:t>
      </w:r>
      <w:r>
        <w:rPr>
          <w:rFonts w:hint="eastAsia" w:eastAsia="仿宋_GB2312" w:cs="Times New Roman"/>
        </w:rPr>
        <w:t>177</w:t>
      </w:r>
      <w:r>
        <w:rPr>
          <w:rFonts w:eastAsia="仿宋_GB2312" w:cs="Times New Roman"/>
        </w:rPr>
        <w:t>个小区内部建设充电桩可满足自身需求，规划建设</w:t>
      </w:r>
      <w:r>
        <w:rPr>
          <w:rFonts w:hint="eastAsia" w:eastAsia="仿宋_GB2312" w:cs="Times New Roman"/>
        </w:rPr>
        <w:t>305</w:t>
      </w:r>
      <w:r>
        <w:rPr>
          <w:rFonts w:eastAsia="仿宋_GB2312" w:cs="Times New Roman"/>
        </w:rPr>
        <w:t xml:space="preserve">个充电桩； </w:t>
      </w:r>
      <w:r>
        <w:rPr>
          <w:rFonts w:hint="eastAsia" w:eastAsia="仿宋_GB2312" w:cs="Times New Roman"/>
        </w:rPr>
        <w:t>45</w:t>
      </w:r>
      <w:r>
        <w:rPr>
          <w:rFonts w:eastAsia="仿宋_GB2312" w:cs="Times New Roman"/>
        </w:rPr>
        <w:t>个小区内部能建充电桩数量</w:t>
      </w:r>
      <w:r>
        <w:rPr>
          <w:rFonts w:hint="eastAsia" w:eastAsia="仿宋_GB2312" w:cs="Times New Roman"/>
        </w:rPr>
        <w:t>4</w:t>
      </w:r>
      <w:r>
        <w:rPr>
          <w:rFonts w:eastAsia="仿宋_GB2312" w:cs="Times New Roman"/>
        </w:rPr>
        <w:t>个</w:t>
      </w:r>
      <w:r>
        <w:rPr>
          <w:rFonts w:hint="eastAsia" w:eastAsia="仿宋_GB2312" w:cs="Times New Roman"/>
        </w:rPr>
        <w:t>，</w:t>
      </w:r>
      <w:r>
        <w:rPr>
          <w:rFonts w:eastAsia="仿宋_GB2312" w:cs="Times New Roman"/>
        </w:rPr>
        <w:t>不满足自身</w:t>
      </w:r>
      <w:r>
        <w:rPr>
          <w:rFonts w:hint="eastAsia" w:eastAsia="仿宋_GB2312" w:cs="Times New Roman"/>
        </w:rPr>
        <w:t>54</w:t>
      </w:r>
      <w:r>
        <w:rPr>
          <w:rFonts w:eastAsia="仿宋_GB2312" w:cs="Times New Roman"/>
        </w:rPr>
        <w:t>个桩位需求，需要</w:t>
      </w:r>
      <w:r>
        <w:rPr>
          <w:rFonts w:hint="eastAsia" w:eastAsia="仿宋_GB2312" w:cs="Times New Roman"/>
        </w:rPr>
        <w:t>40</w:t>
      </w:r>
      <w:r>
        <w:rPr>
          <w:rFonts w:eastAsia="仿宋_GB2312" w:cs="Times New Roman"/>
        </w:rPr>
        <w:t>个外部公共充电桩支撑，结合咸安区外部公共充电桩布局图，分别对</w:t>
      </w:r>
      <w:r>
        <w:rPr>
          <w:rFonts w:hint="eastAsia" w:eastAsia="仿宋_GB2312" w:cs="Times New Roman"/>
        </w:rPr>
        <w:t>44</w:t>
      </w:r>
      <w:r>
        <w:rPr>
          <w:rFonts w:eastAsia="仿宋_GB2312" w:cs="Times New Roman"/>
        </w:rPr>
        <w:t>个小区充电服务半径进行检验，小区附近均有公共充电桩点位规划，且均不超过1km。</w:t>
      </w:r>
    </w:p>
    <w:p>
      <w:pPr>
        <w:pStyle w:val="5"/>
        <w:adjustRightInd w:val="0"/>
        <w:snapToGrid w:val="0"/>
        <w:spacing w:before="156" w:beforeLines="50"/>
        <w:ind w:firstLine="284"/>
        <w:rPr>
          <w:rFonts w:eastAsia="仿宋_GB2312" w:cs="Times New Roman"/>
        </w:rPr>
      </w:pPr>
      <w:r>
        <w:rPr>
          <w:rFonts w:eastAsia="仿宋_GB2312" w:cs="Times New Roman"/>
        </w:rPr>
        <w:t>自用充电设施</w:t>
      </w:r>
    </w:p>
    <w:p>
      <w:pPr>
        <w:adjustRightInd w:val="0"/>
        <w:snapToGrid w:val="0"/>
        <w:ind w:firstLine="560"/>
        <w:rPr>
          <w:rFonts w:eastAsia="仿宋_GB2312" w:cs="Times New Roman"/>
        </w:rPr>
      </w:pPr>
      <w:r>
        <w:rPr>
          <w:rFonts w:eastAsia="仿宋_GB2312" w:cs="Times New Roman"/>
        </w:rPr>
        <w:t>“十四五”期间，根据对小区私家车充电设施的预测，结合新建居民住宅小区（</w:t>
      </w:r>
      <w:r>
        <w:rPr>
          <w:rFonts w:eastAsia="仿宋_GB2312" w:cs="Times New Roman"/>
          <w:szCs w:val="21"/>
        </w:rPr>
        <w:t>楼宇）建设情况和现有小区（楼宇）停车位改造情况进行规划布点，至2025年，咸安区新建小区自用充电桩1702个。咸安区自用充电桩规划如</w:t>
      </w:r>
      <w:r>
        <w:rPr>
          <w:rFonts w:eastAsia="仿宋_GB2312" w:cs="Times New Roman"/>
          <w:szCs w:val="21"/>
        </w:rPr>
        <w:fldChar w:fldCharType="begin"/>
      </w:r>
      <w:r>
        <w:rPr>
          <w:rFonts w:eastAsia="仿宋_GB2312" w:cs="Times New Roman"/>
          <w:szCs w:val="21"/>
        </w:rPr>
        <w:instrText xml:space="preserve"> REF _Ref115443396 \h  \* MERGEFORMAT </w:instrText>
      </w:r>
      <w:r>
        <w:rPr>
          <w:rFonts w:eastAsia="仿宋_GB2312" w:cs="Times New Roman"/>
          <w:szCs w:val="21"/>
        </w:rPr>
        <w:fldChar w:fldCharType="separate"/>
      </w:r>
      <w:r>
        <w:rPr>
          <w:rFonts w:eastAsia="仿宋_GB2312" w:cs="Times New Roman"/>
        </w:rPr>
        <w:t>表 4</w:t>
      </w:r>
      <w:r>
        <w:rPr>
          <w:rFonts w:eastAsia="仿宋_GB2312" w:cs="Times New Roman"/>
        </w:rPr>
        <w:noBreakHyphen/>
      </w:r>
      <w:r>
        <w:rPr>
          <w:rFonts w:eastAsia="仿宋_GB2312" w:cs="Times New Roman"/>
        </w:rPr>
        <w:t>9</w:t>
      </w:r>
      <w:r>
        <w:rPr>
          <w:rFonts w:eastAsia="仿宋_GB2312" w:cs="Times New Roman"/>
          <w:szCs w:val="21"/>
        </w:rPr>
        <w:fldChar w:fldCharType="end"/>
      </w:r>
      <w:r>
        <w:rPr>
          <w:rFonts w:eastAsia="仿宋_GB2312" w:cs="Times New Roman"/>
          <w:szCs w:val="21"/>
        </w:rPr>
        <w:t>所示。</w:t>
      </w:r>
      <w:bookmarkStart w:id="182" w:name="_Ref54101598"/>
    </w:p>
    <w:p>
      <w:pPr>
        <w:pStyle w:val="19"/>
        <w:ind w:firstLine="560"/>
        <w:rPr>
          <w:rFonts w:eastAsia="仿宋_GB2312" w:cs="Times New Roman"/>
          <w:szCs w:val="24"/>
        </w:rPr>
      </w:pPr>
      <w:bookmarkStart w:id="183" w:name="_Ref115443396"/>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9</w:t>
      </w:r>
      <w:r>
        <w:rPr>
          <w:rFonts w:eastAsia="仿宋_GB2312" w:cs="Times New Roman"/>
        </w:rPr>
        <w:fldChar w:fldCharType="end"/>
      </w:r>
      <w:bookmarkEnd w:id="182"/>
      <w:bookmarkEnd w:id="183"/>
      <w:r>
        <w:rPr>
          <w:rFonts w:eastAsia="仿宋_GB2312" w:cs="Times New Roman"/>
          <w:szCs w:val="21"/>
        </w:rPr>
        <w:t>咸安区</w:t>
      </w:r>
      <w:r>
        <w:rPr>
          <w:rFonts w:eastAsia="仿宋_GB2312" w:cs="Times New Roman"/>
        </w:rPr>
        <w:t>私人充电桩规划统计表</w:t>
      </w:r>
    </w:p>
    <w:tbl>
      <w:tblPr>
        <w:tblStyle w:val="7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67"/>
        <w:gridCol w:w="1208"/>
        <w:gridCol w:w="1209"/>
        <w:gridCol w:w="1209"/>
        <w:gridCol w:w="1209"/>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136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2022</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2023</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2024</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2025</w:t>
            </w:r>
          </w:p>
        </w:tc>
        <w:tc>
          <w:tcPr>
            <w:tcW w:w="727" w:type="pct"/>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十四五汇总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小区自用充电桩（7kW）</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284</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374</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462</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582</w:t>
            </w:r>
          </w:p>
        </w:tc>
        <w:tc>
          <w:tcPr>
            <w:tcW w:w="727" w:type="pct"/>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1702</w:t>
            </w:r>
          </w:p>
        </w:tc>
      </w:tr>
    </w:tbl>
    <w:p>
      <w:pPr>
        <w:pStyle w:val="4"/>
        <w:spacing w:before="156"/>
        <w:rPr>
          <w:rFonts w:eastAsia="仿宋_GB2312"/>
        </w:rPr>
      </w:pPr>
      <w:bookmarkStart w:id="184" w:name="_Toc117243223"/>
      <w:r>
        <w:rPr>
          <w:rFonts w:eastAsia="仿宋_GB2312"/>
        </w:rPr>
        <w:t>赤壁市充电设施布局</w:t>
      </w:r>
      <w:bookmarkEnd w:id="184"/>
    </w:p>
    <w:p>
      <w:pPr>
        <w:adjustRightInd w:val="0"/>
        <w:snapToGrid w:val="0"/>
        <w:ind w:firstLine="560"/>
        <w:rPr>
          <w:rFonts w:eastAsia="仿宋_GB2312" w:cs="Times New Roman"/>
        </w:rPr>
      </w:pPr>
      <w:r>
        <w:rPr>
          <w:rFonts w:eastAsia="仿宋_GB2312" w:cs="Times New Roman"/>
        </w:rPr>
        <w:t>本次规划，十四五期间赤壁市共规划建设外部公共充电桩290个，小区公共充电桩224个</w:t>
      </w:r>
      <w:r>
        <w:rPr>
          <w:rFonts w:hint="eastAsia" w:eastAsia="仿宋_GB2312" w:cs="Times New Roman"/>
        </w:rPr>
        <w:t>、</w:t>
      </w:r>
      <w:r>
        <w:rPr>
          <w:rFonts w:eastAsia="仿宋_GB2312" w:cs="Times New Roman"/>
        </w:rPr>
        <w:t>物流充电桩78个</w:t>
      </w:r>
      <w:r>
        <w:rPr>
          <w:rFonts w:hint="eastAsia" w:eastAsia="仿宋_GB2312" w:cs="Times New Roman"/>
        </w:rPr>
        <w:t>、</w:t>
      </w:r>
      <w:r>
        <w:rPr>
          <w:rFonts w:eastAsia="仿宋_GB2312" w:cs="Times New Roman"/>
        </w:rPr>
        <w:t>环卫充电桩20个</w:t>
      </w:r>
      <w:r>
        <w:rPr>
          <w:rFonts w:hint="eastAsia" w:eastAsia="仿宋_GB2312" w:cs="Times New Roman"/>
        </w:rPr>
        <w:t>、</w:t>
      </w:r>
      <w:r>
        <w:rPr>
          <w:rFonts w:eastAsia="仿宋_GB2312" w:cs="Times New Roman"/>
        </w:rPr>
        <w:t>公务车充电桩104个</w:t>
      </w:r>
      <w:r>
        <w:rPr>
          <w:rFonts w:hint="eastAsia" w:eastAsia="仿宋_GB2312" w:cs="Times New Roman"/>
        </w:rPr>
        <w:t>、</w:t>
      </w:r>
      <w:r>
        <w:rPr>
          <w:rFonts w:eastAsia="仿宋_GB2312" w:cs="Times New Roman"/>
        </w:rPr>
        <w:t>小区自用充电桩889个。</w:t>
      </w:r>
    </w:p>
    <w:p>
      <w:pPr>
        <w:pStyle w:val="5"/>
        <w:adjustRightInd w:val="0"/>
        <w:snapToGrid w:val="0"/>
        <w:ind w:firstLine="284"/>
        <w:rPr>
          <w:rFonts w:eastAsia="仿宋_GB2312" w:cs="Times New Roman"/>
        </w:rPr>
      </w:pPr>
      <w:r>
        <w:rPr>
          <w:rFonts w:eastAsia="仿宋_GB2312" w:cs="Times New Roman"/>
        </w:rPr>
        <w:t>专用充电设施</w:t>
      </w:r>
    </w:p>
    <w:p>
      <w:pPr>
        <w:adjustRightInd w:val="0"/>
        <w:snapToGrid w:val="0"/>
        <w:ind w:firstLine="562"/>
        <w:rPr>
          <w:rFonts w:eastAsia="仿宋_GB2312" w:cs="Times New Roman"/>
          <w:b/>
          <w:bCs/>
        </w:rPr>
      </w:pPr>
      <w:r>
        <w:rPr>
          <w:rFonts w:eastAsia="仿宋_GB2312" w:cs="Times New Roman"/>
          <w:b/>
          <w:bCs/>
        </w:rPr>
        <w:t>1.物流专用充电设施</w:t>
      </w:r>
    </w:p>
    <w:p>
      <w:pPr>
        <w:adjustRightInd w:val="0"/>
        <w:snapToGrid w:val="0"/>
        <w:ind w:firstLine="560"/>
        <w:rPr>
          <w:rFonts w:eastAsia="仿宋_GB2312" w:cs="Times New Roman"/>
        </w:rPr>
      </w:pPr>
      <w:r>
        <w:rPr>
          <w:rFonts w:eastAsia="仿宋_GB2312" w:cs="Times New Roman"/>
        </w:rPr>
        <w:t>十四五期间，为满足城市物流专用车辆的专用充电需求，选址各物流中心、物流有限公司等适宜地点规划新建物流车专用充电站。赤壁市物流车充电站布局如</w:t>
      </w:r>
      <w:r>
        <w:rPr>
          <w:rFonts w:eastAsia="仿宋_GB2312" w:cs="Times New Roman"/>
        </w:rPr>
        <w:fldChar w:fldCharType="begin"/>
      </w:r>
      <w:r>
        <w:rPr>
          <w:rFonts w:eastAsia="仿宋_GB2312" w:cs="Times New Roman"/>
        </w:rPr>
        <w:instrText xml:space="preserve"> REF _Ref115443632 \h  \* MERGEFORMAT </w:instrText>
      </w:r>
      <w:r>
        <w:rPr>
          <w:rFonts w:eastAsia="仿宋_GB2312" w:cs="Times New Roman"/>
        </w:rPr>
        <w:fldChar w:fldCharType="separate"/>
      </w:r>
      <w:r>
        <w:rPr>
          <w:rFonts w:eastAsia="仿宋_GB2312" w:cs="Times New Roman"/>
        </w:rPr>
        <w:t>图 4</w:t>
      </w:r>
      <w:r>
        <w:rPr>
          <w:rFonts w:eastAsia="仿宋_GB2312" w:cs="Times New Roman"/>
        </w:rPr>
        <w:noBreakHyphen/>
      </w:r>
      <w:r>
        <w:rPr>
          <w:rFonts w:eastAsia="仿宋_GB2312" w:cs="Times New Roman"/>
        </w:rPr>
        <w:t>56</w:t>
      </w:r>
      <w:r>
        <w:rPr>
          <w:rFonts w:eastAsia="仿宋_GB2312" w:cs="Times New Roman"/>
        </w:rPr>
        <w:fldChar w:fldCharType="end"/>
      </w:r>
      <w:r>
        <w:rPr>
          <w:rFonts w:eastAsia="仿宋_GB2312" w:cs="Times New Roman"/>
        </w:rPr>
        <w:t>所示，至2025年，赤壁市共新建物流车专用充电站3座，78个充电桩。</w:t>
      </w:r>
    </w:p>
    <w:p>
      <w:pPr>
        <w:adjustRightInd w:val="0"/>
        <w:snapToGrid w:val="0"/>
        <w:ind w:firstLine="560"/>
        <w:rPr>
          <w:rFonts w:eastAsia="仿宋_GB2312" w:cs="Times New Roman"/>
        </w:rPr>
      </w:pPr>
      <w:r>
        <w:rPr>
          <w:rFonts w:eastAsia="仿宋_GB2312" w:cs="Times New Roman"/>
        </w:rPr>
        <w:t>（1）赤壁市大润发华中区物流中心，位于赤壁市赤马港街道京珠高速出口与S214省道交汇处，新建30台120kW一机两枪直流充电桩。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3968750" cy="2976245"/>
            <wp:effectExtent l="0" t="0" r="0" b="0"/>
            <wp:docPr id="327" name="图片 327" descr="IMG_20220628_1557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7" name="图片 327" descr="IMG_20220628_155715"/>
                    <pic:cNvPicPr>
                      <a:picLocks noChangeAspect="true"/>
                    </pic:cNvPicPr>
                  </pic:nvPicPr>
                  <pic:blipFill>
                    <a:blip r:embed="rId147"/>
                    <a:stretch>
                      <a:fillRect/>
                    </a:stretch>
                  </pic:blipFill>
                  <pic:spPr>
                    <a:xfrm>
                      <a:off x="0" y="0"/>
                      <a:ext cx="3973611" cy="2980043"/>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53</w:t>
      </w:r>
      <w:r>
        <w:rPr>
          <w:rFonts w:eastAsia="仿宋_GB2312" w:cs="Times New Roman"/>
        </w:rPr>
        <w:fldChar w:fldCharType="end"/>
      </w:r>
      <w:r>
        <w:rPr>
          <w:rFonts w:eastAsia="仿宋_GB2312" w:cs="Times New Roman"/>
        </w:rPr>
        <w:t xml:space="preserve"> 赤壁市大润发华中区物流中心 </w:t>
      </w:r>
    </w:p>
    <w:p>
      <w:pPr>
        <w:ind w:firstLine="560"/>
        <w:rPr>
          <w:rFonts w:eastAsia="仿宋_GB2312" w:cs="Times New Roman"/>
        </w:rPr>
      </w:pPr>
      <w:r>
        <w:rPr>
          <w:rFonts w:eastAsia="仿宋_GB2312" w:cs="Times New Roman"/>
        </w:rPr>
        <w:t>（2）赤壁市蛟龙桥充电站，位于赤壁市中伙大道盛畅物流停车场，新建4台120kW一机两枪直流充电桩。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328" name="图片 328" descr="IMG_20220628_1011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8" name="图片 328" descr="IMG_20220628_101133"/>
                    <pic:cNvPicPr>
                      <a:picLocks noChangeAspect="true"/>
                    </pic:cNvPicPr>
                  </pic:nvPicPr>
                  <pic:blipFill>
                    <a:blip r:embed="rId148"/>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329" name="图片 329" descr="IMG_20220628_1011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9" name="图片 329" descr="IMG_20220628_101145"/>
                    <pic:cNvPicPr>
                      <a:picLocks noChangeAspect="true"/>
                    </pic:cNvPicPr>
                  </pic:nvPicPr>
                  <pic:blipFill>
                    <a:blip r:embed="rId149"/>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54</w:t>
      </w:r>
      <w:r>
        <w:rPr>
          <w:rFonts w:eastAsia="仿宋_GB2312" w:cs="Times New Roman"/>
        </w:rPr>
        <w:fldChar w:fldCharType="end"/>
      </w:r>
      <w:r>
        <w:rPr>
          <w:rFonts w:eastAsia="仿宋_GB2312" w:cs="Times New Roman"/>
        </w:rPr>
        <w:t xml:space="preserve"> 赤壁市蛟龙桥充电站 </w:t>
      </w:r>
    </w:p>
    <w:p>
      <w:pPr>
        <w:ind w:firstLine="560"/>
        <w:rPr>
          <w:rFonts w:eastAsia="仿宋_GB2312" w:cs="Times New Roman"/>
        </w:rPr>
      </w:pPr>
      <w:r>
        <w:rPr>
          <w:rFonts w:eastAsia="仿宋_GB2312" w:cs="Times New Roman"/>
        </w:rPr>
        <w:t>（3）赤壁康华物流园充电站，位于赤壁市赤马港街道赤壁大道1188号湖北康华物流园，新建5台120kW一机两枪直流充电桩。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333" name="图片 333" descr="IMG_20220628_1508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3" name="图片 333" descr="IMG_20220628_150837"/>
                    <pic:cNvPicPr>
                      <a:picLocks noChangeAspect="true"/>
                    </pic:cNvPicPr>
                  </pic:nvPicPr>
                  <pic:blipFill>
                    <a:blip r:embed="rId150"/>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332" name="图片 332" descr="IMG_20220628_1507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2" name="图片 332" descr="IMG_20220628_150728"/>
                    <pic:cNvPicPr>
                      <a:picLocks noChangeAspect="true"/>
                    </pic:cNvPicPr>
                  </pic:nvPicPr>
                  <pic:blipFill>
                    <a:blip r:embed="rId151"/>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55</w:t>
      </w:r>
      <w:r>
        <w:rPr>
          <w:rFonts w:eastAsia="仿宋_GB2312" w:cs="Times New Roman"/>
        </w:rPr>
        <w:fldChar w:fldCharType="end"/>
      </w:r>
      <w:r>
        <w:rPr>
          <w:rFonts w:eastAsia="仿宋_GB2312" w:cs="Times New Roman"/>
        </w:rPr>
        <w:t xml:space="preserve"> 赤壁康华物流园充电站</w:t>
      </w:r>
    </w:p>
    <w:p>
      <w:pPr>
        <w:pStyle w:val="19"/>
        <w:ind w:firstLine="560"/>
        <w:rPr>
          <w:rFonts w:eastAsia="仿宋_GB2312" w:cs="Times New Roman"/>
        </w:rPr>
      </w:pPr>
      <w:bookmarkStart w:id="185" w:name="_Ref115443522"/>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10</w:t>
      </w:r>
      <w:r>
        <w:rPr>
          <w:rFonts w:eastAsia="仿宋_GB2312" w:cs="Times New Roman"/>
        </w:rPr>
        <w:fldChar w:fldCharType="end"/>
      </w:r>
      <w:bookmarkEnd w:id="185"/>
      <w:r>
        <w:rPr>
          <w:rFonts w:eastAsia="仿宋_GB2312" w:cs="Times New Roman"/>
        </w:rPr>
        <w:t>赤壁市物流充电站布局规划表</w:t>
      </w:r>
    </w:p>
    <w:tbl>
      <w:tblPr>
        <w:tblStyle w:val="76"/>
        <w:tblW w:w="50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43"/>
        <w:gridCol w:w="1964"/>
        <w:gridCol w:w="1942"/>
        <w:gridCol w:w="1340"/>
        <w:gridCol w:w="1149"/>
        <w:gridCol w:w="1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0" w:hRule="atLeast"/>
          <w:tblHeader/>
          <w:jc w:val="center"/>
        </w:trPr>
        <w:tc>
          <w:tcPr>
            <w:tcW w:w="56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17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158"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79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68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62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171"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赤壁市大润发华中区物流中心</w:t>
            </w:r>
          </w:p>
        </w:tc>
        <w:tc>
          <w:tcPr>
            <w:tcW w:w="1158"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赤壁市赤马港街道京珠高速出口与S214省道交汇处</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60</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117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赤壁市蛟龙桥充电站</w:t>
            </w:r>
          </w:p>
        </w:tc>
        <w:tc>
          <w:tcPr>
            <w:tcW w:w="1158"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赤壁市中伙大道盛畅物流停车场</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0"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117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赤壁康华物流园充电站</w:t>
            </w:r>
          </w:p>
        </w:tc>
        <w:tc>
          <w:tcPr>
            <w:tcW w:w="1158"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赤壁市赤马港街道赤壁大道1188号湖北康华物流园</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17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158"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78</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218815"/>
            <wp:effectExtent l="0" t="0" r="2540" b="635"/>
            <wp:docPr id="7219" name="图片 72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19" name="图片 7219"/>
                    <pic:cNvPicPr>
                      <a:picLocks noChangeAspect="true"/>
                    </pic:cNvPicPr>
                  </pic:nvPicPr>
                  <pic:blipFill>
                    <a:blip r:embed="rId152"/>
                    <a:stretch>
                      <a:fillRect/>
                    </a:stretch>
                  </pic:blipFill>
                  <pic:spPr>
                    <a:xfrm>
                      <a:off x="0" y="0"/>
                      <a:ext cx="5274310" cy="3218815"/>
                    </a:xfrm>
                    <a:prstGeom prst="rect">
                      <a:avLst/>
                    </a:prstGeom>
                  </pic:spPr>
                </pic:pic>
              </a:graphicData>
            </a:graphic>
          </wp:inline>
        </w:drawing>
      </w:r>
    </w:p>
    <w:p>
      <w:pPr>
        <w:pStyle w:val="19"/>
        <w:rPr>
          <w:rFonts w:eastAsia="仿宋_GB2312" w:cs="Times New Roman"/>
        </w:rPr>
      </w:pPr>
      <w:bookmarkStart w:id="186" w:name="_Ref115443632"/>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56</w:t>
      </w:r>
      <w:r>
        <w:rPr>
          <w:rFonts w:eastAsia="仿宋_GB2312" w:cs="Times New Roman"/>
        </w:rPr>
        <w:fldChar w:fldCharType="end"/>
      </w:r>
      <w:bookmarkEnd w:id="186"/>
      <w:r>
        <w:rPr>
          <w:rFonts w:eastAsia="仿宋_GB2312" w:cs="Times New Roman"/>
        </w:rPr>
        <w:t>赤壁市物流充电站布点图</w:t>
      </w:r>
    </w:p>
    <w:p>
      <w:pPr>
        <w:pStyle w:val="173"/>
        <w:spacing w:before="156" w:beforeLines="50"/>
        <w:ind w:firstLine="562"/>
        <w:rPr>
          <w:rFonts w:ascii="Times New Roman" w:hAnsi="Times New Roman" w:cs="Times New Roman"/>
          <w:b/>
          <w:bCs/>
          <w:color w:val="auto"/>
        </w:rPr>
      </w:pPr>
      <w:r>
        <w:rPr>
          <w:rFonts w:ascii="Times New Roman" w:hAnsi="Times New Roman" w:cs="Times New Roman"/>
          <w:b/>
          <w:bCs/>
          <w:color w:val="auto"/>
        </w:rPr>
        <w:t>（2）环卫专用充电设施</w:t>
      </w:r>
    </w:p>
    <w:p>
      <w:pPr>
        <w:adjustRightInd w:val="0"/>
        <w:snapToGrid w:val="0"/>
        <w:ind w:firstLine="560"/>
        <w:rPr>
          <w:rFonts w:eastAsia="仿宋_GB2312" w:cs="Times New Roman"/>
        </w:rPr>
      </w:pPr>
      <w:r>
        <w:rPr>
          <w:rFonts w:eastAsia="仿宋_GB2312" w:cs="Times New Roman"/>
        </w:rPr>
        <w:t>十四五期间，赤壁市环卫车充电站布局情况如下表所示，至2025年，赤壁市共有环卫车专用充电站1座，20个充电桩。</w:t>
      </w:r>
    </w:p>
    <w:p>
      <w:pPr>
        <w:adjustRightInd w:val="0"/>
        <w:snapToGrid w:val="0"/>
        <w:ind w:firstLine="560"/>
        <w:rPr>
          <w:rFonts w:eastAsia="仿宋_GB2312" w:cs="Times New Roman"/>
        </w:rPr>
      </w:pPr>
      <w:r>
        <w:rPr>
          <w:rFonts w:eastAsia="仿宋_GB2312" w:cs="Times New Roman"/>
        </w:rPr>
        <w:t>（1）咸宁启洁城市服务有限公司赤壁分公司充电站，位于赤壁市蒲圻大道启洁城市服务有限公司，新建10台120kW一机两枪直流充电桩。</w:t>
      </w:r>
    </w:p>
    <w:p>
      <w:pPr>
        <w:pStyle w:val="19"/>
        <w:ind w:firstLine="560"/>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11</w:t>
      </w:r>
      <w:r>
        <w:rPr>
          <w:rFonts w:eastAsia="仿宋_GB2312" w:cs="Times New Roman"/>
        </w:rPr>
        <w:fldChar w:fldCharType="end"/>
      </w:r>
      <w:r>
        <w:rPr>
          <w:rFonts w:eastAsia="仿宋_GB2312" w:cs="Times New Roman"/>
        </w:rPr>
        <w:t xml:space="preserve"> 赤壁市环卫充电站布局规划表</w:t>
      </w:r>
    </w:p>
    <w:tbl>
      <w:tblPr>
        <w:tblStyle w:val="76"/>
        <w:tblW w:w="50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39"/>
        <w:gridCol w:w="2073"/>
        <w:gridCol w:w="1816"/>
        <w:gridCol w:w="1335"/>
        <w:gridCol w:w="1144"/>
        <w:gridCol w:w="1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56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24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08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79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68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62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咸宁启洁城市服务有限公司赤壁分公司充电站</w:t>
            </w:r>
          </w:p>
        </w:tc>
        <w:tc>
          <w:tcPr>
            <w:tcW w:w="108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赤壁市蒲圻大道启洁城市服务有限公司</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08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147695"/>
            <wp:effectExtent l="0" t="0" r="2540" b="0"/>
            <wp:docPr id="7220" name="图片 72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20" name="图片 7220"/>
                    <pic:cNvPicPr>
                      <a:picLocks noChangeAspect="true"/>
                    </pic:cNvPicPr>
                  </pic:nvPicPr>
                  <pic:blipFill>
                    <a:blip r:embed="rId153"/>
                    <a:stretch>
                      <a:fillRect/>
                    </a:stretch>
                  </pic:blipFill>
                  <pic:spPr>
                    <a:xfrm>
                      <a:off x="0" y="0"/>
                      <a:ext cx="5274310" cy="3147695"/>
                    </a:xfrm>
                    <a:prstGeom prst="rect">
                      <a:avLst/>
                    </a:prstGeom>
                  </pic:spPr>
                </pic:pic>
              </a:graphicData>
            </a:graphic>
          </wp:inline>
        </w:drawing>
      </w:r>
    </w:p>
    <w:p>
      <w:pPr>
        <w:pStyle w:val="19"/>
        <w:rPr>
          <w:rFonts w:eastAsia="仿宋_GB2312" w:cs="Times New Roman"/>
          <w:bCs/>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57</w:t>
      </w:r>
      <w:r>
        <w:rPr>
          <w:rFonts w:eastAsia="仿宋_GB2312" w:cs="Times New Roman"/>
        </w:rPr>
        <w:fldChar w:fldCharType="end"/>
      </w:r>
      <w:r>
        <w:rPr>
          <w:rFonts w:eastAsia="仿宋_GB2312" w:cs="Times New Roman"/>
        </w:rPr>
        <w:t>赤壁市环卫充电站布点图</w:t>
      </w:r>
    </w:p>
    <w:p>
      <w:pPr>
        <w:pStyle w:val="173"/>
        <w:ind w:firstLine="562"/>
        <w:rPr>
          <w:rFonts w:ascii="Times New Roman" w:hAnsi="Times New Roman" w:cs="Times New Roman"/>
          <w:b/>
          <w:bCs/>
          <w:color w:val="auto"/>
        </w:rPr>
      </w:pPr>
      <w:r>
        <w:rPr>
          <w:rFonts w:ascii="Times New Roman" w:hAnsi="Times New Roman" w:cs="Times New Roman"/>
          <w:b/>
          <w:bCs/>
          <w:color w:val="auto"/>
        </w:rPr>
        <w:t>（3）公交专用充电设施</w:t>
      </w:r>
    </w:p>
    <w:p>
      <w:pPr>
        <w:ind w:firstLine="560"/>
        <w:rPr>
          <w:rFonts w:eastAsia="仿宋_GB2312" w:cs="Times New Roman"/>
        </w:rPr>
      </w:pPr>
      <w:r>
        <w:rPr>
          <w:rFonts w:eastAsia="仿宋_GB2312" w:cs="Times New Roman"/>
        </w:rPr>
        <w:t>赤壁市新能源公交布局超前，现有的新能源充电桩已经完全满足赤壁市新能源公交充电需求，十四五期间无需</w:t>
      </w:r>
      <w:r>
        <w:rPr>
          <w:rFonts w:hint="eastAsia" w:eastAsia="仿宋_GB2312" w:cs="Times New Roman"/>
        </w:rPr>
        <w:t>新增新能源公交车充电设施</w:t>
      </w:r>
      <w:r>
        <w:rPr>
          <w:rFonts w:eastAsia="仿宋_GB2312" w:cs="Times New Roman"/>
        </w:rPr>
        <w:t>。</w:t>
      </w:r>
    </w:p>
    <w:p>
      <w:pPr>
        <w:ind w:firstLine="562"/>
        <w:rPr>
          <w:rFonts w:eastAsia="仿宋_GB2312" w:cs="Times New Roman"/>
          <w:b/>
          <w:bCs/>
        </w:rPr>
      </w:pPr>
      <w:r>
        <w:rPr>
          <w:rFonts w:eastAsia="仿宋_GB2312" w:cs="Times New Roman"/>
          <w:b/>
          <w:bCs/>
        </w:rPr>
        <w:t>（4）公务专用充电设施</w:t>
      </w:r>
    </w:p>
    <w:p>
      <w:pPr>
        <w:ind w:firstLine="560"/>
        <w:rPr>
          <w:rFonts w:eastAsia="仿宋_GB2312" w:cs="Times New Roman"/>
        </w:rPr>
      </w:pPr>
      <w:r>
        <w:rPr>
          <w:rFonts w:eastAsia="仿宋_GB2312" w:cs="Times New Roman"/>
        </w:rPr>
        <w:t>赤壁市公务车充电站规划建设在政府部门及事业单位内部停车场内，至2025年，规划新建</w:t>
      </w:r>
      <w:r>
        <w:rPr>
          <w:rFonts w:hint="eastAsia" w:eastAsia="仿宋_GB2312" w:cs="Times New Roman"/>
        </w:rPr>
        <w:t>公务</w:t>
      </w:r>
      <w:r>
        <w:rPr>
          <w:rFonts w:eastAsia="仿宋_GB2312" w:cs="Times New Roman"/>
        </w:rPr>
        <w:t>充电桩104个。赤壁市公务车充电桩规划统计表见</w:t>
      </w:r>
      <w:r>
        <w:rPr>
          <w:rFonts w:eastAsia="仿宋_GB2312" w:cs="Times New Roman"/>
        </w:rPr>
        <w:fldChar w:fldCharType="begin"/>
      </w:r>
      <w:r>
        <w:rPr>
          <w:rFonts w:eastAsia="仿宋_GB2312" w:cs="Times New Roman"/>
        </w:rPr>
        <w:instrText xml:space="preserve"> REF _Ref112159172 \h  \* MERGEFORMAT </w:instrText>
      </w:r>
      <w:r>
        <w:rPr>
          <w:rFonts w:eastAsia="仿宋_GB2312" w:cs="Times New Roman"/>
        </w:rPr>
        <w:fldChar w:fldCharType="separate"/>
      </w:r>
      <w:r>
        <w:rPr>
          <w:rFonts w:eastAsia="仿宋_GB2312" w:cs="Times New Roman"/>
        </w:rPr>
        <w:t>表 4</w:t>
      </w:r>
      <w:r>
        <w:rPr>
          <w:rFonts w:eastAsia="仿宋_GB2312" w:cs="Times New Roman"/>
        </w:rPr>
        <w:noBreakHyphen/>
      </w:r>
      <w:r>
        <w:rPr>
          <w:rFonts w:eastAsia="仿宋_GB2312" w:cs="Times New Roman"/>
        </w:rPr>
        <w:t>12</w:t>
      </w:r>
      <w:r>
        <w:rPr>
          <w:rFonts w:eastAsia="仿宋_GB2312" w:cs="Times New Roman"/>
        </w:rPr>
        <w:fldChar w:fldCharType="end"/>
      </w:r>
      <w:r>
        <w:rPr>
          <w:rFonts w:eastAsia="仿宋_GB2312" w:cs="Times New Roman"/>
        </w:rPr>
        <w:t>所示。</w:t>
      </w:r>
    </w:p>
    <w:p>
      <w:pPr>
        <w:ind w:firstLine="560"/>
        <w:rPr>
          <w:rFonts w:eastAsia="仿宋_GB2312" w:cs="Times New Roman"/>
        </w:rPr>
      </w:pPr>
      <w:r>
        <w:rPr>
          <w:rFonts w:eastAsia="仿宋_GB2312" w:cs="Times New Roman"/>
        </w:rPr>
        <w:t>（1）赤壁市人民法院充电站，位于赤壁市人民法院，新建4台120kW一机两枪直流充电桩。</w:t>
      </w:r>
    </w:p>
    <w:p>
      <w:pPr>
        <w:ind w:firstLine="560"/>
        <w:rPr>
          <w:rFonts w:eastAsia="仿宋_GB2312" w:cs="Times New Roman"/>
        </w:rPr>
      </w:pPr>
      <w:r>
        <w:rPr>
          <w:rFonts w:eastAsia="仿宋_GB2312" w:cs="Times New Roman"/>
        </w:rPr>
        <w:t>（2）赤壁市人民政府充电站，位于赤壁市人民政府，新建4台120kW一机两枪直流充电桩。</w:t>
      </w:r>
    </w:p>
    <w:p>
      <w:pPr>
        <w:ind w:firstLine="560"/>
        <w:rPr>
          <w:rFonts w:eastAsia="仿宋_GB2312" w:cs="Times New Roman"/>
        </w:rPr>
      </w:pPr>
      <w:r>
        <w:rPr>
          <w:rFonts w:eastAsia="仿宋_GB2312" w:cs="Times New Roman"/>
        </w:rPr>
        <w:t>（3）赤壁市赤壁镇人民政府充电站，位于赤壁市赤壁镇金鸾路1号，新建2台120kW一机双枪直流充电桩。</w:t>
      </w:r>
    </w:p>
    <w:p>
      <w:pPr>
        <w:ind w:firstLine="560"/>
        <w:rPr>
          <w:rFonts w:eastAsia="仿宋_GB2312" w:cs="Times New Roman"/>
        </w:rPr>
      </w:pPr>
      <w:r>
        <w:rPr>
          <w:rFonts w:eastAsia="仿宋_GB2312" w:cs="Times New Roman"/>
        </w:rPr>
        <w:t>（4）赤壁市官塘驿镇人民政府充电站，位于赤壁市振兴街72号，新建2台120kW一机双枪直流充电桩。</w:t>
      </w:r>
    </w:p>
    <w:p>
      <w:pPr>
        <w:ind w:firstLine="560"/>
        <w:rPr>
          <w:rFonts w:eastAsia="仿宋_GB2312" w:cs="Times New Roman"/>
        </w:rPr>
      </w:pPr>
      <w:r>
        <w:rPr>
          <w:rFonts w:eastAsia="仿宋_GB2312" w:cs="Times New Roman"/>
        </w:rPr>
        <w:t>（5）赤壁市神山镇人民政府充电站，位于赤壁市振兴路81号，新建2台120kW一机双枪直流充电桩。</w:t>
      </w:r>
    </w:p>
    <w:p>
      <w:pPr>
        <w:ind w:firstLine="560"/>
        <w:rPr>
          <w:rFonts w:eastAsia="仿宋_GB2312" w:cs="Times New Roman"/>
        </w:rPr>
      </w:pPr>
      <w:r>
        <w:rPr>
          <w:rFonts w:eastAsia="仿宋_GB2312" w:cs="Times New Roman"/>
        </w:rPr>
        <w:t>（6）赤壁市中伙铺镇人民政府充电站，位于赤壁市中伙大道36号，新建2台120kW一机双枪直流充电桩。</w:t>
      </w:r>
    </w:p>
    <w:p>
      <w:pPr>
        <w:ind w:firstLine="560"/>
        <w:rPr>
          <w:rFonts w:eastAsia="仿宋_GB2312" w:cs="Times New Roman"/>
        </w:rPr>
      </w:pPr>
      <w:r>
        <w:rPr>
          <w:rFonts w:eastAsia="仿宋_GB2312" w:cs="Times New Roman"/>
        </w:rPr>
        <w:t>（7）赤壁市新店镇人民政府充电站，位于赤壁市新店镇四化路23号，新建2台120kW一机双枪直流充电桩。</w:t>
      </w:r>
    </w:p>
    <w:p>
      <w:pPr>
        <w:ind w:firstLine="560"/>
        <w:rPr>
          <w:rFonts w:eastAsia="仿宋_GB2312" w:cs="Times New Roman"/>
        </w:rPr>
      </w:pPr>
      <w:r>
        <w:rPr>
          <w:rFonts w:eastAsia="仿宋_GB2312" w:cs="Times New Roman"/>
        </w:rPr>
        <w:t>（8）赤壁市黄盖湖镇人民政府充电站，位于赤壁市广坪黄盖大道黄盖湖镇政府，新建2台120kW一机双枪直流充电桩。</w:t>
      </w:r>
    </w:p>
    <w:p>
      <w:pPr>
        <w:ind w:firstLine="560"/>
        <w:rPr>
          <w:rFonts w:eastAsia="仿宋_GB2312" w:cs="Times New Roman"/>
        </w:rPr>
      </w:pPr>
      <w:r>
        <w:rPr>
          <w:rFonts w:eastAsia="仿宋_GB2312" w:cs="Times New Roman"/>
        </w:rPr>
        <w:t>（9）赤壁市车埠镇人民政府充电站，位于赤壁市车埠镇南街01号，新建2台120kW一机双枪直流充电桩。</w:t>
      </w:r>
    </w:p>
    <w:p>
      <w:pPr>
        <w:ind w:firstLine="560"/>
        <w:rPr>
          <w:rFonts w:eastAsia="仿宋_GB2312" w:cs="Times New Roman"/>
        </w:rPr>
      </w:pPr>
      <w:r>
        <w:rPr>
          <w:rFonts w:eastAsia="仿宋_GB2312" w:cs="Times New Roman"/>
        </w:rPr>
        <w:t>（10）赤壁市柳山湖镇人民政府充电站，位于赤壁市车赤线，新建2台120kW一机双枪直流充电桩。</w:t>
      </w:r>
    </w:p>
    <w:p>
      <w:pPr>
        <w:ind w:firstLine="560"/>
        <w:rPr>
          <w:rFonts w:eastAsia="仿宋_GB2312" w:cs="Times New Roman"/>
        </w:rPr>
      </w:pPr>
      <w:r>
        <w:rPr>
          <w:rFonts w:eastAsia="仿宋_GB2312" w:cs="Times New Roman"/>
        </w:rPr>
        <w:t>（11）赤壁市茶庵岭镇人民政府充电站，位于赤壁市茶庵岭镇茶庵大道35号，新建2台120kW一机双枪直流充电桩。</w:t>
      </w:r>
    </w:p>
    <w:p>
      <w:pPr>
        <w:ind w:firstLine="560"/>
        <w:rPr>
          <w:rFonts w:eastAsia="仿宋_GB2312" w:cs="Times New Roman"/>
        </w:rPr>
      </w:pPr>
      <w:r>
        <w:rPr>
          <w:rFonts w:eastAsia="仿宋_GB2312" w:cs="Times New Roman"/>
        </w:rPr>
        <w:t>（12）赤壁市赵李桥镇人民政府充电站，位于赤壁市京广大道赵李桥镇政府赵李桥镇委，新建2台120kW一机双枪直流充电桩。</w:t>
      </w:r>
    </w:p>
    <w:p>
      <w:pPr>
        <w:ind w:firstLine="560"/>
        <w:rPr>
          <w:rFonts w:eastAsia="仿宋_GB2312" w:cs="Times New Roman"/>
        </w:rPr>
      </w:pPr>
      <w:r>
        <w:rPr>
          <w:rFonts w:eastAsia="仿宋_GB2312" w:cs="Times New Roman"/>
        </w:rPr>
        <w:t>（13）赤壁市余家桥乡人民政府充电站，位于赤壁市渣枫线，新建2台120kW一机双枪直流充电桩。</w:t>
      </w:r>
    </w:p>
    <w:p>
      <w:pPr>
        <w:ind w:firstLine="560"/>
        <w:rPr>
          <w:rFonts w:eastAsia="仿宋_GB2312" w:cs="Times New Roman"/>
        </w:rPr>
      </w:pPr>
      <w:r>
        <w:rPr>
          <w:rFonts w:eastAsia="仿宋_GB2312" w:cs="Times New Roman"/>
        </w:rPr>
        <w:t>（14）赤壁市陆水湖街道办事处充电站，位于赤壁市湖滨路与荆泉大道交叉口南120米，新建2台120kW一机双枪直流充电桩。</w:t>
      </w:r>
    </w:p>
    <w:p>
      <w:pPr>
        <w:ind w:firstLine="560"/>
        <w:rPr>
          <w:rFonts w:eastAsia="仿宋_GB2312" w:cs="Times New Roman"/>
        </w:rPr>
      </w:pPr>
      <w:r>
        <w:rPr>
          <w:rFonts w:eastAsia="仿宋_GB2312" w:cs="Times New Roman"/>
        </w:rPr>
        <w:t>（15）赤壁市人民检察院充电站，位于赤壁市人民检察院，新建4台120kW一机双枪直流充电桩。</w:t>
      </w:r>
    </w:p>
    <w:p>
      <w:pPr>
        <w:ind w:firstLine="560"/>
        <w:rPr>
          <w:rFonts w:eastAsia="仿宋_GB2312" w:cs="Times New Roman"/>
        </w:rPr>
      </w:pPr>
      <w:r>
        <w:rPr>
          <w:rFonts w:eastAsia="仿宋_GB2312" w:cs="Times New Roman"/>
        </w:rPr>
        <w:t>（16）赤壁市公安局充电站，位于赤壁市金鸡山路赤壁市公安局，新建4台120kW一机双枪直流充电桩。</w:t>
      </w:r>
    </w:p>
    <w:p>
      <w:pPr>
        <w:ind w:firstLine="560"/>
        <w:rPr>
          <w:rFonts w:eastAsia="仿宋_GB2312" w:cs="Times New Roman"/>
        </w:rPr>
      </w:pPr>
      <w:r>
        <w:rPr>
          <w:rFonts w:eastAsia="仿宋_GB2312" w:cs="Times New Roman"/>
        </w:rPr>
        <w:t>（17）赤壁市自然资源和规划局充电站，位于赤壁市瑞通大道赤壁市国土局，新建4台120kW一机双枪直流充电桩。</w:t>
      </w:r>
    </w:p>
    <w:p>
      <w:pPr>
        <w:ind w:firstLine="560"/>
        <w:rPr>
          <w:rFonts w:eastAsia="仿宋_GB2312" w:cs="Times New Roman"/>
        </w:rPr>
      </w:pPr>
      <w:r>
        <w:rPr>
          <w:rFonts w:eastAsia="仿宋_GB2312" w:cs="Times New Roman"/>
        </w:rPr>
        <w:t>（18）赤壁市财政局充电站，位于赤壁市河北大道236号，新建4台120kW一机双枪直流充电桩。</w:t>
      </w:r>
    </w:p>
    <w:p>
      <w:pPr>
        <w:ind w:firstLine="560"/>
        <w:rPr>
          <w:rFonts w:eastAsia="仿宋_GB2312" w:cs="Times New Roman"/>
        </w:rPr>
      </w:pPr>
      <w:r>
        <w:rPr>
          <w:rFonts w:eastAsia="仿宋_GB2312" w:cs="Times New Roman"/>
        </w:rPr>
        <w:t>（19）赤壁市人力资源和社会保障局充电站，赤壁市赤壁大道989号，新建4台120kW一机双枪直流充电桩。</w:t>
      </w:r>
    </w:p>
    <w:p>
      <w:pPr>
        <w:pStyle w:val="19"/>
        <w:ind w:firstLine="560"/>
        <w:rPr>
          <w:rFonts w:eastAsia="仿宋_GB2312" w:cs="Times New Roman"/>
        </w:rPr>
      </w:pPr>
      <w:bookmarkStart w:id="187" w:name="_Ref112159172"/>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12</w:t>
      </w:r>
      <w:r>
        <w:rPr>
          <w:rFonts w:eastAsia="仿宋_GB2312" w:cs="Times New Roman"/>
        </w:rPr>
        <w:fldChar w:fldCharType="end"/>
      </w:r>
      <w:bookmarkEnd w:id="187"/>
      <w:r>
        <w:rPr>
          <w:rFonts w:eastAsia="仿宋_GB2312" w:cs="Times New Roman"/>
        </w:rPr>
        <w:t xml:space="preserve"> 赤壁市公务充电站布局规划表</w:t>
      </w:r>
    </w:p>
    <w:tbl>
      <w:tblPr>
        <w:tblStyle w:val="76"/>
        <w:tblW w:w="503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41"/>
        <w:gridCol w:w="2078"/>
        <w:gridCol w:w="2083"/>
        <w:gridCol w:w="1077"/>
        <w:gridCol w:w="1147"/>
        <w:gridCol w:w="1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56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24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24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643"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68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62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赤壁市人民法院充电站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赤壁市人民法院</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赤壁市人民政府充电站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赤壁市人民政府</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赤壁市赤壁镇人民政府充电站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赤壁市赤壁镇金鸾路1号</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赤壁市官塘驿镇人民政府充电站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赤壁市振兴街72号</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赤壁市神山镇人民政府充电站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赤壁市振兴路81号</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赤壁市中伙铺镇人民政府充电站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赤壁市中伙大道36号</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赤壁市新店镇人民政府充电站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赤壁市新店镇四化路23号</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赤壁市黄盖湖镇人民政府充电站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赤壁市广坪黄盖大道黄盖湖镇政府</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9</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赤壁市车埠镇人民政府充电站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赤壁市车埠镇南街01号</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赤壁市柳山湖镇人民政府充电站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赤壁市车赤线</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11</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赤壁市茶庵岭镇人民政府充电站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赤壁市茶庵岭镇茶庵大道35号</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赤壁市赵李桥镇人民政府充电站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赤壁市京广大道赵李桥镇政府赵李桥镇委</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13</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赤壁市余家桥乡人民政府充电站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赤壁市渣枫线</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14</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赤壁市陆水湖街道办事处充电站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赤壁市湖滨路与荆泉大道交叉口南120米</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15</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赤壁市人民检察院充电站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赤壁市人民检察院</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赤壁市公安局充电站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赤壁市金鸡山路赤壁市公安局</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17</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赤壁市自然资源和规划局充电站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赤壁市瑞通大道赤壁市国土局</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18</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赤壁市财政局充电站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赤壁市河北大道236号</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19</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赤壁市人力资源和社会保障局充电站</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赤壁市赤壁大道989号</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24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43"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104</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090545"/>
            <wp:effectExtent l="0" t="0" r="2540" b="0"/>
            <wp:docPr id="7221" name="图片 72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21" name="图片 7221"/>
                    <pic:cNvPicPr>
                      <a:picLocks noChangeAspect="true"/>
                    </pic:cNvPicPr>
                  </pic:nvPicPr>
                  <pic:blipFill>
                    <a:blip r:embed="rId154"/>
                    <a:stretch>
                      <a:fillRect/>
                    </a:stretch>
                  </pic:blipFill>
                  <pic:spPr>
                    <a:xfrm>
                      <a:off x="0" y="0"/>
                      <a:ext cx="5274310" cy="3090545"/>
                    </a:xfrm>
                    <a:prstGeom prst="rect">
                      <a:avLst/>
                    </a:prstGeom>
                  </pic:spPr>
                </pic:pic>
              </a:graphicData>
            </a:graphic>
          </wp:inline>
        </w:drawing>
      </w:r>
    </w:p>
    <w:p>
      <w:pPr>
        <w:pStyle w:val="19"/>
        <w:rPr>
          <w:rFonts w:eastAsia="仿宋_GB2312" w:cs="Times New Roman"/>
          <w:bCs/>
        </w:rPr>
      </w:pPr>
      <w:r>
        <w:rPr>
          <w:rFonts w:eastAsia="仿宋_GB2312" w:cs="Times New Roman"/>
          <w:szCs w:val="16"/>
        </w:rPr>
        <w:t xml:space="preserve">图 </w:t>
      </w:r>
      <w:r>
        <w:rPr>
          <w:rFonts w:eastAsia="仿宋_GB2312" w:cs="Times New Roman"/>
          <w:szCs w:val="16"/>
        </w:rPr>
        <w:fldChar w:fldCharType="begin"/>
      </w:r>
      <w:r>
        <w:rPr>
          <w:rFonts w:eastAsia="仿宋_GB2312" w:cs="Times New Roman"/>
          <w:szCs w:val="16"/>
        </w:rPr>
        <w:instrText xml:space="preserve"> STYLEREF 1 \s </w:instrText>
      </w:r>
      <w:r>
        <w:rPr>
          <w:rFonts w:eastAsia="仿宋_GB2312" w:cs="Times New Roman"/>
          <w:szCs w:val="16"/>
        </w:rPr>
        <w:fldChar w:fldCharType="separate"/>
      </w:r>
      <w:r>
        <w:rPr>
          <w:rFonts w:eastAsia="仿宋_GB2312" w:cs="Times New Roman"/>
          <w:szCs w:val="16"/>
        </w:rPr>
        <w:t>4</w:t>
      </w:r>
      <w:r>
        <w:rPr>
          <w:rFonts w:eastAsia="仿宋_GB2312" w:cs="Times New Roman"/>
          <w:szCs w:val="16"/>
        </w:rPr>
        <w:fldChar w:fldCharType="end"/>
      </w:r>
      <w:r>
        <w:rPr>
          <w:rFonts w:eastAsia="仿宋_GB2312" w:cs="Times New Roman"/>
          <w:szCs w:val="16"/>
        </w:rPr>
        <w:noBreakHyphen/>
      </w:r>
      <w:r>
        <w:rPr>
          <w:rFonts w:eastAsia="仿宋_GB2312" w:cs="Times New Roman"/>
          <w:szCs w:val="16"/>
        </w:rPr>
        <w:fldChar w:fldCharType="begin"/>
      </w:r>
      <w:r>
        <w:rPr>
          <w:rFonts w:eastAsia="仿宋_GB2312" w:cs="Times New Roman"/>
          <w:szCs w:val="16"/>
        </w:rPr>
        <w:instrText xml:space="preserve"> SEQ 图 \* ARABIC \s 1 </w:instrText>
      </w:r>
      <w:r>
        <w:rPr>
          <w:rFonts w:eastAsia="仿宋_GB2312" w:cs="Times New Roman"/>
          <w:szCs w:val="16"/>
        </w:rPr>
        <w:fldChar w:fldCharType="separate"/>
      </w:r>
      <w:r>
        <w:rPr>
          <w:rFonts w:eastAsia="仿宋_GB2312" w:cs="Times New Roman"/>
          <w:szCs w:val="16"/>
        </w:rPr>
        <w:t>58</w:t>
      </w:r>
      <w:r>
        <w:rPr>
          <w:rFonts w:eastAsia="仿宋_GB2312" w:cs="Times New Roman"/>
          <w:szCs w:val="16"/>
        </w:rPr>
        <w:fldChar w:fldCharType="end"/>
      </w:r>
      <w:r>
        <w:rPr>
          <w:rFonts w:eastAsia="仿宋_GB2312" w:cs="Times New Roman"/>
          <w:bCs/>
          <w:szCs w:val="21"/>
        </w:rPr>
        <w:t>赤壁市城区公务充电站布局规划图</w:t>
      </w:r>
    </w:p>
    <w:p>
      <w:pPr>
        <w:pStyle w:val="5"/>
        <w:adjustRightInd w:val="0"/>
        <w:snapToGrid w:val="0"/>
        <w:spacing w:before="156" w:beforeLines="50"/>
        <w:ind w:firstLine="283"/>
        <w:rPr>
          <w:rFonts w:eastAsia="仿宋_GB2312" w:cs="Times New Roman"/>
        </w:rPr>
      </w:pPr>
      <w:r>
        <w:rPr>
          <w:rFonts w:eastAsia="仿宋_GB2312" w:cs="Times New Roman"/>
        </w:rPr>
        <w:t>公用充电设施</w:t>
      </w:r>
    </w:p>
    <w:p>
      <w:pPr>
        <w:ind w:firstLine="562"/>
        <w:rPr>
          <w:rFonts w:eastAsia="仿宋_GB2312" w:cs="Times New Roman"/>
          <w:b/>
          <w:bCs/>
        </w:rPr>
      </w:pPr>
      <w:bookmarkStart w:id="188" w:name="OLE_LINK3"/>
      <w:r>
        <w:rPr>
          <w:rFonts w:eastAsia="仿宋_GB2312" w:cs="Times New Roman"/>
          <w:b/>
          <w:bCs/>
        </w:rPr>
        <w:t>1.外部公共充电设施</w:t>
      </w:r>
    </w:p>
    <w:bookmarkEnd w:id="188"/>
    <w:p>
      <w:pPr>
        <w:ind w:firstLine="560"/>
        <w:rPr>
          <w:rFonts w:eastAsia="仿宋_GB2312" w:cs="Times New Roman"/>
        </w:rPr>
      </w:pPr>
      <w:r>
        <w:rPr>
          <w:rFonts w:eastAsia="仿宋_GB2312" w:cs="Times New Roman"/>
        </w:rPr>
        <w:t>到2025年赤壁市新建外部公共充电站32座，充电桩共290台。十四五期间规划新建外部公共充电桩明细如</w:t>
      </w:r>
      <w:r>
        <w:rPr>
          <w:rFonts w:eastAsia="仿宋_GB2312" w:cs="Times New Roman"/>
        </w:rPr>
        <w:fldChar w:fldCharType="begin"/>
      </w:r>
      <w:r>
        <w:rPr>
          <w:rFonts w:eastAsia="仿宋_GB2312" w:cs="Times New Roman"/>
        </w:rPr>
        <w:instrText xml:space="preserve"> REF _Ref115443217 \h  \* MERGEFORMAT </w:instrText>
      </w:r>
      <w:r>
        <w:rPr>
          <w:rFonts w:eastAsia="仿宋_GB2312" w:cs="Times New Roman"/>
        </w:rPr>
        <w:fldChar w:fldCharType="separate"/>
      </w:r>
      <w:r>
        <w:rPr>
          <w:rFonts w:eastAsia="仿宋_GB2312" w:cs="Times New Roman"/>
        </w:rPr>
        <w:t>表 4</w:t>
      </w:r>
      <w:r>
        <w:rPr>
          <w:rFonts w:eastAsia="仿宋_GB2312" w:cs="Times New Roman"/>
        </w:rPr>
        <w:noBreakHyphen/>
      </w:r>
      <w:r>
        <w:rPr>
          <w:rFonts w:eastAsia="仿宋_GB2312" w:cs="Times New Roman"/>
        </w:rPr>
        <w:t>13</w:t>
      </w:r>
      <w:r>
        <w:rPr>
          <w:rFonts w:eastAsia="仿宋_GB2312" w:cs="Times New Roman"/>
        </w:rPr>
        <w:fldChar w:fldCharType="end"/>
      </w:r>
      <w:r>
        <w:rPr>
          <w:rFonts w:eastAsia="仿宋_GB2312" w:cs="Times New Roman"/>
        </w:rPr>
        <w:t>所示。</w:t>
      </w:r>
    </w:p>
    <w:p>
      <w:pPr>
        <w:ind w:firstLine="560"/>
        <w:rPr>
          <w:rFonts w:eastAsia="仿宋_GB2312" w:cs="Times New Roman"/>
        </w:rPr>
      </w:pPr>
      <w:r>
        <w:rPr>
          <w:rFonts w:eastAsia="仿宋_GB2312" w:cs="Times New Roman"/>
        </w:rPr>
        <w:t>（1）中伙铺停车场充电站，位于赤壁市中伙铺镇卫生院东北侧约210米，新建4台120kW一机两枪直流充电桩。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360" name="图片 360" descr="IMG_20220628_1002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0" name="图片 360" descr="IMG_20220628_100223"/>
                    <pic:cNvPicPr>
                      <a:picLocks noChangeAspect="true"/>
                    </pic:cNvPicPr>
                  </pic:nvPicPr>
                  <pic:blipFill>
                    <a:blip r:embed="rId155"/>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361" name="图片 361" descr="IMG_20220628_1003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1" name="图片 361" descr="IMG_20220628_100300"/>
                    <pic:cNvPicPr>
                      <a:picLocks noChangeAspect="true"/>
                    </pic:cNvPicPr>
                  </pic:nvPicPr>
                  <pic:blipFill>
                    <a:blip r:embed="rId156"/>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59</w:t>
      </w:r>
      <w:r>
        <w:rPr>
          <w:rFonts w:eastAsia="仿宋_GB2312" w:cs="Times New Roman"/>
        </w:rPr>
        <w:fldChar w:fldCharType="end"/>
      </w:r>
      <w:r>
        <w:rPr>
          <w:rFonts w:eastAsia="仿宋_GB2312" w:cs="Times New Roman"/>
        </w:rPr>
        <w:t>中伙铺停车场充电站</w:t>
      </w:r>
    </w:p>
    <w:p>
      <w:pPr>
        <w:ind w:firstLine="560"/>
        <w:rPr>
          <w:rFonts w:eastAsia="仿宋_GB2312" w:cs="Times New Roman"/>
        </w:rPr>
      </w:pPr>
      <w:r>
        <w:rPr>
          <w:rFonts w:eastAsia="仿宋_GB2312" w:cs="Times New Roman"/>
        </w:rPr>
        <w:t>（2）赤壁市人民医院停车场充电站，位于赤壁市河北大道260号，新建4台120kW一机两枪直流充电桩。</w:t>
      </w:r>
    </w:p>
    <w:p>
      <w:pPr>
        <w:ind w:firstLine="560"/>
        <w:rPr>
          <w:rFonts w:eastAsia="仿宋_GB2312" w:cs="Times New Roman"/>
        </w:rPr>
      </w:pPr>
      <w:r>
        <w:rPr>
          <w:rFonts w:eastAsia="仿宋_GB2312" w:cs="Times New Roman"/>
        </w:rPr>
        <w:t>（3）赤壁高铁广场充电站，位于赤壁市龙翔路赤壁北站，新建3台120kW一机两枪直流充电桩。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3839845" cy="2879725"/>
            <wp:effectExtent l="0" t="0" r="635" b="635"/>
            <wp:docPr id="362" name="图片 362" descr="IMG_20220628_1033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2" name="图片 362" descr="IMG_20220628_103324"/>
                    <pic:cNvPicPr>
                      <a:picLocks noChangeAspect="true"/>
                    </pic:cNvPicPr>
                  </pic:nvPicPr>
                  <pic:blipFill>
                    <a:blip r:embed="rId157"/>
                    <a:stretch>
                      <a:fillRect/>
                    </a:stretch>
                  </pic:blipFill>
                  <pic:spPr>
                    <a:xfrm>
                      <a:off x="0" y="0"/>
                      <a:ext cx="3839845" cy="287972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60</w:t>
      </w:r>
      <w:r>
        <w:rPr>
          <w:rFonts w:eastAsia="仿宋_GB2312" w:cs="Times New Roman"/>
        </w:rPr>
        <w:fldChar w:fldCharType="end"/>
      </w:r>
      <w:r>
        <w:rPr>
          <w:rFonts w:eastAsia="仿宋_GB2312" w:cs="Times New Roman"/>
        </w:rPr>
        <w:t>赤壁高铁广场充电站</w:t>
      </w:r>
    </w:p>
    <w:p>
      <w:pPr>
        <w:ind w:firstLine="560"/>
        <w:rPr>
          <w:rFonts w:eastAsia="仿宋_GB2312" w:cs="Times New Roman"/>
        </w:rPr>
      </w:pPr>
      <w:r>
        <w:rPr>
          <w:rFonts w:eastAsia="仿宋_GB2312" w:cs="Times New Roman"/>
        </w:rPr>
        <w:t>（4）教育局沿河停车场充电站，位于赤壁市沿河大道市教委附近，新建4台120kW一机两枪直流充电桩。</w:t>
      </w:r>
    </w:p>
    <w:p>
      <w:pPr>
        <w:ind w:firstLine="560"/>
        <w:rPr>
          <w:rFonts w:eastAsia="仿宋_GB2312" w:cs="Times New Roman"/>
        </w:rPr>
      </w:pPr>
      <w:r>
        <w:rPr>
          <w:rFonts w:eastAsia="仿宋_GB2312" w:cs="Times New Roman"/>
        </w:rPr>
        <w:t>（5）金三角停车场充电站，位于赤壁市莼川大道147-42号，新建4台120kW一机两枪直流充电桩。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367" name="图片 367" descr="IMG_20220628_1049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7" name="图片 367" descr="IMG_20220628_104921"/>
                    <pic:cNvPicPr>
                      <a:picLocks noChangeAspect="true"/>
                    </pic:cNvPicPr>
                  </pic:nvPicPr>
                  <pic:blipFill>
                    <a:blip r:embed="rId158"/>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368" name="图片 368" descr="IMG_20220628_1049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8" name="图片 368" descr="IMG_20220628_104924"/>
                    <pic:cNvPicPr>
                      <a:picLocks noChangeAspect="true"/>
                    </pic:cNvPicPr>
                  </pic:nvPicPr>
                  <pic:blipFill>
                    <a:blip r:embed="rId159"/>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61</w:t>
      </w:r>
      <w:r>
        <w:rPr>
          <w:rFonts w:eastAsia="仿宋_GB2312" w:cs="Times New Roman"/>
        </w:rPr>
        <w:fldChar w:fldCharType="end"/>
      </w:r>
      <w:r>
        <w:rPr>
          <w:rFonts w:eastAsia="仿宋_GB2312" w:cs="Times New Roman"/>
        </w:rPr>
        <w:t>金三角停车场充电站</w:t>
      </w:r>
    </w:p>
    <w:p>
      <w:pPr>
        <w:ind w:firstLine="560"/>
        <w:rPr>
          <w:rFonts w:eastAsia="仿宋_GB2312" w:cs="Times New Roman"/>
        </w:rPr>
      </w:pPr>
      <w:r>
        <w:rPr>
          <w:rFonts w:eastAsia="仿宋_GB2312" w:cs="Times New Roman"/>
        </w:rPr>
        <w:t>（6）华中科技大学同济赤壁医院停车场充电站，位于赤壁市荆泉大道同济赤壁医院，新建4台120kW一机两枪直流充电桩。</w:t>
      </w:r>
    </w:p>
    <w:p>
      <w:pPr>
        <w:ind w:firstLine="560"/>
        <w:rPr>
          <w:rFonts w:eastAsia="仿宋_GB2312" w:cs="Times New Roman"/>
        </w:rPr>
      </w:pPr>
      <w:r>
        <w:rPr>
          <w:rFonts w:eastAsia="仿宋_GB2312" w:cs="Times New Roman"/>
        </w:rPr>
        <w:t>（7）赤壁市古驿广场充电站，位于赤壁市古驿大道与金湾大道交叉路口往西约130米，新建4台120kW一机两枪直流充电桩。</w:t>
      </w:r>
    </w:p>
    <w:p>
      <w:pPr>
        <w:ind w:firstLine="560"/>
        <w:rPr>
          <w:rFonts w:eastAsia="仿宋_GB2312" w:cs="Times New Roman"/>
        </w:rPr>
      </w:pPr>
      <w:r>
        <w:rPr>
          <w:rFonts w:eastAsia="仿宋_GB2312" w:cs="Times New Roman"/>
        </w:rPr>
        <w:t>（8）五小停车场充电站，位于赤壁市第二实验小学对面五小停车场，新建5台120kW一机两枪直流充电桩。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369" name="图片 369" descr="IMG_20220628_0934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9" name="图片 369" descr="IMG_20220628_093410"/>
                    <pic:cNvPicPr>
                      <a:picLocks noChangeAspect="true"/>
                    </pic:cNvPicPr>
                  </pic:nvPicPr>
                  <pic:blipFill>
                    <a:blip r:embed="rId160"/>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370" name="图片 370" descr="IMG_20220628_0935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0" name="图片 370" descr="IMG_20220628_093554"/>
                    <pic:cNvPicPr>
                      <a:picLocks noChangeAspect="true"/>
                    </pic:cNvPicPr>
                  </pic:nvPicPr>
                  <pic:blipFill>
                    <a:blip r:embed="rId161"/>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62</w:t>
      </w:r>
      <w:r>
        <w:rPr>
          <w:rFonts w:eastAsia="仿宋_GB2312" w:cs="Times New Roman"/>
        </w:rPr>
        <w:fldChar w:fldCharType="end"/>
      </w:r>
      <w:r>
        <w:rPr>
          <w:rFonts w:eastAsia="仿宋_GB2312" w:cs="Times New Roman"/>
        </w:rPr>
        <w:t>五小停车场充电站</w:t>
      </w:r>
    </w:p>
    <w:p>
      <w:pPr>
        <w:ind w:firstLine="560"/>
        <w:rPr>
          <w:rFonts w:eastAsia="仿宋_GB2312" w:cs="Times New Roman"/>
        </w:rPr>
      </w:pPr>
      <w:r>
        <w:rPr>
          <w:rFonts w:eastAsia="仿宋_GB2312" w:cs="Times New Roman"/>
        </w:rPr>
        <w:t>（9）青泉停车场充电站，位于赤壁市陆水湖大道润园附近停车场，新建2台120kW一机两枪直流充电桩。</w:t>
      </w:r>
    </w:p>
    <w:p>
      <w:pPr>
        <w:ind w:firstLine="560"/>
        <w:rPr>
          <w:rFonts w:eastAsia="仿宋_GB2312" w:cs="Times New Roman"/>
        </w:rPr>
      </w:pPr>
      <w:r>
        <w:rPr>
          <w:rFonts w:eastAsia="仿宋_GB2312" w:cs="Times New Roman"/>
        </w:rPr>
        <w:t>（10）东洲大道充电站，位于赤壁市东洲大道停车场，新建4台120kW一机两枪直流充电桩。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371" name="图片 371" descr="IMG_20220628_1654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1" name="图片 371" descr="IMG_20220628_165439"/>
                    <pic:cNvPicPr>
                      <a:picLocks noChangeAspect="true"/>
                    </pic:cNvPicPr>
                  </pic:nvPicPr>
                  <pic:blipFill>
                    <a:blip r:embed="rId162"/>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372" name="图片 372" descr="IMG_20220628_1654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2" name="图片 372" descr="IMG_20220628_165449"/>
                    <pic:cNvPicPr>
                      <a:picLocks noChangeAspect="true"/>
                    </pic:cNvPicPr>
                  </pic:nvPicPr>
                  <pic:blipFill>
                    <a:blip r:embed="rId163"/>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63</w:t>
      </w:r>
      <w:r>
        <w:rPr>
          <w:rFonts w:eastAsia="仿宋_GB2312" w:cs="Times New Roman"/>
        </w:rPr>
        <w:fldChar w:fldCharType="end"/>
      </w:r>
      <w:r>
        <w:rPr>
          <w:rFonts w:eastAsia="仿宋_GB2312" w:cs="Times New Roman"/>
        </w:rPr>
        <w:t>东洲大道充电站</w:t>
      </w:r>
    </w:p>
    <w:p>
      <w:pPr>
        <w:ind w:firstLine="560"/>
        <w:rPr>
          <w:rFonts w:eastAsia="仿宋_GB2312" w:cs="Times New Roman"/>
        </w:rPr>
      </w:pPr>
      <w:r>
        <w:rPr>
          <w:rFonts w:eastAsia="仿宋_GB2312" w:cs="Times New Roman"/>
        </w:rPr>
        <w:t>（11）赤壁市体育中心充电站，位于赤壁市体育中心停车场，新建4台120kW一机两枪直流充电桩。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591435" cy="1943735"/>
            <wp:effectExtent l="0" t="0" r="14605" b="6985"/>
            <wp:docPr id="373" name="图片 373" descr="IMG_20220628_1017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3" name="图片 373" descr="IMG_20220628_101723"/>
                    <pic:cNvPicPr>
                      <a:picLocks noChangeAspect="true"/>
                    </pic:cNvPicPr>
                  </pic:nvPicPr>
                  <pic:blipFill>
                    <a:blip r:embed="rId164"/>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374" name="图片 374" descr="IMG_20220628_1016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4" name="图片 374" descr="IMG_20220628_101659"/>
                    <pic:cNvPicPr>
                      <a:picLocks noChangeAspect="true"/>
                    </pic:cNvPicPr>
                  </pic:nvPicPr>
                  <pic:blipFill>
                    <a:blip r:embed="rId165"/>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64</w:t>
      </w:r>
      <w:r>
        <w:rPr>
          <w:rFonts w:eastAsia="仿宋_GB2312" w:cs="Times New Roman"/>
        </w:rPr>
        <w:fldChar w:fldCharType="end"/>
      </w:r>
      <w:r>
        <w:rPr>
          <w:rFonts w:eastAsia="仿宋_GB2312" w:cs="Times New Roman"/>
        </w:rPr>
        <w:t>壁市体育中心充电站</w:t>
      </w:r>
    </w:p>
    <w:p>
      <w:pPr>
        <w:ind w:firstLine="560"/>
        <w:rPr>
          <w:rFonts w:eastAsia="仿宋_GB2312" w:cs="Times New Roman"/>
        </w:rPr>
      </w:pPr>
      <w:r>
        <w:rPr>
          <w:rFonts w:eastAsia="仿宋_GB2312" w:cs="Times New Roman"/>
        </w:rPr>
        <w:t>（12）高新区二号停车场充电站，位于赤壁市中伙大道高新区二号停车场，新建4台120kW一机两枪直流充电桩。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3839845" cy="2879725"/>
            <wp:effectExtent l="0" t="0" r="635" b="635"/>
            <wp:docPr id="375" name="图片 375" descr="IMG_20220628_1007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5" name="图片 375" descr="IMG_20220628_100701"/>
                    <pic:cNvPicPr>
                      <a:picLocks noChangeAspect="true"/>
                    </pic:cNvPicPr>
                  </pic:nvPicPr>
                  <pic:blipFill>
                    <a:blip r:embed="rId166"/>
                    <a:srcRect l="-146" r="146"/>
                    <a:stretch>
                      <a:fillRect/>
                    </a:stretch>
                  </pic:blipFill>
                  <pic:spPr>
                    <a:xfrm>
                      <a:off x="0" y="0"/>
                      <a:ext cx="3839845" cy="287972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65</w:t>
      </w:r>
      <w:r>
        <w:rPr>
          <w:rFonts w:eastAsia="仿宋_GB2312" w:cs="Times New Roman"/>
        </w:rPr>
        <w:fldChar w:fldCharType="end"/>
      </w:r>
      <w:r>
        <w:rPr>
          <w:rFonts w:eastAsia="仿宋_GB2312" w:cs="Times New Roman"/>
        </w:rPr>
        <w:t>高新区二号停车场充电站</w:t>
      </w:r>
    </w:p>
    <w:p>
      <w:pPr>
        <w:ind w:firstLine="560"/>
        <w:rPr>
          <w:rFonts w:eastAsia="仿宋_GB2312" w:cs="Times New Roman"/>
        </w:rPr>
      </w:pPr>
      <w:r>
        <w:rPr>
          <w:rFonts w:eastAsia="仿宋_GB2312" w:cs="Times New Roman"/>
        </w:rPr>
        <w:t>（13）斋公岭充电站，位于赤壁市迎宾大道城市建设投资内部停车场，新建2台120kW一机两枪直流充电桩。</w:t>
      </w:r>
    </w:p>
    <w:p>
      <w:pPr>
        <w:ind w:firstLine="560"/>
        <w:rPr>
          <w:rFonts w:eastAsia="仿宋_GB2312" w:cs="Times New Roman"/>
        </w:rPr>
      </w:pPr>
      <w:r>
        <w:rPr>
          <w:rFonts w:eastAsia="仿宋_GB2312" w:cs="Times New Roman"/>
        </w:rPr>
        <w:t>（14）陆水湖风景区停车场充电站，位于赤壁市陆水湖大道与沿湖路交叉路口往西南约80米，新建10台120kW一机两枪直流充电桩。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114300" distR="114300">
            <wp:extent cx="2362835" cy="1772285"/>
            <wp:effectExtent l="0" t="0" r="0" b="0"/>
            <wp:docPr id="376" name="图片 376" descr="IMG_20220628_1705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6" name="图片 376" descr="IMG_20220628_170535"/>
                    <pic:cNvPicPr>
                      <a:picLocks noChangeAspect="true"/>
                    </pic:cNvPicPr>
                  </pic:nvPicPr>
                  <pic:blipFill>
                    <a:blip r:embed="rId167"/>
                    <a:stretch>
                      <a:fillRect/>
                    </a:stretch>
                  </pic:blipFill>
                  <pic:spPr>
                    <a:xfrm>
                      <a:off x="0" y="0"/>
                      <a:ext cx="2380043" cy="1785177"/>
                    </a:xfrm>
                    <a:prstGeom prst="rect">
                      <a:avLst/>
                    </a:prstGeom>
                  </pic:spPr>
                </pic:pic>
              </a:graphicData>
            </a:graphic>
          </wp:inline>
        </w:drawing>
      </w:r>
      <w:r>
        <w:rPr>
          <w:rFonts w:eastAsia="仿宋_GB2312" w:cs="Times New Roman"/>
        </w:rPr>
        <w:drawing>
          <wp:inline distT="0" distB="0" distL="114300" distR="114300">
            <wp:extent cx="2350770" cy="1763395"/>
            <wp:effectExtent l="0" t="0" r="0" b="8255"/>
            <wp:docPr id="377" name="图片 377" descr="IMG_20220628_1705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7" name="图片 377" descr="IMG_20220628_170550"/>
                    <pic:cNvPicPr>
                      <a:picLocks noChangeAspect="true"/>
                    </pic:cNvPicPr>
                  </pic:nvPicPr>
                  <pic:blipFill>
                    <a:blip r:embed="rId168"/>
                    <a:stretch>
                      <a:fillRect/>
                    </a:stretch>
                  </pic:blipFill>
                  <pic:spPr>
                    <a:xfrm>
                      <a:off x="0" y="0"/>
                      <a:ext cx="2373021" cy="1779911"/>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66</w:t>
      </w:r>
      <w:r>
        <w:rPr>
          <w:rFonts w:eastAsia="仿宋_GB2312" w:cs="Times New Roman"/>
        </w:rPr>
        <w:fldChar w:fldCharType="end"/>
      </w:r>
      <w:r>
        <w:rPr>
          <w:rFonts w:eastAsia="仿宋_GB2312" w:cs="Times New Roman"/>
        </w:rPr>
        <w:t>陆水湖风景区停车场充电站</w:t>
      </w:r>
    </w:p>
    <w:p>
      <w:pPr>
        <w:ind w:firstLine="560"/>
        <w:rPr>
          <w:rFonts w:eastAsia="仿宋_GB2312" w:cs="Times New Roman"/>
        </w:rPr>
      </w:pPr>
      <w:r>
        <w:rPr>
          <w:rFonts w:eastAsia="仿宋_GB2312" w:cs="Times New Roman"/>
        </w:rPr>
        <w:t>（15）赤壁市中医医院充电站，位于赤壁市沿河大道285号，新建4台120kW一机两枪直流充电桩。</w:t>
      </w:r>
    </w:p>
    <w:p>
      <w:pPr>
        <w:ind w:firstLine="560"/>
        <w:rPr>
          <w:rFonts w:eastAsia="仿宋_GB2312" w:cs="Times New Roman"/>
        </w:rPr>
      </w:pPr>
      <w:r>
        <w:rPr>
          <w:rFonts w:eastAsia="仿宋_GB2312" w:cs="Times New Roman"/>
        </w:rPr>
        <w:t>（16）赤壁市二中充电站，位于赤壁市金鸡山路51号，新建1台120kW一机两枪直流充电桩。</w:t>
      </w:r>
    </w:p>
    <w:p>
      <w:pPr>
        <w:pStyle w:val="19"/>
        <w:rPr>
          <w:rFonts w:eastAsia="仿宋_GB2312" w:cs="Times New Roman"/>
        </w:rPr>
      </w:pPr>
      <w:r>
        <w:rPr>
          <w:rFonts w:eastAsia="仿宋_GB2312" w:cs="Times New Roman"/>
        </w:rPr>
        <w:drawing>
          <wp:inline distT="0" distB="0" distL="114300" distR="114300">
            <wp:extent cx="2422525" cy="1816735"/>
            <wp:effectExtent l="0" t="0" r="0" b="0"/>
            <wp:docPr id="378" name="图片 378" descr="IMG_20220628_1617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8" name="图片 378" descr="IMG_20220628_161723"/>
                    <pic:cNvPicPr>
                      <a:picLocks noChangeAspect="true"/>
                    </pic:cNvPicPr>
                  </pic:nvPicPr>
                  <pic:blipFill>
                    <a:blip r:embed="rId169"/>
                    <a:stretch>
                      <a:fillRect/>
                    </a:stretch>
                  </pic:blipFill>
                  <pic:spPr>
                    <a:xfrm>
                      <a:off x="0" y="0"/>
                      <a:ext cx="2428793" cy="1821744"/>
                    </a:xfrm>
                    <a:prstGeom prst="rect">
                      <a:avLst/>
                    </a:prstGeom>
                  </pic:spPr>
                </pic:pic>
              </a:graphicData>
            </a:graphic>
          </wp:inline>
        </w:drawing>
      </w:r>
      <w:r>
        <w:rPr>
          <w:rFonts w:eastAsia="仿宋_GB2312" w:cs="Times New Roman"/>
        </w:rPr>
        <w:drawing>
          <wp:inline distT="0" distB="0" distL="114300" distR="114300">
            <wp:extent cx="2422525" cy="1816735"/>
            <wp:effectExtent l="0" t="0" r="0" b="0"/>
            <wp:docPr id="379" name="图片 379" descr="IMG_20220628_1617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9" name="图片 379" descr="IMG_20220628_161740"/>
                    <pic:cNvPicPr>
                      <a:picLocks noChangeAspect="true"/>
                    </pic:cNvPicPr>
                  </pic:nvPicPr>
                  <pic:blipFill>
                    <a:blip r:embed="rId170"/>
                    <a:stretch>
                      <a:fillRect/>
                    </a:stretch>
                  </pic:blipFill>
                  <pic:spPr>
                    <a:xfrm>
                      <a:off x="0" y="0"/>
                      <a:ext cx="2436278" cy="1827358"/>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67</w:t>
      </w:r>
      <w:r>
        <w:rPr>
          <w:rFonts w:eastAsia="仿宋_GB2312" w:cs="Times New Roman"/>
        </w:rPr>
        <w:fldChar w:fldCharType="end"/>
      </w:r>
      <w:r>
        <w:rPr>
          <w:rFonts w:eastAsia="仿宋_GB2312" w:cs="Times New Roman"/>
        </w:rPr>
        <w:t>赤壁市二中充电站</w:t>
      </w:r>
    </w:p>
    <w:p>
      <w:pPr>
        <w:ind w:firstLine="560"/>
        <w:rPr>
          <w:rFonts w:eastAsia="仿宋_GB2312" w:cs="Times New Roman"/>
        </w:rPr>
      </w:pPr>
      <w:r>
        <w:rPr>
          <w:rFonts w:eastAsia="仿宋_GB2312" w:cs="Times New Roman"/>
        </w:rPr>
        <w:t>（17）和尚岭充电站，位于城西游乐园停车场，新建1台120kW一机两枪直流充电桩。</w:t>
      </w:r>
    </w:p>
    <w:p>
      <w:pPr>
        <w:pStyle w:val="19"/>
        <w:rPr>
          <w:rFonts w:eastAsia="仿宋_GB2312" w:cs="Times New Roman"/>
        </w:rPr>
      </w:pPr>
      <w:r>
        <w:rPr>
          <w:rFonts w:eastAsia="仿宋_GB2312" w:cs="Times New Roman"/>
        </w:rPr>
        <w:drawing>
          <wp:inline distT="0" distB="0" distL="114300" distR="114300">
            <wp:extent cx="2458085" cy="1843405"/>
            <wp:effectExtent l="0" t="0" r="0" b="4445"/>
            <wp:docPr id="380" name="图片 380" descr="IMG_20220628_1047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0" name="图片 380" descr="IMG_20220628_104711"/>
                    <pic:cNvPicPr>
                      <a:picLocks noChangeAspect="true"/>
                    </pic:cNvPicPr>
                  </pic:nvPicPr>
                  <pic:blipFill>
                    <a:blip r:embed="rId171"/>
                    <a:stretch>
                      <a:fillRect/>
                    </a:stretch>
                  </pic:blipFill>
                  <pic:spPr>
                    <a:xfrm>
                      <a:off x="0" y="0"/>
                      <a:ext cx="2461075" cy="1845957"/>
                    </a:xfrm>
                    <a:prstGeom prst="rect">
                      <a:avLst/>
                    </a:prstGeom>
                  </pic:spPr>
                </pic:pic>
              </a:graphicData>
            </a:graphic>
          </wp:inline>
        </w:drawing>
      </w:r>
      <w:r>
        <w:rPr>
          <w:rFonts w:eastAsia="仿宋_GB2312" w:cs="Times New Roman"/>
        </w:rPr>
        <w:drawing>
          <wp:inline distT="0" distB="0" distL="114300" distR="114300">
            <wp:extent cx="2458085" cy="1843405"/>
            <wp:effectExtent l="0" t="0" r="0" b="4445"/>
            <wp:docPr id="381" name="图片 381" descr="IMG_20220628_1047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1" name="图片 381" descr="IMG_20220628_104720"/>
                    <pic:cNvPicPr>
                      <a:picLocks noChangeAspect="true"/>
                    </pic:cNvPicPr>
                  </pic:nvPicPr>
                  <pic:blipFill>
                    <a:blip r:embed="rId172"/>
                    <a:stretch>
                      <a:fillRect/>
                    </a:stretch>
                  </pic:blipFill>
                  <pic:spPr>
                    <a:xfrm>
                      <a:off x="0" y="0"/>
                      <a:ext cx="2465937" cy="1849603"/>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68</w:t>
      </w:r>
      <w:r>
        <w:rPr>
          <w:rFonts w:eastAsia="仿宋_GB2312" w:cs="Times New Roman"/>
        </w:rPr>
        <w:fldChar w:fldCharType="end"/>
      </w:r>
      <w:r>
        <w:rPr>
          <w:rFonts w:eastAsia="仿宋_GB2312" w:cs="Times New Roman"/>
        </w:rPr>
        <w:t>和尚岭充电站</w:t>
      </w:r>
    </w:p>
    <w:p>
      <w:pPr>
        <w:ind w:firstLine="560"/>
        <w:rPr>
          <w:rFonts w:eastAsia="仿宋_GB2312" w:cs="Times New Roman"/>
        </w:rPr>
      </w:pPr>
      <w:r>
        <w:rPr>
          <w:rFonts w:eastAsia="仿宋_GB2312" w:cs="Times New Roman"/>
        </w:rPr>
        <w:t>（18）赤壁市第三人民医院充电站，位于赤壁市河北大道78号第三人民医院，新建4台120kW一机两枪直流充电桩。</w:t>
      </w:r>
    </w:p>
    <w:p>
      <w:pPr>
        <w:ind w:firstLine="560"/>
        <w:rPr>
          <w:rFonts w:eastAsia="仿宋_GB2312" w:cs="Times New Roman"/>
        </w:rPr>
      </w:pPr>
      <w:r>
        <w:rPr>
          <w:rFonts w:eastAsia="仿宋_GB2312" w:cs="Times New Roman"/>
        </w:rPr>
        <w:t>（19）天骄华庭购物广场充电站，位于赤壁市河北大道207号天骄华庭B座三楼，新建4台120kW一机两枪直流充电桩。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384" name="图片 384" descr="IMG_20220628_1642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4" name="图片 384" descr="IMG_20220628_164250"/>
                    <pic:cNvPicPr>
                      <a:picLocks noChangeAspect="true"/>
                    </pic:cNvPicPr>
                  </pic:nvPicPr>
                  <pic:blipFill>
                    <a:blip r:embed="rId173"/>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385" name="图片 385" descr="IMG_20220628_1644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5" name="图片 385" descr="IMG_20220628_164441"/>
                    <pic:cNvPicPr>
                      <a:picLocks noChangeAspect="true"/>
                    </pic:cNvPicPr>
                  </pic:nvPicPr>
                  <pic:blipFill>
                    <a:blip r:embed="rId174"/>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69</w:t>
      </w:r>
      <w:r>
        <w:rPr>
          <w:rFonts w:eastAsia="仿宋_GB2312" w:cs="Times New Roman"/>
        </w:rPr>
        <w:fldChar w:fldCharType="end"/>
      </w:r>
      <w:r>
        <w:rPr>
          <w:rFonts w:eastAsia="仿宋_GB2312" w:cs="Times New Roman"/>
        </w:rPr>
        <w:t>天骄华庭购物广场充电站</w:t>
      </w:r>
    </w:p>
    <w:p>
      <w:pPr>
        <w:ind w:firstLine="560"/>
        <w:rPr>
          <w:rFonts w:eastAsia="仿宋_GB2312" w:cs="Times New Roman"/>
        </w:rPr>
      </w:pPr>
      <w:r>
        <w:rPr>
          <w:rFonts w:eastAsia="仿宋_GB2312" w:cs="Times New Roman"/>
        </w:rPr>
        <w:t>（20）砂子岭公园充电站，位于赤壁市赤壁大道砂子岭公园，新建4台120kW一机两枪直流充电桩。</w:t>
      </w:r>
    </w:p>
    <w:p>
      <w:pPr>
        <w:pStyle w:val="19"/>
        <w:rPr>
          <w:rFonts w:eastAsia="仿宋_GB2312" w:cs="Times New Roman"/>
        </w:rPr>
      </w:pPr>
      <w:r>
        <w:rPr>
          <w:rFonts w:eastAsia="仿宋_GB2312" w:cs="Times New Roman"/>
        </w:rPr>
        <w:drawing>
          <wp:inline distT="0" distB="0" distL="114300" distR="114300">
            <wp:extent cx="2591435" cy="1943735"/>
            <wp:effectExtent l="0" t="0" r="14605" b="6985"/>
            <wp:docPr id="386" name="图片 386" descr="IMG_20220628_1501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6" name="图片 386" descr="IMG_20220628_150114"/>
                    <pic:cNvPicPr>
                      <a:picLocks noChangeAspect="true"/>
                    </pic:cNvPicPr>
                  </pic:nvPicPr>
                  <pic:blipFill>
                    <a:blip r:embed="rId175"/>
                    <a:stretch>
                      <a:fillRect/>
                    </a:stretch>
                  </pic:blipFill>
                  <pic:spPr>
                    <a:xfrm>
                      <a:off x="0" y="0"/>
                      <a:ext cx="2591435" cy="1943735"/>
                    </a:xfrm>
                    <a:prstGeom prst="rect">
                      <a:avLst/>
                    </a:prstGeom>
                  </pic:spPr>
                </pic:pic>
              </a:graphicData>
            </a:graphic>
          </wp:inline>
        </w:drawing>
      </w:r>
      <w:r>
        <w:rPr>
          <w:rFonts w:eastAsia="仿宋_GB2312" w:cs="Times New Roman"/>
        </w:rPr>
        <w:drawing>
          <wp:inline distT="0" distB="0" distL="114300" distR="114300">
            <wp:extent cx="2591435" cy="1943735"/>
            <wp:effectExtent l="0" t="0" r="14605" b="6985"/>
            <wp:docPr id="387" name="图片 387" descr="IMG_20220628_1501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7" name="图片 387" descr="IMG_20220628_150117"/>
                    <pic:cNvPicPr>
                      <a:picLocks noChangeAspect="true"/>
                    </pic:cNvPicPr>
                  </pic:nvPicPr>
                  <pic:blipFill>
                    <a:blip r:embed="rId176"/>
                    <a:stretch>
                      <a:fillRect/>
                    </a:stretch>
                  </pic:blipFill>
                  <pic:spPr>
                    <a:xfrm>
                      <a:off x="0" y="0"/>
                      <a:ext cx="2591435" cy="19437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70</w:t>
      </w:r>
      <w:r>
        <w:rPr>
          <w:rFonts w:eastAsia="仿宋_GB2312" w:cs="Times New Roman"/>
        </w:rPr>
        <w:fldChar w:fldCharType="end"/>
      </w:r>
      <w:r>
        <w:rPr>
          <w:rFonts w:eastAsia="仿宋_GB2312" w:cs="Times New Roman"/>
        </w:rPr>
        <w:t>砂子岭公园充电站</w:t>
      </w:r>
    </w:p>
    <w:p>
      <w:pPr>
        <w:ind w:firstLine="560"/>
        <w:rPr>
          <w:rFonts w:eastAsia="仿宋_GB2312" w:cs="Times New Roman"/>
        </w:rPr>
      </w:pPr>
      <w:r>
        <w:rPr>
          <w:rFonts w:eastAsia="仿宋_GB2312" w:cs="Times New Roman"/>
        </w:rPr>
        <w:t>（21）赤壁市神山镇公共充电站，位于赤壁市神山镇，新建4台120kW一机两枪直流充电桩。</w:t>
      </w:r>
    </w:p>
    <w:p>
      <w:pPr>
        <w:ind w:firstLine="560"/>
        <w:rPr>
          <w:rFonts w:eastAsia="仿宋_GB2312" w:cs="Times New Roman"/>
        </w:rPr>
      </w:pPr>
      <w:r>
        <w:rPr>
          <w:rFonts w:eastAsia="仿宋_GB2312" w:cs="Times New Roman"/>
        </w:rPr>
        <w:t>（22）赤壁古战场国家电网充电站，位于赤壁古战场，扩建20台120kW一机两枪直流充电桩。</w:t>
      </w:r>
    </w:p>
    <w:p>
      <w:pPr>
        <w:ind w:firstLine="560"/>
        <w:rPr>
          <w:rFonts w:eastAsia="仿宋_GB2312" w:cs="Times New Roman"/>
        </w:rPr>
      </w:pPr>
      <w:r>
        <w:rPr>
          <w:rFonts w:eastAsia="仿宋_GB2312" w:cs="Times New Roman"/>
        </w:rPr>
        <w:t>（23）赤壁市新店镇公共充电站，位于赤壁市新店镇，新建4台120kW一机两枪直流充电桩。</w:t>
      </w:r>
    </w:p>
    <w:p>
      <w:pPr>
        <w:ind w:firstLine="560"/>
        <w:rPr>
          <w:rFonts w:eastAsia="仿宋_GB2312" w:cs="Times New Roman"/>
        </w:rPr>
      </w:pPr>
      <w:r>
        <w:rPr>
          <w:rFonts w:eastAsia="仿宋_GB2312" w:cs="Times New Roman"/>
        </w:rPr>
        <w:t>（24）赤壁市黄盖湖镇公共充电站，位于赤壁市黄盖湖镇，新建4台120kW一机两枪直流充电桩。</w:t>
      </w:r>
    </w:p>
    <w:p>
      <w:pPr>
        <w:ind w:firstLine="560"/>
        <w:rPr>
          <w:rFonts w:eastAsia="仿宋_GB2312" w:cs="Times New Roman"/>
        </w:rPr>
      </w:pPr>
      <w:r>
        <w:rPr>
          <w:rFonts w:eastAsia="仿宋_GB2312" w:cs="Times New Roman"/>
        </w:rPr>
        <w:t>（25）赤壁市车埠镇公共充电站，位于赤壁市车埠镇，新建4台120kW一机两枪直流充电桩。</w:t>
      </w:r>
    </w:p>
    <w:p>
      <w:pPr>
        <w:ind w:firstLine="560"/>
        <w:rPr>
          <w:rFonts w:eastAsia="仿宋_GB2312" w:cs="Times New Roman"/>
        </w:rPr>
      </w:pPr>
      <w:r>
        <w:rPr>
          <w:rFonts w:eastAsia="仿宋_GB2312" w:cs="Times New Roman"/>
        </w:rPr>
        <w:t>（26）赤壁市柳山湖镇公共充电站，位于赤壁市柳山湖镇，新建4台120kW一机两枪直流充电桩。</w:t>
      </w:r>
    </w:p>
    <w:p>
      <w:pPr>
        <w:ind w:firstLine="560"/>
        <w:rPr>
          <w:rFonts w:eastAsia="仿宋_GB2312" w:cs="Times New Roman"/>
        </w:rPr>
      </w:pPr>
      <w:r>
        <w:rPr>
          <w:rFonts w:eastAsia="仿宋_GB2312" w:cs="Times New Roman"/>
        </w:rPr>
        <w:t>（27）赤壁市茶庵岭镇公共充电站，位于赤壁市茶庵岭镇，新建4台120kW一机两枪直流充电桩。</w:t>
      </w:r>
    </w:p>
    <w:p>
      <w:pPr>
        <w:ind w:firstLine="560"/>
        <w:rPr>
          <w:rFonts w:eastAsia="仿宋_GB2312" w:cs="Times New Roman"/>
        </w:rPr>
      </w:pPr>
      <w:r>
        <w:rPr>
          <w:rFonts w:eastAsia="仿宋_GB2312" w:cs="Times New Roman"/>
        </w:rPr>
        <w:t>（28）赤壁市赵李桥镇公共充电站，位于赤壁市赵李桥镇，新建4台120kW一机两枪直流充电桩。</w:t>
      </w:r>
    </w:p>
    <w:p>
      <w:pPr>
        <w:ind w:firstLine="560"/>
        <w:rPr>
          <w:rFonts w:eastAsia="仿宋_GB2312" w:cs="Times New Roman"/>
        </w:rPr>
      </w:pPr>
      <w:r>
        <w:rPr>
          <w:rFonts w:eastAsia="仿宋_GB2312" w:cs="Times New Roman"/>
        </w:rPr>
        <w:t>（29）赤壁市余家桥乡公共充电站，位于赤壁市余家桥乡公共充电站，新建4台120kW一机两枪直流充电桩。</w:t>
      </w:r>
    </w:p>
    <w:p>
      <w:pPr>
        <w:ind w:firstLine="560"/>
        <w:rPr>
          <w:rFonts w:eastAsia="仿宋_GB2312" w:cs="Times New Roman"/>
        </w:rPr>
      </w:pPr>
      <w:r>
        <w:rPr>
          <w:rFonts w:eastAsia="仿宋_GB2312" w:cs="Times New Roman"/>
        </w:rPr>
        <w:t>（30）兴地广场充电站，位于赤壁市兴地广场，新建1台120kW一机两枪直流充电桩。</w:t>
      </w:r>
    </w:p>
    <w:p>
      <w:pPr>
        <w:ind w:firstLine="560"/>
        <w:rPr>
          <w:rFonts w:eastAsia="仿宋_GB2312" w:cs="Times New Roman"/>
        </w:rPr>
      </w:pPr>
      <w:r>
        <w:rPr>
          <w:rFonts w:eastAsia="仿宋_GB2312" w:cs="Times New Roman"/>
        </w:rPr>
        <w:t>（31）金家山充电站，位于赤壁市金家山，新建5台240kW一机两枪直流充电桩。</w:t>
      </w:r>
    </w:p>
    <w:p>
      <w:pPr>
        <w:ind w:firstLine="560"/>
        <w:rPr>
          <w:rFonts w:eastAsia="仿宋_GB2312" w:cs="Times New Roman"/>
        </w:rPr>
      </w:pPr>
      <w:r>
        <w:rPr>
          <w:rFonts w:eastAsia="仿宋_GB2312" w:cs="Times New Roman"/>
        </w:rPr>
        <w:t>（32）龙佑赤壁温泉旅游度假区充电站，位于赤壁市赤壁大道774号，新建10台120kW一机两枪直流充电桩。</w:t>
      </w:r>
    </w:p>
    <w:p>
      <w:pPr>
        <w:pStyle w:val="19"/>
        <w:ind w:firstLine="560"/>
        <w:rPr>
          <w:rFonts w:eastAsia="仿宋_GB2312" w:cs="Times New Roman"/>
        </w:rPr>
      </w:pPr>
      <w:r>
        <w:rPr>
          <w:rFonts w:eastAsia="仿宋_GB2312" w:cs="Times New Roman"/>
        </w:rPr>
        <w:t xml:space="preserve">                      </w:t>
      </w:r>
      <w:bookmarkStart w:id="189" w:name="_Ref115443217"/>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13</w:t>
      </w:r>
      <w:r>
        <w:rPr>
          <w:rFonts w:eastAsia="仿宋_GB2312" w:cs="Times New Roman"/>
        </w:rPr>
        <w:fldChar w:fldCharType="end"/>
      </w:r>
      <w:bookmarkEnd w:id="189"/>
      <w:r>
        <w:rPr>
          <w:rFonts w:eastAsia="仿宋_GB2312" w:cs="Times New Roman"/>
        </w:rPr>
        <w:t>赤壁市外部公共充电站布局规划表        单位：个、平米、年</w:t>
      </w:r>
    </w:p>
    <w:tbl>
      <w:tblPr>
        <w:tblStyle w:val="7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2782"/>
        <w:gridCol w:w="2191"/>
        <w:gridCol w:w="711"/>
        <w:gridCol w:w="711"/>
        <w:gridCol w:w="711"/>
        <w:gridCol w:w="7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blHeader/>
        </w:trPr>
        <w:tc>
          <w:tcPr>
            <w:tcW w:w="41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序号</w:t>
            </w:r>
          </w:p>
        </w:tc>
        <w:tc>
          <w:tcPr>
            <w:tcW w:w="163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名称</w:t>
            </w:r>
          </w:p>
        </w:tc>
        <w:tc>
          <w:tcPr>
            <w:tcW w:w="128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地理位置</w:t>
            </w:r>
          </w:p>
        </w:tc>
        <w:tc>
          <w:tcPr>
            <w:tcW w:w="41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实施类型</w:t>
            </w:r>
          </w:p>
        </w:tc>
        <w:tc>
          <w:tcPr>
            <w:tcW w:w="41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充电桩数</w:t>
            </w:r>
          </w:p>
        </w:tc>
        <w:tc>
          <w:tcPr>
            <w:tcW w:w="41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预留面积</w:t>
            </w:r>
          </w:p>
        </w:tc>
        <w:tc>
          <w:tcPr>
            <w:tcW w:w="41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规划实施年份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中伙铺停车场充电站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赤壁市中伙铺镇卫生院东北侧约210米</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赤壁市人民医院停车场充电站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赤壁市河北大道260号</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赤壁高铁广场充电站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赤壁市龙翔路赤壁北站</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教育局沿河停车场充电站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赤壁市沿河大道市教委附近</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金三角停车场充电站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赤壁市莼川大道147-42号</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华中科技大学同济赤壁医院停车场充电站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赤壁市荆泉大道同济赤壁医院</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赤壁市古驿广场充电站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赤壁市古驿大道与金湾大道交叉路口往西约130米</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五小停车场充电站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赤壁市第二实验小学对面五小停车场</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500</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青泉停车场充电站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赤壁市陆水湖大道润园附近停车场</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19.2</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东洲大道充电站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赤壁市东洲大道停车场</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赤壁市体育中心充电站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赤壁市体育中心停车场</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高新区二号停车场充电站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赤壁市中伙大道高新区二号停车场</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斋公岭充电站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赤壁市迎宾大道城市建设投资内部停车场</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19.2</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14</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陆水湖风景区停车场充电站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赤壁市陆水湖大道与沿湖路交叉路口往西南约80米</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赤壁市中医医院充电站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赤壁市沿河大道285号</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赤壁市二中充电站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赤壁市金鸡山路51号</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15.6</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17</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和尚岭充电站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城西游乐园停车场</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15.6</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18</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赤壁市第三人民医院充电站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赤壁市河北大道78号第三人民医院</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天骄华庭购物广场充电站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赤壁市河北大道207号天骄华庭B座三楼</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砂子岭公园充电站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赤壁市赤壁大道砂子岭公园充电站</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21</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赤壁市神山镇公共充电站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赤壁市神山镇</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赤壁古战场国家电网充电站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赤壁古战场</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规划扩建</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23</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赤壁市新店镇公共充电站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赤壁市新店镇</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24</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赤壁市黄盖湖镇公共充电站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赤壁市黄盖湖镇</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赤壁市车埠镇公共充电站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赤壁市车埠镇</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赤壁市柳山湖镇公共充电站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赤壁市柳山湖镇</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赤壁市茶庵岭镇公共充电站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赤壁市茶庵岭镇</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28</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赤壁市赵李桥镇公共充电站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赤壁市赵李桥镇</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29</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赤壁市余家桥乡公共充电站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赤壁市余家桥乡</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兴地广场充电站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兴地广场</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15.6</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31</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金家山充电站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赤壁市金家山</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32</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龙佑赤壁温泉旅游度假区充电站</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赤壁市赤壁大道774号</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1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汇总</w:t>
            </w:r>
          </w:p>
        </w:tc>
        <w:tc>
          <w:tcPr>
            <w:tcW w:w="163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12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290</w:t>
            </w:r>
          </w:p>
        </w:tc>
        <w:tc>
          <w:tcPr>
            <w:tcW w:w="41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1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223895"/>
            <wp:effectExtent l="0" t="0" r="2540" b="0"/>
            <wp:docPr id="7222" name="图片 72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22" name="图片 7222"/>
                    <pic:cNvPicPr>
                      <a:picLocks noChangeAspect="true"/>
                    </pic:cNvPicPr>
                  </pic:nvPicPr>
                  <pic:blipFill>
                    <a:blip r:embed="rId177"/>
                    <a:stretch>
                      <a:fillRect/>
                    </a:stretch>
                  </pic:blipFill>
                  <pic:spPr>
                    <a:xfrm>
                      <a:off x="0" y="0"/>
                      <a:ext cx="5274310" cy="322389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71</w:t>
      </w:r>
      <w:r>
        <w:rPr>
          <w:rFonts w:eastAsia="仿宋_GB2312" w:cs="Times New Roman"/>
        </w:rPr>
        <w:fldChar w:fldCharType="end"/>
      </w:r>
      <w:r>
        <w:rPr>
          <w:rFonts w:eastAsia="仿宋_GB2312" w:cs="Times New Roman"/>
        </w:rPr>
        <w:t>赤壁市城区外部公共充电站布点图</w:t>
      </w:r>
    </w:p>
    <w:p>
      <w:pPr>
        <w:ind w:firstLine="562"/>
        <w:rPr>
          <w:rFonts w:eastAsia="仿宋_GB2312" w:cs="Times New Roman"/>
          <w:b/>
          <w:bCs/>
        </w:rPr>
      </w:pPr>
      <w:r>
        <w:rPr>
          <w:rFonts w:eastAsia="仿宋_GB2312" w:cs="Times New Roman"/>
          <w:b/>
          <w:bCs/>
        </w:rPr>
        <w:t>2.小区公用充电设施</w:t>
      </w:r>
    </w:p>
    <w:p>
      <w:pPr>
        <w:ind w:firstLine="560"/>
        <w:rPr>
          <w:rFonts w:eastAsia="仿宋_GB2312" w:cs="Times New Roman"/>
          <w:szCs w:val="21"/>
        </w:rPr>
      </w:pPr>
      <w:r>
        <w:rPr>
          <w:rFonts w:eastAsia="仿宋_GB2312" w:cs="Times New Roman"/>
        </w:rPr>
        <w:t>“十四五”期间，根据对小区私家车充电设施的预测，结合居民住宅小区公共车位</w:t>
      </w:r>
      <w:r>
        <w:rPr>
          <w:rFonts w:eastAsia="仿宋_GB2312" w:cs="Times New Roman"/>
          <w:szCs w:val="21"/>
        </w:rPr>
        <w:t>建设情况，至2025年，新建小区公共充电桩224个。小区公共充电桩规划如</w:t>
      </w:r>
      <w:r>
        <w:rPr>
          <w:rFonts w:eastAsia="仿宋_GB2312" w:cs="Times New Roman"/>
          <w:szCs w:val="21"/>
        </w:rPr>
        <w:fldChar w:fldCharType="begin"/>
      </w:r>
      <w:r>
        <w:rPr>
          <w:rFonts w:eastAsia="仿宋_GB2312" w:cs="Times New Roman"/>
          <w:szCs w:val="21"/>
        </w:rPr>
        <w:instrText xml:space="preserve"> REF _Ref112160033 \h  \* MERGEFORMAT </w:instrText>
      </w:r>
      <w:r>
        <w:rPr>
          <w:rFonts w:eastAsia="仿宋_GB2312" w:cs="Times New Roman"/>
          <w:szCs w:val="21"/>
        </w:rPr>
        <w:fldChar w:fldCharType="separate"/>
      </w:r>
      <w:r>
        <w:rPr>
          <w:rFonts w:eastAsia="仿宋_GB2312" w:cs="Times New Roman"/>
        </w:rPr>
        <w:t>表 4</w:t>
      </w:r>
      <w:r>
        <w:rPr>
          <w:rFonts w:eastAsia="仿宋_GB2312" w:cs="Times New Roman"/>
        </w:rPr>
        <w:noBreakHyphen/>
      </w:r>
      <w:r>
        <w:rPr>
          <w:rFonts w:eastAsia="仿宋_GB2312" w:cs="Times New Roman"/>
        </w:rPr>
        <w:t>14</w:t>
      </w:r>
      <w:r>
        <w:rPr>
          <w:rFonts w:eastAsia="仿宋_GB2312" w:cs="Times New Roman"/>
          <w:szCs w:val="21"/>
        </w:rPr>
        <w:fldChar w:fldCharType="end"/>
      </w:r>
      <w:r>
        <w:rPr>
          <w:rFonts w:eastAsia="仿宋_GB2312" w:cs="Times New Roman"/>
          <w:szCs w:val="21"/>
        </w:rPr>
        <w:t>所示。</w:t>
      </w:r>
    </w:p>
    <w:p>
      <w:pPr>
        <w:pStyle w:val="19"/>
        <w:ind w:left="1600" w:hanging="480"/>
        <w:rPr>
          <w:rFonts w:eastAsia="仿宋_GB2312" w:cs="Times New Roman"/>
          <w:szCs w:val="24"/>
        </w:rPr>
      </w:pPr>
      <w:bookmarkStart w:id="190" w:name="_Ref112160033"/>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14</w:t>
      </w:r>
      <w:r>
        <w:rPr>
          <w:rFonts w:eastAsia="仿宋_GB2312" w:cs="Times New Roman"/>
        </w:rPr>
        <w:fldChar w:fldCharType="end"/>
      </w:r>
      <w:bookmarkEnd w:id="190"/>
      <w:r>
        <w:rPr>
          <w:rFonts w:eastAsia="仿宋_GB2312" w:cs="Times New Roman"/>
        </w:rPr>
        <w:t>赤壁市小区公用充电桩规划统计表</w:t>
      </w:r>
    </w:p>
    <w:tbl>
      <w:tblPr>
        <w:tblStyle w:val="7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72"/>
        <w:gridCol w:w="1209"/>
        <w:gridCol w:w="1209"/>
        <w:gridCol w:w="1209"/>
        <w:gridCol w:w="1209"/>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9" w:hRule="atLeast"/>
          <w:tblHeader/>
          <w:jc w:val="center"/>
        </w:trPr>
        <w:tc>
          <w:tcPr>
            <w:tcW w:w="136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2022</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2023</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2024</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2025</w:t>
            </w:r>
          </w:p>
        </w:tc>
        <w:tc>
          <w:tcPr>
            <w:tcW w:w="726" w:type="pct"/>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十四五汇总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9" w:hRule="atLeast"/>
          <w:jc w:val="center"/>
        </w:trPr>
        <w:tc>
          <w:tcPr>
            <w:tcW w:w="136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小区公共充电桩</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38</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49</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60</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77</w:t>
            </w:r>
          </w:p>
        </w:tc>
        <w:tc>
          <w:tcPr>
            <w:tcW w:w="726" w:type="pct"/>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224</w:t>
            </w:r>
          </w:p>
        </w:tc>
      </w:tr>
    </w:tbl>
    <w:p>
      <w:pPr>
        <w:pStyle w:val="5"/>
        <w:adjustRightInd w:val="0"/>
        <w:snapToGrid w:val="0"/>
        <w:spacing w:before="312" w:beforeLines="100"/>
        <w:ind w:firstLine="284"/>
        <w:rPr>
          <w:rFonts w:eastAsia="仿宋_GB2312" w:cs="Times New Roman"/>
        </w:rPr>
      </w:pPr>
      <w:r>
        <w:rPr>
          <w:rFonts w:eastAsia="仿宋_GB2312" w:cs="Times New Roman"/>
        </w:rPr>
        <w:t>自用充电设施</w:t>
      </w:r>
    </w:p>
    <w:p>
      <w:pPr>
        <w:ind w:firstLine="560"/>
        <w:rPr>
          <w:rFonts w:eastAsia="仿宋_GB2312" w:cs="Times New Roman"/>
        </w:rPr>
      </w:pPr>
      <w:r>
        <w:rPr>
          <w:rFonts w:eastAsia="仿宋_GB2312" w:cs="Times New Roman"/>
        </w:rPr>
        <w:t>“十四五”期间，根据对小区充电设施的预测，结合新建居民住宅小区</w:t>
      </w:r>
      <w:r>
        <w:rPr>
          <w:rFonts w:eastAsia="仿宋_GB2312" w:cs="Times New Roman"/>
          <w:szCs w:val="21"/>
        </w:rPr>
        <w:t>建设情况和现有小区私人停车位改造情况进行规划布点，至2025年，新建小区自用充电桩889个。赤壁市小区自用充电桩规划如下表所示。</w:t>
      </w:r>
    </w:p>
    <w:p>
      <w:pPr>
        <w:pStyle w:val="19"/>
        <w:ind w:firstLine="560"/>
        <w:rPr>
          <w:rFonts w:eastAsia="仿宋_GB2312" w:cs="Times New Roman"/>
          <w:szCs w:val="24"/>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15</w:t>
      </w:r>
      <w:r>
        <w:rPr>
          <w:rFonts w:eastAsia="仿宋_GB2312" w:cs="Times New Roman"/>
        </w:rPr>
        <w:fldChar w:fldCharType="end"/>
      </w:r>
      <w:r>
        <w:rPr>
          <w:rFonts w:eastAsia="仿宋_GB2312" w:cs="Times New Roman"/>
        </w:rPr>
        <w:t>赤壁市私人充电桩规划统计表</w:t>
      </w:r>
    </w:p>
    <w:tbl>
      <w:tblPr>
        <w:tblStyle w:val="7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67"/>
        <w:gridCol w:w="1208"/>
        <w:gridCol w:w="1209"/>
        <w:gridCol w:w="1209"/>
        <w:gridCol w:w="1209"/>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136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2022</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2023</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2024</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2025</w:t>
            </w:r>
          </w:p>
        </w:tc>
        <w:tc>
          <w:tcPr>
            <w:tcW w:w="727" w:type="pct"/>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十四五汇总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小区自用充电桩（7kW）</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148</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196</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241</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304</w:t>
            </w:r>
          </w:p>
        </w:tc>
        <w:tc>
          <w:tcPr>
            <w:tcW w:w="727" w:type="pct"/>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889</w:t>
            </w:r>
          </w:p>
        </w:tc>
      </w:tr>
    </w:tbl>
    <w:p>
      <w:pPr>
        <w:pStyle w:val="4"/>
        <w:spacing w:before="312" w:beforeLines="100"/>
        <w:rPr>
          <w:rFonts w:eastAsia="仿宋_GB2312"/>
        </w:rPr>
      </w:pPr>
      <w:bookmarkStart w:id="191" w:name="_Toc117243224"/>
      <w:r>
        <w:rPr>
          <w:rFonts w:eastAsia="仿宋_GB2312"/>
        </w:rPr>
        <w:t>嘉鱼县充电设施布局</w:t>
      </w:r>
      <w:bookmarkEnd w:id="191"/>
    </w:p>
    <w:p>
      <w:pPr>
        <w:ind w:firstLine="560"/>
        <w:rPr>
          <w:rFonts w:eastAsia="仿宋_GB2312" w:cs="Times New Roman"/>
        </w:rPr>
      </w:pPr>
      <w:r>
        <w:rPr>
          <w:rFonts w:eastAsia="仿宋_GB2312" w:cs="Times New Roman"/>
        </w:rPr>
        <w:t>本次规划，十四五期间嘉鱼县共规划建设外部公共充电桩200个，小区公用充电桩124个；物流充电桩32个，环卫充电桩32个，公务车充电桩54个；小区自用充电桩485个。</w:t>
      </w:r>
    </w:p>
    <w:p>
      <w:pPr>
        <w:pStyle w:val="5"/>
        <w:adjustRightInd w:val="0"/>
        <w:snapToGrid w:val="0"/>
        <w:spacing w:before="156" w:beforeLines="50"/>
        <w:ind w:firstLine="284"/>
        <w:rPr>
          <w:rFonts w:eastAsia="仿宋_GB2312" w:cs="Times New Roman"/>
        </w:rPr>
      </w:pPr>
      <w:r>
        <w:rPr>
          <w:rFonts w:eastAsia="仿宋_GB2312" w:cs="Times New Roman"/>
        </w:rPr>
        <w:t>专用充电设施</w:t>
      </w:r>
    </w:p>
    <w:p>
      <w:pPr>
        <w:adjustRightInd w:val="0"/>
        <w:snapToGrid w:val="0"/>
        <w:ind w:firstLine="562"/>
        <w:rPr>
          <w:rFonts w:eastAsia="仿宋_GB2312" w:cs="Times New Roman"/>
          <w:b/>
          <w:bCs/>
        </w:rPr>
      </w:pPr>
      <w:r>
        <w:rPr>
          <w:rFonts w:eastAsia="仿宋_GB2312" w:cs="Times New Roman"/>
          <w:b/>
          <w:bCs/>
        </w:rPr>
        <w:t>1.物流专用充电设施</w:t>
      </w:r>
    </w:p>
    <w:p>
      <w:pPr>
        <w:ind w:firstLine="560"/>
        <w:rPr>
          <w:rFonts w:eastAsia="仿宋_GB2312" w:cs="Times New Roman"/>
        </w:rPr>
      </w:pPr>
      <w:r>
        <w:rPr>
          <w:rFonts w:eastAsia="仿宋_GB2312" w:cs="Times New Roman"/>
        </w:rPr>
        <w:t>十四五期间，为满足城市物流专用车辆的专用充电需求，选址各物流中心、物流有限公司等适宜地点规划新建物流车专用充电站。嘉鱼县物流车充电站布局情况如</w:t>
      </w:r>
      <w:r>
        <w:rPr>
          <w:rFonts w:eastAsia="仿宋_GB2312" w:cs="Times New Roman"/>
        </w:rPr>
        <w:fldChar w:fldCharType="begin"/>
      </w:r>
      <w:r>
        <w:rPr>
          <w:rFonts w:eastAsia="仿宋_GB2312" w:cs="Times New Roman"/>
        </w:rPr>
        <w:instrText xml:space="preserve"> REF _Ref112160412 \h  \* MERGEFORMAT </w:instrText>
      </w:r>
      <w:r>
        <w:rPr>
          <w:rFonts w:eastAsia="仿宋_GB2312" w:cs="Times New Roman"/>
        </w:rPr>
        <w:fldChar w:fldCharType="separate"/>
      </w:r>
      <w:r>
        <w:rPr>
          <w:rFonts w:eastAsia="仿宋_GB2312" w:cs="Times New Roman"/>
        </w:rPr>
        <w:t>图4</w:t>
      </w:r>
      <w:r>
        <w:rPr>
          <w:rFonts w:eastAsia="仿宋_GB2312" w:cs="Times New Roman"/>
        </w:rPr>
        <w:noBreakHyphen/>
      </w:r>
      <w:r>
        <w:rPr>
          <w:rFonts w:eastAsia="仿宋_GB2312" w:cs="Times New Roman"/>
        </w:rPr>
        <w:t>74</w:t>
      </w:r>
      <w:r>
        <w:rPr>
          <w:rFonts w:eastAsia="仿宋_GB2312" w:cs="Times New Roman"/>
        </w:rPr>
        <w:fldChar w:fldCharType="end"/>
      </w:r>
      <w:r>
        <w:rPr>
          <w:rFonts w:eastAsia="仿宋_GB2312" w:cs="Times New Roman"/>
        </w:rPr>
        <w:t>所示，至2025年，嘉鱼县共新建物流车专用充电站2座，32个充电桩。</w:t>
      </w:r>
    </w:p>
    <w:p>
      <w:pPr>
        <w:ind w:firstLine="560"/>
        <w:rPr>
          <w:rFonts w:eastAsia="仿宋_GB2312" w:cs="Times New Roman"/>
        </w:rPr>
      </w:pPr>
      <w:r>
        <w:rPr>
          <w:rFonts w:eastAsia="仿宋_GB2312" w:cs="Times New Roman"/>
        </w:rPr>
        <w:t>（1）金盛兰物流，位于嘉鱼县高铁镇金盛兰工业园，新建8台120kW一机两枪直流充电桩。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5274310" cy="1755140"/>
            <wp:effectExtent l="19050" t="0" r="2540" b="0"/>
            <wp:docPr id="103" name="图片 102" descr="1659339767439.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3" name="图片 102" descr="1659339767439.png"/>
                    <pic:cNvPicPr>
                      <a:picLocks noChangeAspect="true"/>
                    </pic:cNvPicPr>
                  </pic:nvPicPr>
                  <pic:blipFill>
                    <a:blip r:embed="rId178" cstate="print"/>
                    <a:stretch>
                      <a:fillRect/>
                    </a:stretch>
                  </pic:blipFill>
                  <pic:spPr>
                    <a:xfrm>
                      <a:off x="0" y="0"/>
                      <a:ext cx="5274310" cy="1755140"/>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72</w:t>
      </w:r>
      <w:r>
        <w:rPr>
          <w:rFonts w:eastAsia="仿宋_GB2312" w:cs="Times New Roman"/>
        </w:rPr>
        <w:fldChar w:fldCharType="end"/>
      </w:r>
      <w:r>
        <w:rPr>
          <w:rFonts w:eastAsia="仿宋_GB2312" w:cs="Times New Roman"/>
        </w:rPr>
        <w:t>嘉鱼县金盛兰物流中心</w:t>
      </w:r>
    </w:p>
    <w:p>
      <w:pPr>
        <w:ind w:firstLine="560"/>
        <w:rPr>
          <w:rFonts w:eastAsia="仿宋_GB2312" w:cs="Times New Roman"/>
        </w:rPr>
      </w:pPr>
      <w:r>
        <w:rPr>
          <w:rFonts w:eastAsia="仿宋_GB2312" w:cs="Times New Roman"/>
        </w:rPr>
        <w:t>（2）中农储物流，位于嘉鱼县嘉鱼大道泰.君临天下东北侧约100米。新建8台120kW一机两枪直流充电桩。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4558665" cy="3418840"/>
            <wp:effectExtent l="19050" t="0" r="0" b="0"/>
            <wp:docPr id="105" name="图片 104" descr="IMG20220727104630.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5" name="图片 104" descr="IMG20220727104630.jpg"/>
                    <pic:cNvPicPr>
                      <a:picLocks noChangeAspect="true"/>
                    </pic:cNvPicPr>
                  </pic:nvPicPr>
                  <pic:blipFill>
                    <a:blip r:embed="rId179" cstate="print"/>
                    <a:stretch>
                      <a:fillRect/>
                    </a:stretch>
                  </pic:blipFill>
                  <pic:spPr>
                    <a:xfrm>
                      <a:off x="0" y="0"/>
                      <a:ext cx="4559580" cy="3419959"/>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73</w:t>
      </w:r>
      <w:r>
        <w:rPr>
          <w:rFonts w:eastAsia="仿宋_GB2312" w:cs="Times New Roman"/>
        </w:rPr>
        <w:fldChar w:fldCharType="end"/>
      </w:r>
      <w:r>
        <w:rPr>
          <w:rFonts w:eastAsia="仿宋_GB2312" w:cs="Times New Roman"/>
        </w:rPr>
        <w:t>嘉鱼县中农储物流</w:t>
      </w:r>
    </w:p>
    <w:p>
      <w:pPr>
        <w:pStyle w:val="19"/>
        <w:ind w:firstLine="560"/>
        <w:rPr>
          <w:rFonts w:eastAsia="仿宋_GB2312" w:cs="Times New Roman"/>
        </w:rPr>
      </w:pPr>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16</w:t>
      </w:r>
      <w:r>
        <w:rPr>
          <w:rFonts w:eastAsia="仿宋_GB2312" w:cs="Times New Roman"/>
        </w:rPr>
        <w:fldChar w:fldCharType="end"/>
      </w:r>
      <w:r>
        <w:rPr>
          <w:rFonts w:eastAsia="仿宋_GB2312" w:cs="Times New Roman"/>
        </w:rPr>
        <w:t>嘉鱼县物流充电站布局规划表</w:t>
      </w:r>
    </w:p>
    <w:tbl>
      <w:tblPr>
        <w:tblStyle w:val="76"/>
        <w:tblW w:w="50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37"/>
        <w:gridCol w:w="1956"/>
        <w:gridCol w:w="1935"/>
        <w:gridCol w:w="1335"/>
        <w:gridCol w:w="1144"/>
        <w:gridCol w:w="1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56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17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158"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79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68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62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17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嘉鱼县金盛兰物流</w:t>
            </w:r>
          </w:p>
        </w:tc>
        <w:tc>
          <w:tcPr>
            <w:tcW w:w="1158"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嘉鱼县高铁镇金盛兰工业园</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117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中农储物流</w:t>
            </w:r>
          </w:p>
        </w:tc>
        <w:tc>
          <w:tcPr>
            <w:tcW w:w="1158"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嘉鱼县嘉鱼大道泰.君临天下东北侧约100米</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17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158"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32</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p>
    <w:p>
      <w:pPr>
        <w:pStyle w:val="19"/>
        <w:rPr>
          <w:rFonts w:eastAsia="仿宋_GB2312" w:cs="Times New Roman"/>
        </w:rPr>
      </w:pPr>
      <w:r>
        <w:rPr>
          <w:rFonts w:eastAsia="仿宋_GB2312" w:cs="Times New Roman"/>
        </w:rPr>
        <w:drawing>
          <wp:inline distT="0" distB="0" distL="0" distR="0">
            <wp:extent cx="5013960" cy="2907030"/>
            <wp:effectExtent l="0" t="0" r="0" b="7620"/>
            <wp:docPr id="7228" name="图片 72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28" name="图片 7228"/>
                    <pic:cNvPicPr>
                      <a:picLocks noChangeAspect="true"/>
                    </pic:cNvPicPr>
                  </pic:nvPicPr>
                  <pic:blipFill>
                    <a:blip r:embed="rId180"/>
                    <a:srcRect l="12569" t="1404"/>
                    <a:stretch>
                      <a:fillRect/>
                    </a:stretch>
                  </pic:blipFill>
                  <pic:spPr>
                    <a:xfrm>
                      <a:off x="0" y="0"/>
                      <a:ext cx="5020483" cy="2911217"/>
                    </a:xfrm>
                    <a:prstGeom prst="rect">
                      <a:avLst/>
                    </a:prstGeom>
                    <a:ln>
                      <a:noFill/>
                    </a:ln>
                  </pic:spPr>
                </pic:pic>
              </a:graphicData>
            </a:graphic>
          </wp:inline>
        </w:drawing>
      </w:r>
    </w:p>
    <w:p>
      <w:pPr>
        <w:pStyle w:val="19"/>
        <w:rPr>
          <w:rFonts w:eastAsia="仿宋_GB2312" w:cs="Times New Roman"/>
        </w:rPr>
      </w:pPr>
      <w:bookmarkStart w:id="192" w:name="_Ref112160412"/>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74</w:t>
      </w:r>
      <w:r>
        <w:rPr>
          <w:rFonts w:eastAsia="仿宋_GB2312" w:cs="Times New Roman"/>
        </w:rPr>
        <w:fldChar w:fldCharType="end"/>
      </w:r>
      <w:bookmarkEnd w:id="192"/>
      <w:r>
        <w:rPr>
          <w:rFonts w:eastAsia="仿宋_GB2312" w:cs="Times New Roman"/>
        </w:rPr>
        <w:t>嘉鱼物流充电站布点图</w:t>
      </w:r>
    </w:p>
    <w:p>
      <w:pPr>
        <w:pStyle w:val="173"/>
        <w:spacing w:before="156" w:beforeLines="50"/>
        <w:ind w:firstLine="562"/>
        <w:rPr>
          <w:rFonts w:ascii="Times New Roman" w:hAnsi="Times New Roman" w:cs="Times New Roman"/>
          <w:b/>
          <w:bCs/>
          <w:color w:val="auto"/>
        </w:rPr>
      </w:pPr>
      <w:r>
        <w:rPr>
          <w:rFonts w:ascii="Times New Roman" w:hAnsi="Times New Roman" w:cs="Times New Roman"/>
          <w:b/>
          <w:bCs/>
          <w:color w:val="auto"/>
        </w:rPr>
        <w:t>（2）环卫专用充电设施</w:t>
      </w:r>
    </w:p>
    <w:p>
      <w:pPr>
        <w:ind w:firstLine="560"/>
        <w:rPr>
          <w:rFonts w:eastAsia="仿宋_GB2312" w:cs="Times New Roman"/>
        </w:rPr>
      </w:pPr>
      <w:r>
        <w:rPr>
          <w:rFonts w:eastAsia="仿宋_GB2312" w:cs="Times New Roman"/>
        </w:rPr>
        <w:t>十四五期间，</w:t>
      </w:r>
      <w:r>
        <w:rPr>
          <w:rFonts w:hint="eastAsia" w:eastAsia="仿宋_GB2312" w:cs="Times New Roman"/>
        </w:rPr>
        <w:t>嘉鱼县</w:t>
      </w:r>
      <w:r>
        <w:rPr>
          <w:rFonts w:eastAsia="仿宋_GB2312" w:cs="Times New Roman"/>
        </w:rPr>
        <w:t>环卫车充电站布局情况如下表所示，至2025年，嘉鱼县共有环卫车专用充电站2座，32个充电桩。</w:t>
      </w:r>
    </w:p>
    <w:p>
      <w:pPr>
        <w:ind w:firstLine="560"/>
        <w:rPr>
          <w:rFonts w:eastAsia="仿宋_GB2312" w:cs="Times New Roman"/>
        </w:rPr>
      </w:pPr>
      <w:r>
        <w:rPr>
          <w:rFonts w:eastAsia="仿宋_GB2312" w:cs="Times New Roman"/>
        </w:rPr>
        <w:t>（1）嘉鱼县环卫局充电站，位于嘉鱼县环卫局，新建8台120kW一机两枪直流充电桩。</w:t>
      </w:r>
    </w:p>
    <w:p>
      <w:pPr>
        <w:ind w:firstLine="560"/>
        <w:rPr>
          <w:rFonts w:eastAsia="仿宋_GB2312" w:cs="Times New Roman"/>
        </w:rPr>
      </w:pPr>
      <w:r>
        <w:rPr>
          <w:rFonts w:eastAsia="仿宋_GB2312" w:cs="Times New Roman"/>
        </w:rPr>
        <w:t>（2）嘉鱼县二乔公园环卫充电站，位于嘉鱼县二乔公园停车场，新建8台120kW一机两枪直流充电桩。</w:t>
      </w:r>
    </w:p>
    <w:p>
      <w:pPr>
        <w:pStyle w:val="19"/>
        <w:ind w:firstLine="560"/>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17</w:t>
      </w:r>
      <w:r>
        <w:rPr>
          <w:rFonts w:eastAsia="仿宋_GB2312" w:cs="Times New Roman"/>
        </w:rPr>
        <w:fldChar w:fldCharType="end"/>
      </w:r>
      <w:r>
        <w:rPr>
          <w:rFonts w:eastAsia="仿宋_GB2312" w:cs="Times New Roman"/>
        </w:rPr>
        <w:t>嘉鱼县环卫充电站布局规划表</w:t>
      </w:r>
    </w:p>
    <w:tbl>
      <w:tblPr>
        <w:tblStyle w:val="76"/>
        <w:tblW w:w="50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37"/>
        <w:gridCol w:w="2075"/>
        <w:gridCol w:w="1816"/>
        <w:gridCol w:w="1335"/>
        <w:gridCol w:w="1144"/>
        <w:gridCol w:w="1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56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24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08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79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68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62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24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嘉鱼县环卫局充电站</w:t>
            </w:r>
          </w:p>
        </w:tc>
        <w:tc>
          <w:tcPr>
            <w:tcW w:w="108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嘉鱼县环卫局</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p>
        </w:tc>
        <w:tc>
          <w:tcPr>
            <w:tcW w:w="124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嘉鱼县二乔公园环卫充电站</w:t>
            </w:r>
          </w:p>
        </w:tc>
        <w:tc>
          <w:tcPr>
            <w:tcW w:w="108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嘉鱼县二乔公园停车场</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24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08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32</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b w:val="0"/>
        </w:rPr>
        <w:drawing>
          <wp:inline distT="0" distB="0" distL="0" distR="0">
            <wp:extent cx="5274310" cy="3550285"/>
            <wp:effectExtent l="19050" t="0" r="2540" b="0"/>
            <wp:docPr id="206"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6" name="图片 7"/>
                    <pic:cNvPicPr>
                      <a:picLocks noChangeAspect="true" noChangeArrowheads="true"/>
                    </pic:cNvPicPr>
                  </pic:nvPicPr>
                  <pic:blipFill>
                    <a:blip r:embed="rId181"/>
                    <a:srcRect/>
                    <a:stretch>
                      <a:fillRect/>
                    </a:stretch>
                  </pic:blipFill>
                  <pic:spPr>
                    <a:xfrm>
                      <a:off x="0" y="0"/>
                      <a:ext cx="5274310" cy="3550400"/>
                    </a:xfrm>
                    <a:prstGeom prst="rect">
                      <a:avLst/>
                    </a:prstGeom>
                    <a:noFill/>
                    <a:ln w="9525">
                      <a:noFill/>
                      <a:miter lim="800000"/>
                      <a:headEnd/>
                      <a:tailEnd/>
                    </a:ln>
                  </pic:spPr>
                </pic:pic>
              </a:graphicData>
            </a:graphic>
          </wp:inline>
        </w:drawing>
      </w:r>
    </w:p>
    <w:p>
      <w:pPr>
        <w:pStyle w:val="19"/>
        <w:rPr>
          <w:rFonts w:eastAsia="仿宋_GB2312" w:cs="Times New Roman"/>
          <w:bCs/>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75</w:t>
      </w:r>
      <w:r>
        <w:rPr>
          <w:rFonts w:eastAsia="仿宋_GB2312" w:cs="Times New Roman"/>
        </w:rPr>
        <w:fldChar w:fldCharType="end"/>
      </w:r>
      <w:r>
        <w:rPr>
          <w:rFonts w:eastAsia="仿宋_GB2312" w:cs="Times New Roman"/>
        </w:rPr>
        <w:t>嘉鱼环卫充电站布点图</w:t>
      </w:r>
    </w:p>
    <w:p>
      <w:pPr>
        <w:pStyle w:val="173"/>
        <w:ind w:firstLine="562"/>
        <w:rPr>
          <w:rFonts w:ascii="Times New Roman" w:hAnsi="Times New Roman" w:cs="Times New Roman"/>
          <w:b/>
          <w:bCs/>
          <w:color w:val="auto"/>
        </w:rPr>
      </w:pPr>
      <w:r>
        <w:rPr>
          <w:rFonts w:ascii="Times New Roman" w:hAnsi="Times New Roman" w:cs="Times New Roman"/>
          <w:b/>
          <w:bCs/>
          <w:color w:val="auto"/>
        </w:rPr>
        <w:t>（3）公交专用充电设施</w:t>
      </w:r>
    </w:p>
    <w:p>
      <w:pPr>
        <w:ind w:firstLine="560"/>
        <w:rPr>
          <w:rFonts w:eastAsia="仿宋_GB2312" w:cs="Times New Roman"/>
        </w:rPr>
      </w:pPr>
      <w:r>
        <w:rPr>
          <w:rFonts w:eastAsia="仿宋_GB2312" w:cs="Times New Roman"/>
        </w:rPr>
        <w:t>嘉鱼新能源公交布局超前，现有的新能源充电桩已经完全满足嘉鱼县新能源公交充电需求，十四五期间</w:t>
      </w:r>
      <w:r>
        <w:rPr>
          <w:rFonts w:hint="eastAsia" w:eastAsia="仿宋_GB2312" w:cs="Times New Roman"/>
        </w:rPr>
        <w:t>新增新能源公交车充电设施</w:t>
      </w:r>
      <w:r>
        <w:rPr>
          <w:rFonts w:eastAsia="仿宋_GB2312" w:cs="Times New Roman"/>
        </w:rPr>
        <w:t>。</w:t>
      </w:r>
    </w:p>
    <w:p>
      <w:pPr>
        <w:ind w:firstLine="562"/>
        <w:rPr>
          <w:rFonts w:eastAsia="仿宋_GB2312" w:cs="Times New Roman"/>
          <w:b/>
          <w:bCs/>
        </w:rPr>
      </w:pPr>
      <w:r>
        <w:rPr>
          <w:rFonts w:eastAsia="仿宋_GB2312" w:cs="Times New Roman"/>
          <w:b/>
          <w:bCs/>
        </w:rPr>
        <w:t>（4）公务专用充电设施</w:t>
      </w:r>
    </w:p>
    <w:p>
      <w:pPr>
        <w:ind w:firstLine="560"/>
        <w:rPr>
          <w:rFonts w:eastAsia="仿宋_GB2312" w:cs="Times New Roman"/>
        </w:rPr>
      </w:pPr>
      <w:r>
        <w:rPr>
          <w:rFonts w:eastAsia="仿宋_GB2312" w:cs="Times New Roman"/>
        </w:rPr>
        <w:t>嘉鱼县公务车充电站规划建设在政府部门及事业单位内部停车场内，至2025年，规划新建54个充电桩。嘉鱼县公务车充电桩规划如</w:t>
      </w:r>
      <w:r>
        <w:rPr>
          <w:rFonts w:eastAsia="仿宋_GB2312" w:cs="Times New Roman"/>
        </w:rPr>
        <w:fldChar w:fldCharType="begin"/>
      </w:r>
      <w:r>
        <w:rPr>
          <w:rFonts w:eastAsia="仿宋_GB2312" w:cs="Times New Roman"/>
        </w:rPr>
        <w:instrText xml:space="preserve"> REF _Ref116557025 \h </w:instrText>
      </w:r>
      <w:r>
        <w:rPr>
          <w:rFonts w:eastAsia="仿宋_GB2312" w:cs="Times New Roman"/>
        </w:rPr>
        <w:fldChar w:fldCharType="separate"/>
      </w:r>
      <w:r>
        <w:rPr>
          <w:rFonts w:eastAsia="仿宋_GB2312" w:cs="Times New Roman"/>
        </w:rPr>
        <w:t>表4</w:t>
      </w:r>
      <w:r>
        <w:rPr>
          <w:rFonts w:eastAsia="仿宋_GB2312" w:cs="Times New Roman"/>
        </w:rPr>
        <w:noBreakHyphen/>
      </w:r>
      <w:r>
        <w:rPr>
          <w:rFonts w:eastAsia="仿宋_GB2312" w:cs="Times New Roman"/>
        </w:rPr>
        <w:t>18</w:t>
      </w:r>
      <w:r>
        <w:rPr>
          <w:rFonts w:eastAsia="仿宋_GB2312" w:cs="Times New Roman"/>
        </w:rPr>
        <w:fldChar w:fldCharType="end"/>
      </w:r>
      <w:r>
        <w:rPr>
          <w:rFonts w:hint="eastAsia" w:eastAsia="仿宋_GB2312" w:cs="Times New Roman"/>
        </w:rPr>
        <w:t>所示。</w:t>
      </w:r>
    </w:p>
    <w:p>
      <w:pPr>
        <w:ind w:firstLine="560"/>
        <w:rPr>
          <w:rFonts w:eastAsia="仿宋_GB2312" w:cs="Times New Roman"/>
        </w:rPr>
      </w:pPr>
      <w:r>
        <w:rPr>
          <w:rFonts w:eastAsia="仿宋_GB2312" w:cs="Times New Roman"/>
        </w:rPr>
        <w:t>（1）嘉鱼县公安局充电站，位于嘉鱼县公安局停车场，新建3台120kW一机两枪直流充电桩。</w:t>
      </w:r>
    </w:p>
    <w:p>
      <w:pPr>
        <w:ind w:firstLine="560"/>
        <w:rPr>
          <w:rFonts w:eastAsia="仿宋_GB2312" w:cs="Times New Roman"/>
        </w:rPr>
        <w:sectPr>
          <w:footerReference r:id="rId12" w:type="default"/>
          <w:type w:val="continuous"/>
          <w:pgSz w:w="11906" w:h="16838"/>
          <w:pgMar w:top="1440" w:right="1800" w:bottom="1440" w:left="1800" w:header="851" w:footer="992" w:gutter="0"/>
          <w:cols w:space="425" w:num="1"/>
          <w:docGrid w:type="lines" w:linePitch="312" w:charSpace="0"/>
        </w:sectPr>
      </w:pPr>
    </w:p>
    <w:p>
      <w:pPr>
        <w:ind w:firstLine="560"/>
        <w:rPr>
          <w:rFonts w:eastAsia="仿宋_GB2312" w:cs="Times New Roman"/>
        </w:rPr>
      </w:pPr>
      <w:r>
        <w:rPr>
          <w:rFonts w:eastAsia="仿宋_GB2312" w:cs="Times New Roman"/>
        </w:rPr>
        <w:t>（2）嘉鱼县人事局充电站，位于嘉鱼县人事局停车场，新建3台120kW一机两枪直流充电桩。</w:t>
      </w:r>
    </w:p>
    <w:p>
      <w:pPr>
        <w:ind w:firstLine="560"/>
        <w:rPr>
          <w:rFonts w:eastAsia="仿宋_GB2312" w:cs="Times New Roman"/>
        </w:rPr>
      </w:pPr>
      <w:r>
        <w:rPr>
          <w:rFonts w:eastAsia="仿宋_GB2312" w:cs="Times New Roman"/>
        </w:rPr>
        <w:t>（3）潘湾镇政府充电站，位于咸宁市潘湾镇政府停车场，新建3台120kW一机双枪直流充电桩。</w:t>
      </w:r>
    </w:p>
    <w:p>
      <w:pPr>
        <w:ind w:firstLine="560"/>
        <w:rPr>
          <w:rFonts w:eastAsia="仿宋_GB2312" w:cs="Times New Roman"/>
        </w:rPr>
      </w:pPr>
      <w:r>
        <w:rPr>
          <w:rFonts w:eastAsia="仿宋_GB2312" w:cs="Times New Roman"/>
        </w:rPr>
        <w:t>（4）渡普镇政府充电站，位于咸宁市渡普镇政府停车场，新建3台120kW一机双枪直流充电桩。</w:t>
      </w:r>
    </w:p>
    <w:p>
      <w:pPr>
        <w:ind w:firstLine="560"/>
        <w:rPr>
          <w:rFonts w:eastAsia="仿宋_GB2312" w:cs="Times New Roman"/>
        </w:rPr>
      </w:pPr>
      <w:r>
        <w:rPr>
          <w:rFonts w:eastAsia="仿宋_GB2312" w:cs="Times New Roman"/>
        </w:rPr>
        <w:t>（5）高铁镇政府充电站，位于咸宁市高铁镇政府停车场，新建3台120kW一机双枪直流充电桩。</w:t>
      </w:r>
    </w:p>
    <w:p>
      <w:pPr>
        <w:ind w:firstLine="560"/>
        <w:rPr>
          <w:rFonts w:eastAsia="仿宋_GB2312" w:cs="Times New Roman"/>
        </w:rPr>
      </w:pPr>
      <w:r>
        <w:rPr>
          <w:rFonts w:eastAsia="仿宋_GB2312" w:cs="Times New Roman"/>
        </w:rPr>
        <w:t>（6）官桥镇政府充电站，位于咸宁市官桥镇政府停车场，新建3台120kW一机双枪直流充电桩。</w:t>
      </w:r>
    </w:p>
    <w:p>
      <w:pPr>
        <w:ind w:firstLine="560"/>
        <w:rPr>
          <w:rFonts w:eastAsia="仿宋_GB2312" w:cs="Times New Roman"/>
        </w:rPr>
      </w:pPr>
      <w:r>
        <w:rPr>
          <w:rFonts w:eastAsia="仿宋_GB2312" w:cs="Times New Roman"/>
        </w:rPr>
        <w:t>（7）陆溪镇政府充电站，位于咸宁市陆溪镇政府停车场，新建3台120kW一机双枪直流充电桩。</w:t>
      </w:r>
    </w:p>
    <w:p>
      <w:pPr>
        <w:ind w:firstLine="560"/>
        <w:rPr>
          <w:rFonts w:eastAsia="仿宋_GB2312" w:cs="Times New Roman"/>
        </w:rPr>
      </w:pPr>
      <w:r>
        <w:rPr>
          <w:rFonts w:eastAsia="仿宋_GB2312" w:cs="Times New Roman"/>
        </w:rPr>
        <w:t>（8）</w:t>
      </w:r>
      <w:r>
        <w:rPr>
          <w:rFonts w:hint="eastAsia" w:ascii="微软雅黑" w:hAnsi="微软雅黑" w:eastAsia="微软雅黑" w:cs="微软雅黑"/>
        </w:rPr>
        <w:t>簰</w:t>
      </w:r>
      <w:r>
        <w:rPr>
          <w:rFonts w:eastAsia="仿宋_GB2312" w:cs="Times New Roman"/>
        </w:rPr>
        <w:t>州镇政府充电站，位于咸宁市</w:t>
      </w:r>
      <w:r>
        <w:rPr>
          <w:rFonts w:hint="eastAsia" w:ascii="微软雅黑" w:hAnsi="微软雅黑" w:eastAsia="微软雅黑" w:cs="微软雅黑"/>
        </w:rPr>
        <w:t>簰</w:t>
      </w:r>
      <w:r>
        <w:rPr>
          <w:rFonts w:eastAsia="仿宋_GB2312" w:cs="Times New Roman"/>
        </w:rPr>
        <w:t>州镇政府停车场，新建3台120kW一机双枪直流充电桩。</w:t>
      </w:r>
    </w:p>
    <w:p>
      <w:pPr>
        <w:ind w:firstLine="560"/>
        <w:rPr>
          <w:rFonts w:eastAsia="仿宋_GB2312" w:cs="Times New Roman"/>
        </w:rPr>
      </w:pPr>
      <w:r>
        <w:rPr>
          <w:rFonts w:eastAsia="仿宋_GB2312" w:cs="Times New Roman"/>
        </w:rPr>
        <w:t>（9）新街镇政府充电站，位于咸宁市新街镇政府停车场，新建3台120kW一机双枪直流充电桩。</w:t>
      </w:r>
    </w:p>
    <w:p>
      <w:pPr>
        <w:pStyle w:val="19"/>
        <w:ind w:firstLine="560"/>
        <w:rPr>
          <w:rFonts w:eastAsia="仿宋_GB2312" w:cs="Times New Roman"/>
        </w:rPr>
      </w:pPr>
      <w:bookmarkStart w:id="193" w:name="_Ref116557025"/>
      <w:bookmarkStart w:id="194" w:name="_Ref112161179"/>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18</w:t>
      </w:r>
      <w:r>
        <w:rPr>
          <w:rFonts w:eastAsia="仿宋_GB2312" w:cs="Times New Roman"/>
        </w:rPr>
        <w:fldChar w:fldCharType="end"/>
      </w:r>
      <w:bookmarkEnd w:id="193"/>
      <w:bookmarkEnd w:id="194"/>
      <w:r>
        <w:rPr>
          <w:rFonts w:eastAsia="仿宋_GB2312" w:cs="Times New Roman"/>
        </w:rPr>
        <w:t>嘉鱼县公务充电站布局规划表</w:t>
      </w:r>
    </w:p>
    <w:tbl>
      <w:tblPr>
        <w:tblStyle w:val="76"/>
        <w:tblW w:w="503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41"/>
        <w:gridCol w:w="2078"/>
        <w:gridCol w:w="2085"/>
        <w:gridCol w:w="1075"/>
        <w:gridCol w:w="1147"/>
        <w:gridCol w:w="1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56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序号</w:t>
            </w:r>
          </w:p>
        </w:tc>
        <w:tc>
          <w:tcPr>
            <w:tcW w:w="124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名称</w:t>
            </w:r>
          </w:p>
        </w:tc>
        <w:tc>
          <w:tcPr>
            <w:tcW w:w="124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地理位置</w:t>
            </w:r>
          </w:p>
        </w:tc>
        <w:tc>
          <w:tcPr>
            <w:tcW w:w="64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实施类型</w:t>
            </w:r>
          </w:p>
        </w:tc>
        <w:tc>
          <w:tcPr>
            <w:tcW w:w="68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充电桩数</w:t>
            </w:r>
          </w:p>
        </w:tc>
        <w:tc>
          <w:tcPr>
            <w:tcW w:w="62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规划实施年份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w:t>
            </w:r>
          </w:p>
        </w:tc>
        <w:tc>
          <w:tcPr>
            <w:tcW w:w="1241"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嘉鱼县公安局</w:t>
            </w:r>
          </w:p>
        </w:tc>
        <w:tc>
          <w:tcPr>
            <w:tcW w:w="1245"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嘉鱼县公安局停车场</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685" w:type="pct"/>
            <w:shd w:val="clear" w:color="auto" w:fill="auto"/>
            <w:vAlign w:val="center"/>
          </w:tcPr>
          <w:p>
            <w:pPr>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1241"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嘉鱼县人事局</w:t>
            </w:r>
          </w:p>
        </w:tc>
        <w:tc>
          <w:tcPr>
            <w:tcW w:w="1245"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嘉鱼县人事局停车场</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685" w:type="pct"/>
            <w:shd w:val="clear" w:color="auto" w:fill="auto"/>
            <w:vAlign w:val="center"/>
          </w:tcPr>
          <w:p>
            <w:pPr>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w:t>
            </w:r>
          </w:p>
        </w:tc>
        <w:tc>
          <w:tcPr>
            <w:tcW w:w="1241"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潘湾镇政府</w:t>
            </w:r>
          </w:p>
        </w:tc>
        <w:tc>
          <w:tcPr>
            <w:tcW w:w="1245"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潘湾镇政府停车场</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685" w:type="pct"/>
            <w:shd w:val="clear" w:color="auto" w:fill="auto"/>
            <w:vAlign w:val="center"/>
          </w:tcPr>
          <w:p>
            <w:pPr>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1241"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渡普镇政府</w:t>
            </w:r>
          </w:p>
        </w:tc>
        <w:tc>
          <w:tcPr>
            <w:tcW w:w="1245"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渡普镇政府停车场</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685" w:type="pct"/>
            <w:shd w:val="clear" w:color="auto" w:fill="auto"/>
            <w:vAlign w:val="center"/>
          </w:tcPr>
          <w:p>
            <w:pPr>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w:t>
            </w:r>
          </w:p>
        </w:tc>
        <w:tc>
          <w:tcPr>
            <w:tcW w:w="1241"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高铁镇政府</w:t>
            </w:r>
          </w:p>
        </w:tc>
        <w:tc>
          <w:tcPr>
            <w:tcW w:w="1245"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高铁镇政府停车场</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 xml:space="preserve">   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1241"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官桥镇政府</w:t>
            </w:r>
          </w:p>
        </w:tc>
        <w:tc>
          <w:tcPr>
            <w:tcW w:w="1245"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官桥镇政府停车场</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685" w:type="pct"/>
            <w:shd w:val="clear" w:color="auto" w:fill="auto"/>
            <w:vAlign w:val="center"/>
          </w:tcPr>
          <w:p>
            <w:pPr>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w:t>
            </w:r>
          </w:p>
        </w:tc>
        <w:tc>
          <w:tcPr>
            <w:tcW w:w="1241"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陆溪镇政府</w:t>
            </w:r>
          </w:p>
        </w:tc>
        <w:tc>
          <w:tcPr>
            <w:tcW w:w="1245"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陆溪镇政府停车场</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685" w:type="pct"/>
            <w:shd w:val="clear" w:color="auto" w:fill="auto"/>
            <w:vAlign w:val="center"/>
          </w:tcPr>
          <w:p>
            <w:pPr>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1241" w:type="pct"/>
            <w:shd w:val="clear" w:color="auto" w:fill="auto"/>
            <w:vAlign w:val="center"/>
          </w:tcPr>
          <w:p>
            <w:pPr>
              <w:ind w:firstLine="0" w:firstLineChars="0"/>
              <w:rPr>
                <w:rFonts w:eastAsia="仿宋_GB2312" w:cs="Times New Roman"/>
                <w:color w:val="000000"/>
                <w:kern w:val="0"/>
                <w:sz w:val="21"/>
                <w:szCs w:val="21"/>
              </w:rPr>
            </w:pPr>
            <w:r>
              <w:rPr>
                <w:rFonts w:hint="eastAsia" w:ascii="微软雅黑" w:hAnsi="微软雅黑" w:eastAsia="微软雅黑" w:cs="微软雅黑"/>
                <w:color w:val="000000"/>
                <w:kern w:val="0"/>
                <w:sz w:val="21"/>
                <w:szCs w:val="21"/>
              </w:rPr>
              <w:t>簰</w:t>
            </w:r>
            <w:r>
              <w:rPr>
                <w:rFonts w:eastAsia="仿宋_GB2312" w:cs="Times New Roman"/>
                <w:color w:val="000000"/>
                <w:kern w:val="0"/>
                <w:sz w:val="21"/>
                <w:szCs w:val="21"/>
              </w:rPr>
              <w:t>州镇政府</w:t>
            </w:r>
          </w:p>
        </w:tc>
        <w:tc>
          <w:tcPr>
            <w:tcW w:w="1245" w:type="pct"/>
            <w:shd w:val="clear" w:color="auto" w:fill="auto"/>
            <w:vAlign w:val="center"/>
          </w:tcPr>
          <w:p>
            <w:pPr>
              <w:ind w:firstLine="0" w:firstLineChars="0"/>
              <w:rPr>
                <w:rFonts w:eastAsia="仿宋_GB2312" w:cs="Times New Roman"/>
                <w:color w:val="000000"/>
                <w:kern w:val="0"/>
                <w:sz w:val="21"/>
                <w:szCs w:val="21"/>
              </w:rPr>
            </w:pPr>
            <w:r>
              <w:rPr>
                <w:rFonts w:hint="eastAsia" w:ascii="微软雅黑" w:hAnsi="微软雅黑" w:eastAsia="微软雅黑" w:cs="微软雅黑"/>
                <w:color w:val="000000"/>
                <w:kern w:val="0"/>
                <w:sz w:val="21"/>
                <w:szCs w:val="21"/>
              </w:rPr>
              <w:t>簰</w:t>
            </w:r>
            <w:r>
              <w:rPr>
                <w:rFonts w:eastAsia="仿宋_GB2312" w:cs="Times New Roman"/>
                <w:color w:val="000000"/>
                <w:kern w:val="0"/>
                <w:sz w:val="21"/>
                <w:szCs w:val="21"/>
              </w:rPr>
              <w:t>州镇政府停车场</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685" w:type="pct"/>
            <w:shd w:val="clear" w:color="auto" w:fill="auto"/>
            <w:vAlign w:val="center"/>
          </w:tcPr>
          <w:p>
            <w:pPr>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w:t>
            </w:r>
          </w:p>
        </w:tc>
        <w:tc>
          <w:tcPr>
            <w:tcW w:w="1241"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新街镇政府</w:t>
            </w:r>
          </w:p>
        </w:tc>
        <w:tc>
          <w:tcPr>
            <w:tcW w:w="1245" w:type="pct"/>
            <w:shd w:val="clear" w:color="auto" w:fill="auto"/>
            <w:vAlign w:val="center"/>
          </w:tcPr>
          <w:p>
            <w:pPr>
              <w:ind w:firstLine="0" w:firstLineChars="0"/>
              <w:rPr>
                <w:rFonts w:eastAsia="仿宋_GB2312" w:cs="Times New Roman"/>
                <w:color w:val="000000"/>
                <w:kern w:val="0"/>
                <w:sz w:val="21"/>
                <w:szCs w:val="21"/>
              </w:rPr>
            </w:pPr>
            <w:r>
              <w:rPr>
                <w:rFonts w:eastAsia="仿宋_GB2312" w:cs="Times New Roman"/>
                <w:color w:val="000000"/>
                <w:kern w:val="0"/>
                <w:sz w:val="21"/>
                <w:szCs w:val="21"/>
              </w:rPr>
              <w:t>新街镇政府停车场</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685" w:type="pct"/>
            <w:shd w:val="clear" w:color="auto" w:fill="auto"/>
            <w:vAlign w:val="center"/>
          </w:tcPr>
          <w:p>
            <w:pPr>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汇总</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124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54</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623310"/>
            <wp:effectExtent l="0" t="0" r="2540" b="0"/>
            <wp:docPr id="7229" name="图片 72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29" name="图片 7229"/>
                    <pic:cNvPicPr>
                      <a:picLocks noChangeAspect="true"/>
                    </pic:cNvPicPr>
                  </pic:nvPicPr>
                  <pic:blipFill>
                    <a:blip r:embed="rId182"/>
                    <a:stretch>
                      <a:fillRect/>
                    </a:stretch>
                  </pic:blipFill>
                  <pic:spPr>
                    <a:xfrm>
                      <a:off x="0" y="0"/>
                      <a:ext cx="5274310" cy="3623310"/>
                    </a:xfrm>
                    <a:prstGeom prst="rect">
                      <a:avLst/>
                    </a:prstGeom>
                  </pic:spPr>
                </pic:pic>
              </a:graphicData>
            </a:graphic>
          </wp:inline>
        </w:drawing>
      </w:r>
    </w:p>
    <w:p>
      <w:pPr>
        <w:pStyle w:val="19"/>
        <w:rPr>
          <w:rFonts w:eastAsia="仿宋_GB2312" w:cs="Times New Roman"/>
          <w:bCs/>
        </w:rPr>
      </w:pPr>
      <w:r>
        <w:rPr>
          <w:rFonts w:eastAsia="仿宋_GB2312" w:cs="Times New Roman"/>
          <w:szCs w:val="16"/>
        </w:rPr>
        <w:t xml:space="preserve">图 </w:t>
      </w:r>
      <w:r>
        <w:rPr>
          <w:rFonts w:eastAsia="仿宋_GB2312" w:cs="Times New Roman"/>
          <w:szCs w:val="16"/>
        </w:rPr>
        <w:fldChar w:fldCharType="begin"/>
      </w:r>
      <w:r>
        <w:rPr>
          <w:rFonts w:eastAsia="仿宋_GB2312" w:cs="Times New Roman"/>
          <w:szCs w:val="16"/>
        </w:rPr>
        <w:instrText xml:space="preserve"> STYLEREF 1 \s </w:instrText>
      </w:r>
      <w:r>
        <w:rPr>
          <w:rFonts w:eastAsia="仿宋_GB2312" w:cs="Times New Roman"/>
          <w:szCs w:val="16"/>
        </w:rPr>
        <w:fldChar w:fldCharType="separate"/>
      </w:r>
      <w:r>
        <w:rPr>
          <w:rFonts w:eastAsia="仿宋_GB2312" w:cs="Times New Roman"/>
          <w:szCs w:val="16"/>
        </w:rPr>
        <w:t>4</w:t>
      </w:r>
      <w:r>
        <w:rPr>
          <w:rFonts w:eastAsia="仿宋_GB2312" w:cs="Times New Roman"/>
          <w:szCs w:val="16"/>
        </w:rPr>
        <w:fldChar w:fldCharType="end"/>
      </w:r>
      <w:r>
        <w:rPr>
          <w:rFonts w:eastAsia="仿宋_GB2312" w:cs="Times New Roman"/>
          <w:szCs w:val="16"/>
        </w:rPr>
        <w:noBreakHyphen/>
      </w:r>
      <w:r>
        <w:rPr>
          <w:rFonts w:eastAsia="仿宋_GB2312" w:cs="Times New Roman"/>
          <w:szCs w:val="16"/>
        </w:rPr>
        <w:fldChar w:fldCharType="begin"/>
      </w:r>
      <w:r>
        <w:rPr>
          <w:rFonts w:eastAsia="仿宋_GB2312" w:cs="Times New Roman"/>
          <w:szCs w:val="16"/>
        </w:rPr>
        <w:instrText xml:space="preserve"> SEQ 图 \* ARABIC \s 1 </w:instrText>
      </w:r>
      <w:r>
        <w:rPr>
          <w:rFonts w:eastAsia="仿宋_GB2312" w:cs="Times New Roman"/>
          <w:szCs w:val="16"/>
        </w:rPr>
        <w:fldChar w:fldCharType="separate"/>
      </w:r>
      <w:r>
        <w:rPr>
          <w:rFonts w:eastAsia="仿宋_GB2312" w:cs="Times New Roman"/>
          <w:szCs w:val="16"/>
        </w:rPr>
        <w:t>76</w:t>
      </w:r>
      <w:r>
        <w:rPr>
          <w:rFonts w:eastAsia="仿宋_GB2312" w:cs="Times New Roman"/>
          <w:szCs w:val="16"/>
        </w:rPr>
        <w:fldChar w:fldCharType="end"/>
      </w:r>
      <w:r>
        <w:rPr>
          <w:rFonts w:eastAsia="仿宋_GB2312" w:cs="Times New Roman"/>
          <w:szCs w:val="16"/>
        </w:rPr>
        <w:t>嘉鱼县城区</w:t>
      </w:r>
      <w:r>
        <w:rPr>
          <w:rFonts w:eastAsia="仿宋_GB2312" w:cs="Times New Roman"/>
          <w:bCs/>
          <w:szCs w:val="21"/>
        </w:rPr>
        <w:t>公务充电站布局规划图</w:t>
      </w:r>
    </w:p>
    <w:p>
      <w:pPr>
        <w:pStyle w:val="5"/>
        <w:adjustRightInd w:val="0"/>
        <w:snapToGrid w:val="0"/>
        <w:spacing w:before="156" w:beforeLines="50"/>
        <w:ind w:firstLine="283"/>
        <w:rPr>
          <w:rFonts w:eastAsia="仿宋_GB2312" w:cs="Times New Roman"/>
        </w:rPr>
      </w:pPr>
      <w:r>
        <w:rPr>
          <w:rFonts w:eastAsia="仿宋_GB2312" w:cs="Times New Roman"/>
        </w:rPr>
        <w:t>公用充电设施</w:t>
      </w:r>
    </w:p>
    <w:p>
      <w:pPr>
        <w:ind w:firstLine="562"/>
        <w:rPr>
          <w:rFonts w:eastAsia="仿宋_GB2312" w:cs="Times New Roman"/>
          <w:b/>
          <w:bCs/>
        </w:rPr>
      </w:pPr>
      <w:r>
        <w:rPr>
          <w:rFonts w:eastAsia="仿宋_GB2312" w:cs="Times New Roman"/>
          <w:b/>
          <w:bCs/>
        </w:rPr>
        <w:t>1.外部公共充电设施</w:t>
      </w:r>
    </w:p>
    <w:p>
      <w:pPr>
        <w:ind w:firstLine="560"/>
        <w:rPr>
          <w:rFonts w:eastAsia="仿宋_GB2312" w:cs="Times New Roman"/>
        </w:rPr>
      </w:pPr>
      <w:r>
        <w:rPr>
          <w:rFonts w:eastAsia="仿宋_GB2312" w:cs="Times New Roman"/>
        </w:rPr>
        <w:t>到2025年嘉鱼县新建外部公共充电站24座，充电桩共200台。十四五期间规划新建外部公共充电桩明细如</w:t>
      </w:r>
      <w:r>
        <w:rPr>
          <w:rFonts w:eastAsia="仿宋_GB2312" w:cs="Times New Roman"/>
        </w:rPr>
        <w:fldChar w:fldCharType="begin"/>
      </w:r>
      <w:r>
        <w:rPr>
          <w:rFonts w:eastAsia="仿宋_GB2312" w:cs="Times New Roman"/>
        </w:rPr>
        <w:instrText xml:space="preserve"> REF _Ref115442921 \h  \* MERGEFORMAT </w:instrText>
      </w:r>
      <w:r>
        <w:rPr>
          <w:rFonts w:eastAsia="仿宋_GB2312" w:cs="Times New Roman"/>
        </w:rPr>
        <w:fldChar w:fldCharType="separate"/>
      </w:r>
      <w:r>
        <w:rPr>
          <w:rFonts w:eastAsia="仿宋_GB2312" w:cs="Times New Roman"/>
        </w:rPr>
        <w:t>表4</w:t>
      </w:r>
      <w:r>
        <w:rPr>
          <w:rFonts w:eastAsia="仿宋_GB2312" w:cs="Times New Roman"/>
        </w:rPr>
        <w:noBreakHyphen/>
      </w:r>
      <w:r>
        <w:rPr>
          <w:rFonts w:eastAsia="仿宋_GB2312" w:cs="Times New Roman"/>
        </w:rPr>
        <w:t>19</w:t>
      </w:r>
      <w:r>
        <w:rPr>
          <w:rFonts w:eastAsia="仿宋_GB2312" w:cs="Times New Roman"/>
        </w:rPr>
        <w:fldChar w:fldCharType="end"/>
      </w:r>
      <w:r>
        <w:rPr>
          <w:rFonts w:eastAsia="仿宋_GB2312" w:cs="Times New Roman"/>
        </w:rPr>
        <w:t>所示。</w:t>
      </w:r>
    </w:p>
    <w:p>
      <w:pPr>
        <w:ind w:firstLine="560"/>
        <w:rPr>
          <w:rFonts w:eastAsia="仿宋_GB2312" w:cs="Times New Roman"/>
        </w:rPr>
        <w:sectPr>
          <w:footerReference r:id="rId13" w:type="default"/>
          <w:type w:val="continuous"/>
          <w:pgSz w:w="11906" w:h="16838"/>
          <w:pgMar w:top="1440" w:right="1800" w:bottom="1440" w:left="1800" w:header="851" w:footer="992" w:gutter="0"/>
          <w:cols w:space="425" w:num="1"/>
          <w:docGrid w:type="lines" w:linePitch="312" w:charSpace="0"/>
        </w:sectPr>
      </w:pPr>
      <w:r>
        <w:rPr>
          <w:rFonts w:eastAsia="仿宋_GB2312" w:cs="Times New Roman"/>
        </w:rPr>
        <w:t>（1）嘉鱼县人民医院充电站，位于嘉鱼县人民医院停车场，新建4台120kW一机两枪直流充电桩。</w:t>
      </w:r>
    </w:p>
    <w:p>
      <w:pPr>
        <w:ind w:firstLine="560"/>
        <w:rPr>
          <w:rFonts w:eastAsia="仿宋_GB2312" w:cs="Times New Roman"/>
        </w:rPr>
        <w:sectPr>
          <w:type w:val="continuous"/>
          <w:pgSz w:w="11906" w:h="16838"/>
          <w:pgMar w:top="1440" w:right="1800" w:bottom="1440" w:left="1800" w:header="851" w:footer="992" w:gutter="0"/>
          <w:cols w:space="425" w:num="1"/>
          <w:docGrid w:type="lines" w:linePitch="312" w:charSpace="0"/>
        </w:sectPr>
      </w:pPr>
      <w:r>
        <w:rPr>
          <w:rFonts w:eastAsia="仿宋_GB2312" w:cs="Times New Roman"/>
        </w:rPr>
        <w:t>（2）嘉鱼县交通局充电站，位于嘉鱼县交通局停车场，新建4台120kW一机两枪直流充电桩。</w:t>
      </w:r>
    </w:p>
    <w:p>
      <w:pPr>
        <w:ind w:firstLine="560"/>
        <w:rPr>
          <w:rFonts w:eastAsia="仿宋_GB2312" w:cs="Times New Roman"/>
        </w:rPr>
      </w:pPr>
      <w:r>
        <w:rPr>
          <w:rFonts w:eastAsia="仿宋_GB2312" w:cs="Times New Roman"/>
        </w:rPr>
        <w:t>（3）嘉鱼县文旅局充电站，位于嘉鱼县文旅局停车场，新建4台120kW一机两枪直流充电桩。</w:t>
      </w:r>
    </w:p>
    <w:p>
      <w:pPr>
        <w:ind w:firstLine="560"/>
        <w:rPr>
          <w:rFonts w:eastAsia="仿宋_GB2312" w:cs="Times New Roman"/>
        </w:rPr>
      </w:pPr>
      <w:r>
        <w:rPr>
          <w:rFonts w:eastAsia="仿宋_GB2312" w:cs="Times New Roman"/>
        </w:rPr>
        <w:t>（4）嘉鱼县行政服务中心充电站，位于嘉鱼县行政服务中心停车场，新建4台120kW一机两枪直流充电桩。</w:t>
      </w:r>
    </w:p>
    <w:p>
      <w:pPr>
        <w:ind w:firstLine="560"/>
        <w:rPr>
          <w:rFonts w:eastAsia="仿宋_GB2312" w:cs="Times New Roman"/>
        </w:rPr>
      </w:pPr>
      <w:r>
        <w:rPr>
          <w:rFonts w:eastAsia="仿宋_GB2312" w:cs="Times New Roman"/>
        </w:rPr>
        <w:t>（5）嘉鱼县体育中心充电站，位于嘉鱼县体育中心停车场，新建4台120kW一机两枪直流充电桩。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5274310" cy="3956050"/>
            <wp:effectExtent l="19050" t="0" r="2540" b="0"/>
            <wp:docPr id="254" name="图片 253" descr="IMG20220727104000.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4" name="图片 253" descr="IMG20220727104000.jpg"/>
                    <pic:cNvPicPr>
                      <a:picLocks noChangeAspect="true"/>
                    </pic:cNvPicPr>
                  </pic:nvPicPr>
                  <pic:blipFill>
                    <a:blip r:embed="rId183" cstate="print"/>
                    <a:stretch>
                      <a:fillRect/>
                    </a:stretch>
                  </pic:blipFill>
                  <pic:spPr>
                    <a:xfrm>
                      <a:off x="0" y="0"/>
                      <a:ext cx="5274310" cy="3956050"/>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77</w:t>
      </w:r>
      <w:r>
        <w:rPr>
          <w:rFonts w:eastAsia="仿宋_GB2312" w:cs="Times New Roman"/>
        </w:rPr>
        <w:fldChar w:fldCharType="end"/>
      </w:r>
      <w:r>
        <w:rPr>
          <w:rFonts w:eastAsia="仿宋_GB2312" w:cs="Times New Roman"/>
        </w:rPr>
        <w:t>嘉鱼县体育中心充电站</w:t>
      </w:r>
    </w:p>
    <w:p>
      <w:pPr>
        <w:ind w:firstLine="560"/>
        <w:rPr>
          <w:rFonts w:eastAsia="仿宋_GB2312" w:cs="Times New Roman"/>
        </w:rPr>
      </w:pPr>
      <w:r>
        <w:rPr>
          <w:rFonts w:eastAsia="仿宋_GB2312" w:cs="Times New Roman"/>
        </w:rPr>
        <w:t>（6）二乔公园充电站，位于二乔公园停车场，新建4台120kW一机两枪直流充电桩。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4582795" cy="3437255"/>
            <wp:effectExtent l="19050" t="0" r="7943" b="0"/>
            <wp:docPr id="228" name="图片 227" descr="IMG20220727113241.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8" name="图片 227" descr="IMG20220727113241.jpg"/>
                    <pic:cNvPicPr>
                      <a:picLocks noChangeAspect="true"/>
                    </pic:cNvPicPr>
                  </pic:nvPicPr>
                  <pic:blipFill>
                    <a:blip r:embed="rId184" cstate="print"/>
                    <a:stretch>
                      <a:fillRect/>
                    </a:stretch>
                  </pic:blipFill>
                  <pic:spPr>
                    <a:xfrm>
                      <a:off x="0" y="0"/>
                      <a:ext cx="4583601" cy="3437977"/>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78</w:t>
      </w:r>
      <w:r>
        <w:rPr>
          <w:rFonts w:eastAsia="仿宋_GB2312" w:cs="Times New Roman"/>
        </w:rPr>
        <w:fldChar w:fldCharType="end"/>
      </w:r>
      <w:r>
        <w:rPr>
          <w:rFonts w:eastAsia="仿宋_GB2312" w:cs="Times New Roman"/>
        </w:rPr>
        <w:t>金三角停车场充电站</w:t>
      </w:r>
    </w:p>
    <w:p>
      <w:pPr>
        <w:ind w:firstLine="560"/>
        <w:rPr>
          <w:rFonts w:eastAsia="仿宋_GB2312" w:cs="Times New Roman"/>
        </w:rPr>
      </w:pPr>
      <w:r>
        <w:rPr>
          <w:rFonts w:eastAsia="仿宋_GB2312" w:cs="Times New Roman"/>
        </w:rPr>
        <w:t>（7）城投停车场充电站，位于嘉鱼县沙阳大道31-9号，新建4台120kW一机两枪直流充电桩。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5274310" cy="3956050"/>
            <wp:effectExtent l="19050" t="0" r="2540" b="0"/>
            <wp:docPr id="231" name="图片 230" descr="IMG20220727113724.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1" name="图片 230" descr="IMG20220727113724.jpg"/>
                    <pic:cNvPicPr>
                      <a:picLocks noChangeAspect="true"/>
                    </pic:cNvPicPr>
                  </pic:nvPicPr>
                  <pic:blipFill>
                    <a:blip r:embed="rId185" cstate="print"/>
                    <a:stretch>
                      <a:fillRect/>
                    </a:stretch>
                  </pic:blipFill>
                  <pic:spPr>
                    <a:xfrm>
                      <a:off x="0" y="0"/>
                      <a:ext cx="5274310" cy="3956050"/>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79</w:t>
      </w:r>
      <w:r>
        <w:rPr>
          <w:rFonts w:eastAsia="仿宋_GB2312" w:cs="Times New Roman"/>
        </w:rPr>
        <w:fldChar w:fldCharType="end"/>
      </w:r>
      <w:r>
        <w:rPr>
          <w:rFonts w:eastAsia="仿宋_GB2312" w:cs="Times New Roman"/>
        </w:rPr>
        <w:t>城投停车场充电站</w:t>
      </w:r>
    </w:p>
    <w:p>
      <w:pPr>
        <w:ind w:firstLine="560"/>
        <w:rPr>
          <w:rFonts w:eastAsia="仿宋_GB2312" w:cs="Times New Roman"/>
        </w:rPr>
      </w:pPr>
      <w:r>
        <w:rPr>
          <w:rFonts w:eastAsia="仿宋_GB2312" w:cs="Times New Roman"/>
        </w:rPr>
        <w:t>（8）南门变充电站，位于凤凰大道178号，新建4台120kW一机两枪直流充电桩。</w:t>
      </w:r>
    </w:p>
    <w:p>
      <w:pPr>
        <w:ind w:firstLine="560"/>
        <w:rPr>
          <w:rFonts w:eastAsia="仿宋_GB2312" w:cs="Times New Roman"/>
        </w:rPr>
      </w:pPr>
      <w:r>
        <w:rPr>
          <w:rFonts w:eastAsia="仿宋_GB2312" w:cs="Times New Roman"/>
        </w:rPr>
        <w:t>（9）茶庵岭供电所充电站，位于发展大道变电工区，新建4台120kW一机两枪直流充电桩。</w:t>
      </w:r>
    </w:p>
    <w:p>
      <w:pPr>
        <w:ind w:firstLine="560"/>
        <w:rPr>
          <w:rFonts w:eastAsia="仿宋_GB2312" w:cs="Times New Roman"/>
        </w:rPr>
      </w:pPr>
      <w:r>
        <w:rPr>
          <w:rFonts w:eastAsia="仿宋_GB2312" w:cs="Times New Roman"/>
        </w:rPr>
        <w:t>（10）鱼岳供电所充电站，位于嘉鱼县沙阳大道79号，新建4台120kW一机两枪直流充电桩。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3467100" cy="2600325"/>
            <wp:effectExtent l="0" t="0" r="0" b="9525"/>
            <wp:docPr id="236" name="图片 235" descr="IMG20220727115401.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6" name="图片 235" descr="IMG20220727115401.jpg"/>
                    <pic:cNvPicPr>
                      <a:picLocks noChangeAspect="true"/>
                    </pic:cNvPicPr>
                  </pic:nvPicPr>
                  <pic:blipFill>
                    <a:blip r:embed="rId186" cstate="print"/>
                    <a:stretch>
                      <a:fillRect/>
                    </a:stretch>
                  </pic:blipFill>
                  <pic:spPr>
                    <a:xfrm>
                      <a:off x="0" y="0"/>
                      <a:ext cx="3477203" cy="2608112"/>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80</w:t>
      </w:r>
      <w:r>
        <w:rPr>
          <w:rFonts w:eastAsia="仿宋_GB2312" w:cs="Times New Roman"/>
        </w:rPr>
        <w:fldChar w:fldCharType="end"/>
      </w:r>
      <w:r>
        <w:rPr>
          <w:rFonts w:eastAsia="仿宋_GB2312" w:cs="Times New Roman"/>
        </w:rPr>
        <w:t>鱼岳供电所充电站</w:t>
      </w:r>
    </w:p>
    <w:p>
      <w:pPr>
        <w:ind w:firstLine="560"/>
        <w:rPr>
          <w:rFonts w:eastAsia="仿宋_GB2312" w:cs="Times New Roman"/>
        </w:rPr>
      </w:pPr>
      <w:r>
        <w:rPr>
          <w:rFonts w:eastAsia="仿宋_GB2312" w:cs="Times New Roman"/>
        </w:rPr>
        <w:t>（11）木屐岭停车场充电站，位于嘉鱼县木屐岭二巷亿嘉庭苑南侧，新建4台120kW一机两枪直流充电桩。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3592830" cy="2373630"/>
            <wp:effectExtent l="0" t="0" r="7620" b="7620"/>
            <wp:docPr id="237" name="图片 236" descr="IMG20220727114633.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7" name="图片 236" descr="IMG20220727114633.jpg"/>
                    <pic:cNvPicPr>
                      <a:picLocks noChangeAspect="true"/>
                    </pic:cNvPicPr>
                  </pic:nvPicPr>
                  <pic:blipFill>
                    <a:blip r:embed="rId187" cstate="print"/>
                    <a:stretch>
                      <a:fillRect/>
                    </a:stretch>
                  </pic:blipFill>
                  <pic:spPr>
                    <a:xfrm>
                      <a:off x="0" y="0"/>
                      <a:ext cx="3632983" cy="2400354"/>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81</w:t>
      </w:r>
      <w:r>
        <w:rPr>
          <w:rFonts w:eastAsia="仿宋_GB2312" w:cs="Times New Roman"/>
        </w:rPr>
        <w:fldChar w:fldCharType="end"/>
      </w:r>
      <w:r>
        <w:rPr>
          <w:rFonts w:eastAsia="仿宋_GB2312" w:cs="Times New Roman"/>
        </w:rPr>
        <w:t>木屐岭停车场充电站</w:t>
      </w:r>
    </w:p>
    <w:p>
      <w:pPr>
        <w:ind w:firstLine="560"/>
        <w:rPr>
          <w:rFonts w:eastAsia="仿宋_GB2312" w:cs="Times New Roman"/>
        </w:rPr>
      </w:pPr>
      <w:r>
        <w:rPr>
          <w:rFonts w:eastAsia="仿宋_GB2312" w:cs="Times New Roman"/>
        </w:rPr>
        <w:t>（12）嘉鱼县政府充电站，位于嘉鱼县政府停车场，新建4台120kW一机两枪直流充电桩。</w:t>
      </w:r>
    </w:p>
    <w:p>
      <w:pPr>
        <w:ind w:firstLine="560"/>
        <w:rPr>
          <w:rFonts w:eastAsia="仿宋_GB2312" w:cs="Times New Roman"/>
        </w:rPr>
      </w:pPr>
      <w:r>
        <w:rPr>
          <w:rFonts w:eastAsia="仿宋_GB2312" w:cs="Times New Roman"/>
        </w:rPr>
        <w:t>（13）新天地小区后门充电站，位于新天地小区后门停车场，新建4台120kW一机两枪直流充电桩。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5274310" cy="3956050"/>
            <wp:effectExtent l="19050" t="0" r="2540" b="0"/>
            <wp:docPr id="240" name="图片 239" descr="IMG20220727114208.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0" name="图片 239" descr="IMG20220727114208.jpg"/>
                    <pic:cNvPicPr>
                      <a:picLocks noChangeAspect="true"/>
                    </pic:cNvPicPr>
                  </pic:nvPicPr>
                  <pic:blipFill>
                    <a:blip r:embed="rId188" cstate="print"/>
                    <a:stretch>
                      <a:fillRect/>
                    </a:stretch>
                  </pic:blipFill>
                  <pic:spPr>
                    <a:xfrm>
                      <a:off x="0" y="0"/>
                      <a:ext cx="5274310" cy="3956050"/>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82</w:t>
      </w:r>
      <w:r>
        <w:rPr>
          <w:rFonts w:eastAsia="仿宋_GB2312" w:cs="Times New Roman"/>
        </w:rPr>
        <w:fldChar w:fldCharType="end"/>
      </w:r>
      <w:r>
        <w:rPr>
          <w:rFonts w:eastAsia="仿宋_GB2312" w:cs="Times New Roman"/>
        </w:rPr>
        <w:t>新天地小区后门充电站</w:t>
      </w:r>
    </w:p>
    <w:p>
      <w:pPr>
        <w:ind w:firstLine="560"/>
        <w:rPr>
          <w:rFonts w:eastAsia="仿宋_GB2312" w:cs="Times New Roman"/>
        </w:rPr>
      </w:pPr>
      <w:r>
        <w:rPr>
          <w:rFonts w:eastAsia="仿宋_GB2312" w:cs="Times New Roman"/>
        </w:rPr>
        <w:t>（14）鱼岳变电站小区充电站，位于鱼岳变电站小区内部停车场，新建4台120kW一机两枪直流充电桩。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2447290" cy="1835150"/>
            <wp:effectExtent l="19050" t="0" r="0" b="0"/>
            <wp:docPr id="244" name="图片 243" descr="IMG20220727115850.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4" name="图片 243" descr="IMG20220727115850.jpg"/>
                    <pic:cNvPicPr>
                      <a:picLocks noChangeAspect="true"/>
                    </pic:cNvPicPr>
                  </pic:nvPicPr>
                  <pic:blipFill>
                    <a:blip r:embed="rId189" cstate="print"/>
                    <a:stretch>
                      <a:fillRect/>
                    </a:stretch>
                  </pic:blipFill>
                  <pic:spPr>
                    <a:xfrm>
                      <a:off x="0" y="0"/>
                      <a:ext cx="2451075" cy="1838454"/>
                    </a:xfrm>
                    <a:prstGeom prst="rect">
                      <a:avLst/>
                    </a:prstGeom>
                  </pic:spPr>
                </pic:pic>
              </a:graphicData>
            </a:graphic>
          </wp:inline>
        </w:drawing>
      </w:r>
      <w:r>
        <w:rPr>
          <w:rFonts w:eastAsia="仿宋_GB2312" w:cs="Times New Roman"/>
        </w:rPr>
        <w:drawing>
          <wp:inline distT="0" distB="0" distL="0" distR="0">
            <wp:extent cx="2445385" cy="1833880"/>
            <wp:effectExtent l="19050" t="0" r="0" b="0"/>
            <wp:docPr id="245" name="图片 244" descr="IMG20220727115924.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5" name="图片 244" descr="IMG20220727115924.jpg"/>
                    <pic:cNvPicPr>
                      <a:picLocks noChangeAspect="true"/>
                    </pic:cNvPicPr>
                  </pic:nvPicPr>
                  <pic:blipFill>
                    <a:blip r:embed="rId190" cstate="print"/>
                    <a:stretch>
                      <a:fillRect/>
                    </a:stretch>
                  </pic:blipFill>
                  <pic:spPr>
                    <a:xfrm>
                      <a:off x="0" y="0"/>
                      <a:ext cx="2444405" cy="1833452"/>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83</w:t>
      </w:r>
      <w:r>
        <w:rPr>
          <w:rFonts w:eastAsia="仿宋_GB2312" w:cs="Times New Roman"/>
        </w:rPr>
        <w:fldChar w:fldCharType="end"/>
      </w:r>
      <w:r>
        <w:rPr>
          <w:rFonts w:eastAsia="仿宋_GB2312" w:cs="Times New Roman"/>
        </w:rPr>
        <w:t>鱼岳变电站小区充电站</w:t>
      </w:r>
    </w:p>
    <w:p>
      <w:pPr>
        <w:ind w:firstLine="560"/>
        <w:rPr>
          <w:rFonts w:eastAsia="仿宋_GB2312" w:cs="Times New Roman"/>
        </w:rPr>
      </w:pPr>
      <w:r>
        <w:rPr>
          <w:rFonts w:eastAsia="仿宋_GB2312" w:cs="Times New Roman"/>
        </w:rPr>
        <w:t>（15）</w:t>
      </w:r>
      <w:r>
        <w:rPr>
          <w:rFonts w:hint="eastAsia" w:ascii="微软雅黑" w:hAnsi="微软雅黑" w:eastAsia="微软雅黑" w:cs="微软雅黑"/>
          <w:kern w:val="0"/>
        </w:rPr>
        <w:t>簲</w:t>
      </w:r>
      <w:r>
        <w:rPr>
          <w:rFonts w:eastAsia="仿宋_GB2312" w:cs="Times New Roman"/>
          <w:kern w:val="0"/>
        </w:rPr>
        <w:t>州九八抗洪纪念馆</w:t>
      </w:r>
      <w:r>
        <w:rPr>
          <w:rFonts w:eastAsia="仿宋_GB2312" w:cs="Times New Roman"/>
        </w:rPr>
        <w:t>充电站，位于嘉鱼县</w:t>
      </w:r>
      <w:r>
        <w:rPr>
          <w:rFonts w:hint="eastAsia" w:ascii="微软雅黑" w:hAnsi="微软雅黑" w:eastAsia="微软雅黑" w:cs="微软雅黑"/>
        </w:rPr>
        <w:t>簲</w:t>
      </w:r>
      <w:r>
        <w:rPr>
          <w:rFonts w:eastAsia="仿宋_GB2312" w:cs="Times New Roman"/>
        </w:rPr>
        <w:t>州湾镇</w:t>
      </w:r>
      <w:r>
        <w:rPr>
          <w:rFonts w:eastAsia="仿宋_GB2312" w:cs="Times New Roman"/>
          <w:kern w:val="0"/>
        </w:rPr>
        <w:t>九八抗洪纪念馆</w:t>
      </w:r>
      <w:r>
        <w:rPr>
          <w:rFonts w:eastAsia="仿宋_GB2312" w:cs="Times New Roman"/>
        </w:rPr>
        <w:t>，新建3台120kW一机两枪直流充电桩。</w:t>
      </w:r>
    </w:p>
    <w:p>
      <w:pPr>
        <w:ind w:firstLine="560"/>
        <w:rPr>
          <w:rFonts w:eastAsia="仿宋_GB2312" w:cs="Times New Roman"/>
        </w:rPr>
      </w:pPr>
      <w:r>
        <w:rPr>
          <w:rFonts w:eastAsia="仿宋_GB2312" w:cs="Times New Roman"/>
        </w:rPr>
        <w:t>（16）</w:t>
      </w:r>
      <w:r>
        <w:rPr>
          <w:rFonts w:eastAsia="仿宋_GB2312" w:cs="Times New Roman"/>
          <w:kern w:val="0"/>
        </w:rPr>
        <w:t>惠侬电商产业园</w:t>
      </w:r>
      <w:r>
        <w:rPr>
          <w:rFonts w:eastAsia="仿宋_GB2312" w:cs="Times New Roman"/>
        </w:rPr>
        <w:t>充电站，位于嘉鱼县潘湾镇</w:t>
      </w:r>
      <w:r>
        <w:rPr>
          <w:rFonts w:eastAsia="仿宋_GB2312" w:cs="Times New Roman"/>
          <w:kern w:val="0"/>
        </w:rPr>
        <w:t>惠侬电商产业园</w:t>
      </w:r>
      <w:r>
        <w:rPr>
          <w:rFonts w:eastAsia="仿宋_GB2312" w:cs="Times New Roman"/>
        </w:rPr>
        <w:t>，新建3台120kW一机两枪直流充电桩。</w:t>
      </w:r>
    </w:p>
    <w:p>
      <w:pPr>
        <w:pStyle w:val="19"/>
        <w:rPr>
          <w:rFonts w:eastAsia="仿宋_GB2312" w:cs="Times New Roman"/>
        </w:rPr>
      </w:pPr>
      <w:r>
        <w:rPr>
          <w:rFonts w:eastAsia="仿宋_GB2312" w:cs="Times New Roman"/>
        </w:rPr>
        <w:drawing>
          <wp:inline distT="0" distB="0" distL="0" distR="0">
            <wp:extent cx="2446655" cy="1835150"/>
            <wp:effectExtent l="19050" t="0" r="0" b="0"/>
            <wp:docPr id="246" name="图片 245" descr="IMG20220727140445.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6" name="图片 245" descr="IMG20220727140445.jpg"/>
                    <pic:cNvPicPr>
                      <a:picLocks noChangeAspect="true"/>
                    </pic:cNvPicPr>
                  </pic:nvPicPr>
                  <pic:blipFill>
                    <a:blip r:embed="rId191" cstate="print"/>
                    <a:stretch>
                      <a:fillRect/>
                    </a:stretch>
                  </pic:blipFill>
                  <pic:spPr>
                    <a:xfrm>
                      <a:off x="0" y="0"/>
                      <a:ext cx="2450918" cy="1838336"/>
                    </a:xfrm>
                    <a:prstGeom prst="rect">
                      <a:avLst/>
                    </a:prstGeom>
                  </pic:spPr>
                </pic:pic>
              </a:graphicData>
            </a:graphic>
          </wp:inline>
        </w:drawing>
      </w:r>
      <w:r>
        <w:rPr>
          <w:rFonts w:eastAsia="仿宋_GB2312" w:cs="Times New Roman"/>
        </w:rPr>
        <w:drawing>
          <wp:inline distT="0" distB="0" distL="0" distR="0">
            <wp:extent cx="2447290" cy="1835150"/>
            <wp:effectExtent l="19050" t="0" r="0" b="0"/>
            <wp:docPr id="247" name="图片 246" descr="IMG20220727140457.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7" name="图片 246" descr="IMG20220727140457.jpg"/>
                    <pic:cNvPicPr>
                      <a:picLocks noChangeAspect="true"/>
                    </pic:cNvPicPr>
                  </pic:nvPicPr>
                  <pic:blipFill>
                    <a:blip r:embed="rId192" cstate="print"/>
                    <a:stretch>
                      <a:fillRect/>
                    </a:stretch>
                  </pic:blipFill>
                  <pic:spPr>
                    <a:xfrm>
                      <a:off x="0" y="0"/>
                      <a:ext cx="2453523" cy="1840290"/>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84</w:t>
      </w:r>
      <w:r>
        <w:rPr>
          <w:rFonts w:eastAsia="仿宋_GB2312" w:cs="Times New Roman"/>
        </w:rPr>
        <w:fldChar w:fldCharType="end"/>
      </w:r>
      <w:r>
        <w:rPr>
          <w:rFonts w:hint="eastAsia" w:eastAsia="仿宋_GB2312" w:cs="Times New Roman"/>
        </w:rPr>
        <w:t>惠侬电商产业园</w:t>
      </w:r>
      <w:r>
        <w:rPr>
          <w:rFonts w:eastAsia="仿宋_GB2312" w:cs="Times New Roman"/>
        </w:rPr>
        <w:t>充电站</w:t>
      </w:r>
    </w:p>
    <w:p>
      <w:pPr>
        <w:ind w:firstLine="560"/>
        <w:rPr>
          <w:rFonts w:eastAsia="仿宋_GB2312" w:cs="Times New Roman"/>
        </w:rPr>
      </w:pPr>
      <w:r>
        <w:rPr>
          <w:rFonts w:eastAsia="仿宋_GB2312" w:cs="Times New Roman"/>
        </w:rPr>
        <w:t>（17）渡普镇充电站，位于渡普镇财政局门口，新建3台120kW一机两枪直流充电桩。</w:t>
      </w:r>
    </w:p>
    <w:p>
      <w:pPr>
        <w:ind w:firstLine="560"/>
        <w:rPr>
          <w:rFonts w:eastAsia="仿宋_GB2312" w:cs="Times New Roman"/>
        </w:rPr>
      </w:pPr>
      <w:r>
        <w:rPr>
          <w:rFonts w:eastAsia="仿宋_GB2312" w:cs="Times New Roman"/>
        </w:rPr>
        <w:t>（18）高铁镇充电站，位于嘉鱼县高铁镇，新建3台120kW一机两枪直流充电桩。</w:t>
      </w:r>
    </w:p>
    <w:p>
      <w:pPr>
        <w:ind w:firstLine="560"/>
        <w:rPr>
          <w:rFonts w:eastAsia="仿宋_GB2312" w:cs="Times New Roman"/>
        </w:rPr>
      </w:pPr>
      <w:r>
        <w:rPr>
          <w:rFonts w:eastAsia="仿宋_GB2312" w:cs="Times New Roman"/>
        </w:rPr>
        <w:t>（19）陆溪镇充电站，位于嘉鱼县陆溪镇，新建3台120kW一机两枪直流充电桩。</w:t>
      </w:r>
    </w:p>
    <w:p>
      <w:pPr>
        <w:ind w:firstLine="560"/>
        <w:rPr>
          <w:rFonts w:eastAsia="仿宋_GB2312" w:cs="Times New Roman"/>
        </w:rPr>
      </w:pPr>
      <w:r>
        <w:rPr>
          <w:rFonts w:eastAsia="仿宋_GB2312" w:cs="Times New Roman"/>
        </w:rPr>
        <w:t>（20）新街镇充电站，位于嘉鱼县新街镇，新建8台120kW一机两枪直流充电桩。</w:t>
      </w:r>
    </w:p>
    <w:p>
      <w:pPr>
        <w:ind w:firstLine="560"/>
        <w:rPr>
          <w:rFonts w:eastAsia="仿宋_GB2312" w:cs="Times New Roman"/>
        </w:rPr>
      </w:pPr>
      <w:r>
        <w:rPr>
          <w:rFonts w:eastAsia="仿宋_GB2312" w:cs="Times New Roman"/>
        </w:rPr>
        <w:t>（21）嘉鱼县山湖温泉景区充电站，新建10台120kW一机两枪直流充电桩。</w:t>
      </w:r>
    </w:p>
    <w:p>
      <w:pPr>
        <w:ind w:firstLine="560"/>
        <w:rPr>
          <w:rFonts w:eastAsia="仿宋_GB2312" w:cs="Times New Roman"/>
        </w:rPr>
      </w:pPr>
      <w:r>
        <w:rPr>
          <w:rFonts w:eastAsia="仿宋_GB2312" w:cs="Times New Roman"/>
        </w:rPr>
        <w:t>（22）嘉鱼官桥田野乡村公园充电站，位于嘉鱼县新街镇，新建3台120kW一机两枪直流充电桩。</w:t>
      </w:r>
    </w:p>
    <w:p>
      <w:pPr>
        <w:ind w:firstLine="560"/>
        <w:rPr>
          <w:rFonts w:eastAsia="仿宋_GB2312" w:cs="Times New Roman"/>
        </w:rPr>
      </w:pPr>
      <w:r>
        <w:rPr>
          <w:rFonts w:eastAsia="仿宋_GB2312" w:cs="Times New Roman"/>
        </w:rPr>
        <w:t>（23）首义学院充电站，位于首义学院，新建4台120kW一机两枪直流充电桩。</w:t>
      </w:r>
    </w:p>
    <w:p>
      <w:pPr>
        <w:ind w:firstLine="560"/>
        <w:rPr>
          <w:rFonts w:eastAsia="仿宋_GB2312" w:cs="Times New Roman"/>
        </w:rPr>
      </w:pPr>
      <w:r>
        <w:rPr>
          <w:rFonts w:eastAsia="仿宋_GB2312" w:cs="Times New Roman"/>
        </w:rPr>
        <w:t>（2</w:t>
      </w:r>
      <w:r>
        <w:rPr>
          <w:rFonts w:hint="eastAsia" w:eastAsia="仿宋_GB2312" w:cs="Times New Roman"/>
        </w:rPr>
        <w:t>4</w:t>
      </w:r>
      <w:r>
        <w:rPr>
          <w:rFonts w:eastAsia="仿宋_GB2312" w:cs="Times New Roman"/>
        </w:rPr>
        <w:t>）东湖学院充电站，位于东湖学院，新建4台120kW一机两枪直流充电桩。</w:t>
      </w:r>
    </w:p>
    <w:p>
      <w:pPr>
        <w:pStyle w:val="19"/>
        <w:ind w:firstLine="560"/>
        <w:rPr>
          <w:rFonts w:eastAsia="仿宋_GB2312" w:cs="Times New Roman"/>
        </w:rPr>
      </w:pPr>
      <w:bookmarkStart w:id="195" w:name="_Ref112161396"/>
      <w:r>
        <w:rPr>
          <w:rFonts w:eastAsia="仿宋_GB2312" w:cs="Times New Roman"/>
        </w:rPr>
        <w:t xml:space="preserve">   </w:t>
      </w:r>
      <w:bookmarkStart w:id="196" w:name="_Ref115442921"/>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19</w:t>
      </w:r>
      <w:r>
        <w:rPr>
          <w:rFonts w:eastAsia="仿宋_GB2312" w:cs="Times New Roman"/>
        </w:rPr>
        <w:fldChar w:fldCharType="end"/>
      </w:r>
      <w:bookmarkEnd w:id="195"/>
      <w:bookmarkEnd w:id="196"/>
      <w:r>
        <w:rPr>
          <w:rFonts w:eastAsia="仿宋_GB2312" w:cs="Times New Roman"/>
        </w:rPr>
        <w:t>嘉鱼县外部公共充电站布局规划表           单位：个、平米、年</w:t>
      </w:r>
    </w:p>
    <w:tbl>
      <w:tblPr>
        <w:tblStyle w:val="7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2056"/>
        <w:gridCol w:w="2426"/>
        <w:gridCol w:w="808"/>
        <w:gridCol w:w="808"/>
        <w:gridCol w:w="808"/>
        <w:gridCol w:w="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blHeader/>
        </w:trPr>
        <w:tc>
          <w:tcPr>
            <w:tcW w:w="47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序号</w:t>
            </w:r>
          </w:p>
        </w:tc>
        <w:tc>
          <w:tcPr>
            <w:tcW w:w="120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名称</w:t>
            </w:r>
          </w:p>
        </w:tc>
        <w:tc>
          <w:tcPr>
            <w:tcW w:w="1423"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地理位置</w:t>
            </w:r>
          </w:p>
        </w:tc>
        <w:tc>
          <w:tcPr>
            <w:tcW w:w="47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实施类型</w:t>
            </w:r>
          </w:p>
        </w:tc>
        <w:tc>
          <w:tcPr>
            <w:tcW w:w="47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充电桩数</w:t>
            </w:r>
          </w:p>
        </w:tc>
        <w:tc>
          <w:tcPr>
            <w:tcW w:w="47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预留面积</w:t>
            </w:r>
          </w:p>
        </w:tc>
        <w:tc>
          <w:tcPr>
            <w:tcW w:w="47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规划实施年份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嘉鱼县人民医院</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嘉鱼县人民医院停车场</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交通局</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交通局停车场</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文旅局</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文旅局停车场</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行政服务中心</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行政服务中心停车场</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二乔公园公共</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二乔公园停车场</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体育中心</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体育中心停车场</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城投停车场</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沙阳大道31-9号</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南门变</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凤凰大道178号</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茶庵岭供电所</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发展大道变电工区</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鱼岳供电所</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沙阳大道79号</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木屐岭停车场</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木屐岭二巷亿嘉庭苑南侧</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县政府</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县政府停车场</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新天地小区后门</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新天地小区后门停车场</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14</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鱼岳变电站小区停车场</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鱼岳变电站小区停车场</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hint="eastAsia" w:ascii="微软雅黑" w:hAnsi="微软雅黑" w:eastAsia="微软雅黑" w:cs="微软雅黑"/>
                <w:color w:val="000000"/>
                <w:kern w:val="0"/>
                <w:sz w:val="21"/>
                <w:szCs w:val="21"/>
              </w:rPr>
              <w:t>簲</w:t>
            </w:r>
            <w:r>
              <w:rPr>
                <w:rFonts w:eastAsia="仿宋_GB2312" w:cs="Times New Roman"/>
                <w:color w:val="000000"/>
                <w:kern w:val="0"/>
                <w:sz w:val="21"/>
                <w:szCs w:val="21"/>
              </w:rPr>
              <w:t>州九八抗洪纪念馆</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hint="eastAsia" w:ascii="微软雅黑" w:hAnsi="微软雅黑" w:eastAsia="微软雅黑" w:cs="微软雅黑"/>
                <w:color w:val="000000"/>
                <w:kern w:val="0"/>
                <w:sz w:val="21"/>
                <w:szCs w:val="21"/>
              </w:rPr>
              <w:t>簲</w:t>
            </w:r>
            <w:r>
              <w:rPr>
                <w:rFonts w:eastAsia="仿宋_GB2312" w:cs="Times New Roman"/>
                <w:color w:val="000000"/>
                <w:kern w:val="0"/>
                <w:sz w:val="21"/>
                <w:szCs w:val="21"/>
              </w:rPr>
              <w:t>州九八抗洪纪念馆停车场</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惠侬电商产业园（潘湾）</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惠侬电商产业园（潘湾）门口</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17</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渡普镇公共充电站</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渡普镇</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18</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高铁镇公共充电站</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高铁镇</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陆溪镇公共充电站</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陆溪镇</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新街镇公共充电站</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新街镇</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hint="eastAsia" w:eastAsia="仿宋_GB2312" w:cs="Times New Roman"/>
                <w:color w:val="000000"/>
                <w:kern w:val="0"/>
                <w:sz w:val="21"/>
                <w:szCs w:val="21"/>
              </w:rPr>
              <w:t>21</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嘉鱼县山湖温泉景区充电站</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嘉鱼县山湖温泉</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r>
              <w:rPr>
                <w:rFonts w:hint="eastAsia" w:eastAsia="仿宋_GB2312" w:cs="Times New Roman"/>
                <w:color w:val="000000"/>
                <w:kern w:val="0"/>
                <w:sz w:val="21"/>
                <w:szCs w:val="21"/>
              </w:rPr>
              <w:t>2</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嘉鱼官桥田野乡村公园充电站</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嘉鱼官桥田野乡村公园</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r>
              <w:rPr>
                <w:rFonts w:hint="eastAsia" w:eastAsia="仿宋_GB2312" w:cs="Times New Roman"/>
                <w:color w:val="000000"/>
                <w:kern w:val="0"/>
                <w:sz w:val="21"/>
                <w:szCs w:val="21"/>
              </w:rPr>
              <w:t>3</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首义学院充电站</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首义学院</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r>
              <w:rPr>
                <w:rFonts w:hint="eastAsia" w:eastAsia="仿宋_GB2312" w:cs="Times New Roman"/>
                <w:color w:val="000000"/>
                <w:kern w:val="0"/>
                <w:sz w:val="21"/>
                <w:szCs w:val="21"/>
              </w:rPr>
              <w:t>4</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东湖学院充电站</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东湖学院</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汇总</w:t>
            </w:r>
          </w:p>
        </w:tc>
        <w:tc>
          <w:tcPr>
            <w:tcW w:w="120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142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200</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7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609340"/>
            <wp:effectExtent l="0" t="0" r="2540" b="0"/>
            <wp:docPr id="7230" name="图片 72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30" name="图片 7230"/>
                    <pic:cNvPicPr>
                      <a:picLocks noChangeAspect="true"/>
                    </pic:cNvPicPr>
                  </pic:nvPicPr>
                  <pic:blipFill>
                    <a:blip r:embed="rId193"/>
                    <a:stretch>
                      <a:fillRect/>
                    </a:stretch>
                  </pic:blipFill>
                  <pic:spPr>
                    <a:xfrm>
                      <a:off x="0" y="0"/>
                      <a:ext cx="5274310" cy="3609340"/>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85</w:t>
      </w:r>
      <w:r>
        <w:rPr>
          <w:rFonts w:eastAsia="仿宋_GB2312" w:cs="Times New Roman"/>
        </w:rPr>
        <w:fldChar w:fldCharType="end"/>
      </w:r>
      <w:r>
        <w:rPr>
          <w:rFonts w:eastAsia="仿宋_GB2312" w:cs="Times New Roman"/>
        </w:rPr>
        <w:t>嘉鱼县城市公共充电站布点图</w:t>
      </w:r>
    </w:p>
    <w:p>
      <w:pPr>
        <w:ind w:firstLine="562"/>
        <w:rPr>
          <w:rFonts w:eastAsia="仿宋_GB2312" w:cs="Times New Roman"/>
          <w:b/>
          <w:bCs/>
        </w:rPr>
      </w:pPr>
      <w:r>
        <w:rPr>
          <w:rFonts w:eastAsia="仿宋_GB2312" w:cs="Times New Roman"/>
          <w:b/>
          <w:bCs/>
        </w:rPr>
        <w:t>2.小区内部公共充电设施</w:t>
      </w:r>
    </w:p>
    <w:p>
      <w:pPr>
        <w:ind w:firstLine="560"/>
        <w:rPr>
          <w:rFonts w:eastAsia="仿宋_GB2312" w:cs="Times New Roman"/>
          <w:szCs w:val="21"/>
        </w:rPr>
      </w:pPr>
      <w:r>
        <w:rPr>
          <w:rFonts w:eastAsia="仿宋_GB2312" w:cs="Times New Roman"/>
          <w:szCs w:val="21"/>
        </w:rPr>
        <w:t>至2025年，嘉鱼县新建小区地上公共充电桩124个。嘉鱼县小区公共充电桩规划如</w:t>
      </w:r>
      <w:r>
        <w:rPr>
          <w:rFonts w:eastAsia="仿宋_GB2312" w:cs="Times New Roman"/>
        </w:rPr>
        <w:fldChar w:fldCharType="begin"/>
      </w:r>
      <w:r>
        <w:rPr>
          <w:rFonts w:eastAsia="仿宋_GB2312" w:cs="Times New Roman"/>
          <w:szCs w:val="21"/>
        </w:rPr>
        <w:instrText xml:space="preserve"> REF _Ref112161893 \h </w:instrText>
      </w:r>
      <w:r>
        <w:rPr>
          <w:rFonts w:eastAsia="仿宋_GB2312" w:cs="Times New Roman"/>
        </w:rPr>
        <w:instrText xml:space="preserve"> \* MERGEFORMAT </w:instrText>
      </w:r>
      <w:r>
        <w:rPr>
          <w:rFonts w:eastAsia="仿宋_GB2312" w:cs="Times New Roman"/>
        </w:rPr>
        <w:fldChar w:fldCharType="separate"/>
      </w:r>
      <w:r>
        <w:rPr>
          <w:rFonts w:eastAsia="仿宋_GB2312" w:cs="Times New Roman"/>
        </w:rPr>
        <w:t>表4</w:t>
      </w:r>
      <w:r>
        <w:rPr>
          <w:rFonts w:eastAsia="仿宋_GB2312" w:cs="Times New Roman"/>
        </w:rPr>
        <w:noBreakHyphen/>
      </w:r>
      <w:r>
        <w:rPr>
          <w:rFonts w:eastAsia="仿宋_GB2312" w:cs="Times New Roman"/>
        </w:rPr>
        <w:t>20</w:t>
      </w:r>
      <w:r>
        <w:rPr>
          <w:rFonts w:eastAsia="仿宋_GB2312" w:cs="Times New Roman"/>
        </w:rPr>
        <w:fldChar w:fldCharType="end"/>
      </w:r>
      <w:r>
        <w:rPr>
          <w:rFonts w:eastAsia="仿宋_GB2312" w:cs="Times New Roman"/>
          <w:szCs w:val="21"/>
        </w:rPr>
        <w:t>所示。</w:t>
      </w:r>
    </w:p>
    <w:p>
      <w:pPr>
        <w:ind w:firstLine="560"/>
        <w:rPr>
          <w:rFonts w:eastAsia="仿宋_GB2312" w:cs="Times New Roman"/>
        </w:rPr>
      </w:pPr>
    </w:p>
    <w:p>
      <w:pPr>
        <w:pStyle w:val="19"/>
        <w:ind w:left="1600" w:hanging="480"/>
        <w:rPr>
          <w:rFonts w:eastAsia="仿宋_GB2312" w:cs="Times New Roman"/>
          <w:szCs w:val="24"/>
        </w:rPr>
      </w:pPr>
      <w:bookmarkStart w:id="197" w:name="_Ref112161893"/>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20</w:t>
      </w:r>
      <w:r>
        <w:rPr>
          <w:rFonts w:eastAsia="仿宋_GB2312" w:cs="Times New Roman"/>
        </w:rPr>
        <w:fldChar w:fldCharType="end"/>
      </w:r>
      <w:bookmarkEnd w:id="197"/>
      <w:r>
        <w:rPr>
          <w:rFonts w:eastAsia="仿宋_GB2312" w:cs="Times New Roman"/>
          <w:szCs w:val="21"/>
        </w:rPr>
        <w:t>嘉鱼县</w:t>
      </w:r>
      <w:r>
        <w:rPr>
          <w:rFonts w:eastAsia="仿宋_GB2312" w:cs="Times New Roman"/>
        </w:rPr>
        <w:t>小区公共充电桩规划统计表</w:t>
      </w:r>
    </w:p>
    <w:tbl>
      <w:tblPr>
        <w:tblStyle w:val="7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67"/>
        <w:gridCol w:w="1208"/>
        <w:gridCol w:w="1209"/>
        <w:gridCol w:w="1209"/>
        <w:gridCol w:w="1209"/>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136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2022</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2023</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2024</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2025</w:t>
            </w:r>
          </w:p>
        </w:tc>
        <w:tc>
          <w:tcPr>
            <w:tcW w:w="727" w:type="pct"/>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十四五汇总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小区公共桩</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21</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27</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34</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42</w:t>
            </w:r>
          </w:p>
        </w:tc>
        <w:tc>
          <w:tcPr>
            <w:tcW w:w="727" w:type="pct"/>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124</w:t>
            </w:r>
          </w:p>
        </w:tc>
      </w:tr>
    </w:tbl>
    <w:p>
      <w:pPr>
        <w:pStyle w:val="5"/>
        <w:adjustRightInd w:val="0"/>
        <w:snapToGrid w:val="0"/>
        <w:ind w:firstLine="284"/>
        <w:rPr>
          <w:rFonts w:eastAsia="仿宋_GB2312" w:cs="Times New Roman"/>
        </w:rPr>
      </w:pPr>
      <w:r>
        <w:rPr>
          <w:rFonts w:eastAsia="仿宋_GB2312" w:cs="Times New Roman"/>
        </w:rPr>
        <w:t>自用充电设施</w:t>
      </w:r>
    </w:p>
    <w:p>
      <w:pPr>
        <w:ind w:firstLine="560"/>
        <w:rPr>
          <w:rFonts w:eastAsia="仿宋_GB2312" w:cs="Times New Roman"/>
        </w:rPr>
      </w:pPr>
      <w:r>
        <w:rPr>
          <w:rFonts w:eastAsia="仿宋_GB2312" w:cs="Times New Roman"/>
        </w:rPr>
        <w:t>“十四五”期间，根据对小区充电设施的预测，结合新建居民住宅小区</w:t>
      </w:r>
      <w:r>
        <w:rPr>
          <w:rFonts w:eastAsia="仿宋_GB2312" w:cs="Times New Roman"/>
          <w:szCs w:val="21"/>
        </w:rPr>
        <w:t>建设情况和现有小区私人停车位改造情况进行规划布点，至2025年，新建小区自用充电桩485个。嘉鱼小区自用充电桩规划如</w:t>
      </w:r>
      <w:r>
        <w:rPr>
          <w:rFonts w:eastAsia="仿宋_GB2312" w:cs="Times New Roman"/>
        </w:rPr>
        <w:fldChar w:fldCharType="begin"/>
      </w:r>
      <w:r>
        <w:rPr>
          <w:rFonts w:eastAsia="仿宋_GB2312" w:cs="Times New Roman"/>
          <w:szCs w:val="21"/>
        </w:rPr>
        <w:instrText xml:space="preserve"> REF _Ref112161968 \h </w:instrText>
      </w:r>
      <w:r>
        <w:rPr>
          <w:rFonts w:eastAsia="仿宋_GB2312" w:cs="Times New Roman"/>
        </w:rPr>
        <w:instrText xml:space="preserve"> \* MERGEFORMAT </w:instrText>
      </w:r>
      <w:r>
        <w:rPr>
          <w:rFonts w:eastAsia="仿宋_GB2312" w:cs="Times New Roman"/>
        </w:rPr>
        <w:fldChar w:fldCharType="separate"/>
      </w:r>
      <w:r>
        <w:rPr>
          <w:rFonts w:eastAsia="仿宋_GB2312" w:cs="Times New Roman"/>
        </w:rPr>
        <w:t>表4</w:t>
      </w:r>
      <w:r>
        <w:rPr>
          <w:rFonts w:eastAsia="仿宋_GB2312" w:cs="Times New Roman"/>
        </w:rPr>
        <w:noBreakHyphen/>
      </w:r>
      <w:r>
        <w:rPr>
          <w:rFonts w:eastAsia="仿宋_GB2312" w:cs="Times New Roman"/>
        </w:rPr>
        <w:t>21</w:t>
      </w:r>
      <w:r>
        <w:rPr>
          <w:rFonts w:eastAsia="仿宋_GB2312" w:cs="Times New Roman"/>
        </w:rPr>
        <w:fldChar w:fldCharType="end"/>
      </w:r>
      <w:r>
        <w:rPr>
          <w:rFonts w:eastAsia="仿宋_GB2312" w:cs="Times New Roman"/>
          <w:szCs w:val="21"/>
        </w:rPr>
        <w:t>所示。</w:t>
      </w:r>
    </w:p>
    <w:p>
      <w:pPr>
        <w:pStyle w:val="19"/>
        <w:ind w:firstLine="560"/>
        <w:rPr>
          <w:rFonts w:eastAsia="仿宋_GB2312" w:cs="Times New Roman"/>
          <w:szCs w:val="24"/>
        </w:rPr>
      </w:pPr>
      <w:bookmarkStart w:id="198" w:name="_Ref112161968"/>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21</w:t>
      </w:r>
      <w:r>
        <w:rPr>
          <w:rFonts w:eastAsia="仿宋_GB2312" w:cs="Times New Roman"/>
        </w:rPr>
        <w:fldChar w:fldCharType="end"/>
      </w:r>
      <w:bookmarkEnd w:id="198"/>
      <w:r>
        <w:rPr>
          <w:rFonts w:eastAsia="仿宋_GB2312" w:cs="Times New Roman"/>
        </w:rPr>
        <w:t>嘉鱼县私人充电桩规划统计表</w:t>
      </w:r>
    </w:p>
    <w:tbl>
      <w:tblPr>
        <w:tblStyle w:val="7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67"/>
        <w:gridCol w:w="1208"/>
        <w:gridCol w:w="1209"/>
        <w:gridCol w:w="1209"/>
        <w:gridCol w:w="1209"/>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136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2022</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2023</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2024</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2025</w:t>
            </w:r>
          </w:p>
        </w:tc>
        <w:tc>
          <w:tcPr>
            <w:tcW w:w="727" w:type="pct"/>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十四五汇总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小区自用充电桩（7kW）</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82</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107</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132</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164</w:t>
            </w:r>
          </w:p>
        </w:tc>
        <w:tc>
          <w:tcPr>
            <w:tcW w:w="727" w:type="pct"/>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485</w:t>
            </w:r>
          </w:p>
        </w:tc>
      </w:tr>
    </w:tbl>
    <w:p>
      <w:pPr>
        <w:pStyle w:val="4"/>
        <w:spacing w:before="156"/>
        <w:rPr>
          <w:rFonts w:eastAsia="仿宋_GB2312"/>
        </w:rPr>
      </w:pPr>
      <w:bookmarkStart w:id="199" w:name="_Toc117243225"/>
      <w:r>
        <w:rPr>
          <w:rFonts w:eastAsia="仿宋_GB2312"/>
        </w:rPr>
        <w:t>通城县充电设施布局</w:t>
      </w:r>
      <w:bookmarkEnd w:id="199"/>
    </w:p>
    <w:p>
      <w:pPr>
        <w:ind w:firstLine="560"/>
        <w:rPr>
          <w:rFonts w:eastAsia="仿宋_GB2312" w:cs="Times New Roman"/>
        </w:rPr>
      </w:pPr>
      <w:r>
        <w:rPr>
          <w:rFonts w:eastAsia="仿宋_GB2312" w:cs="Times New Roman"/>
        </w:rPr>
        <w:t>本次规划，十四五期间通城县共规划建设外部公共充电桩154个，小区</w:t>
      </w:r>
      <w:r>
        <w:rPr>
          <w:rFonts w:hint="eastAsia" w:eastAsia="仿宋_GB2312" w:cs="Times New Roman"/>
        </w:rPr>
        <w:t>内部公共</w:t>
      </w:r>
      <w:r>
        <w:rPr>
          <w:rFonts w:eastAsia="仿宋_GB2312" w:cs="Times New Roman"/>
        </w:rPr>
        <w:t>充电桩183个；物流充电桩40个，环卫充电桩16个，公务车充电桩</w:t>
      </w:r>
      <w:r>
        <w:rPr>
          <w:rFonts w:hint="eastAsia" w:eastAsia="仿宋_GB2312" w:cs="Times New Roman"/>
        </w:rPr>
        <w:t>30</w:t>
      </w:r>
      <w:r>
        <w:rPr>
          <w:rFonts w:eastAsia="仿宋_GB2312" w:cs="Times New Roman"/>
        </w:rPr>
        <w:t>个；小区自用充电桩731个。</w:t>
      </w:r>
    </w:p>
    <w:p>
      <w:pPr>
        <w:pStyle w:val="5"/>
        <w:adjustRightInd w:val="0"/>
        <w:snapToGrid w:val="0"/>
        <w:spacing w:before="156" w:beforeLines="50"/>
        <w:ind w:firstLine="284"/>
        <w:rPr>
          <w:rFonts w:eastAsia="仿宋_GB2312" w:cs="Times New Roman"/>
        </w:rPr>
      </w:pPr>
      <w:r>
        <w:rPr>
          <w:rFonts w:eastAsia="仿宋_GB2312" w:cs="Times New Roman"/>
        </w:rPr>
        <w:t>专用充电设施</w:t>
      </w:r>
    </w:p>
    <w:p>
      <w:pPr>
        <w:adjustRightInd w:val="0"/>
        <w:snapToGrid w:val="0"/>
        <w:ind w:firstLine="562"/>
        <w:rPr>
          <w:rFonts w:eastAsia="仿宋_GB2312" w:cs="Times New Roman"/>
          <w:b/>
          <w:bCs/>
        </w:rPr>
      </w:pPr>
      <w:r>
        <w:rPr>
          <w:rFonts w:eastAsia="仿宋_GB2312" w:cs="Times New Roman"/>
          <w:b/>
          <w:bCs/>
        </w:rPr>
        <w:t>1.物流专用充电设施</w:t>
      </w:r>
    </w:p>
    <w:p>
      <w:pPr>
        <w:ind w:firstLine="560"/>
        <w:rPr>
          <w:rFonts w:eastAsia="仿宋_GB2312" w:cs="Times New Roman"/>
        </w:rPr>
      </w:pPr>
      <w:r>
        <w:rPr>
          <w:rFonts w:eastAsia="仿宋_GB2312" w:cs="Times New Roman"/>
        </w:rPr>
        <w:t>十四五期间，为满足城市物流专用车辆的专用充电需求，选址各物流中心、物流有限公司等适宜地点规划新建物流车专用充电站。通城县物流车充电站布局情况如</w:t>
      </w:r>
      <w:r>
        <w:rPr>
          <w:rFonts w:eastAsia="仿宋_GB2312" w:cs="Times New Roman"/>
        </w:rPr>
        <w:fldChar w:fldCharType="begin"/>
      </w:r>
      <w:r>
        <w:rPr>
          <w:rFonts w:eastAsia="仿宋_GB2312" w:cs="Times New Roman"/>
        </w:rPr>
        <w:instrText xml:space="preserve"> REF _Ref112162217 \h  \* MERGEFORMAT </w:instrText>
      </w:r>
      <w:r>
        <w:rPr>
          <w:rFonts w:eastAsia="仿宋_GB2312" w:cs="Times New Roman"/>
        </w:rPr>
        <w:fldChar w:fldCharType="separate"/>
      </w:r>
      <w:r>
        <w:rPr>
          <w:rFonts w:eastAsia="仿宋_GB2312" w:cs="Times New Roman"/>
        </w:rPr>
        <w:t>图4</w:t>
      </w:r>
      <w:r>
        <w:rPr>
          <w:rFonts w:eastAsia="仿宋_GB2312" w:cs="Times New Roman"/>
        </w:rPr>
        <w:noBreakHyphen/>
      </w:r>
      <w:r>
        <w:rPr>
          <w:rFonts w:eastAsia="仿宋_GB2312" w:cs="Times New Roman"/>
        </w:rPr>
        <w:t>87</w:t>
      </w:r>
      <w:r>
        <w:rPr>
          <w:rFonts w:eastAsia="仿宋_GB2312" w:cs="Times New Roman"/>
        </w:rPr>
        <w:fldChar w:fldCharType="end"/>
      </w:r>
      <w:r>
        <w:rPr>
          <w:rFonts w:eastAsia="仿宋_GB2312" w:cs="Times New Roman"/>
        </w:rPr>
        <w:t>所示，至2025年，通城县共新建物流车专用充电站4座，40个充电桩。</w:t>
      </w:r>
    </w:p>
    <w:p>
      <w:pPr>
        <w:ind w:firstLine="560"/>
        <w:rPr>
          <w:rFonts w:eastAsia="仿宋_GB2312" w:cs="Times New Roman"/>
        </w:rPr>
        <w:sectPr>
          <w:footerReference r:id="rId14" w:type="default"/>
          <w:type w:val="continuous"/>
          <w:pgSz w:w="11906" w:h="16838"/>
          <w:pgMar w:top="1440" w:right="1800" w:bottom="1440" w:left="1800" w:header="851" w:footer="992" w:gutter="0"/>
          <w:cols w:space="425" w:num="1"/>
          <w:docGrid w:type="lines" w:linePitch="312" w:charSpace="0"/>
        </w:sectPr>
      </w:pPr>
      <w:r>
        <w:rPr>
          <w:rFonts w:eastAsia="仿宋_GB2312" w:cs="Times New Roman"/>
        </w:rPr>
        <w:t>（1）玉达物流园，位于通城县玉立大道218号，新建8台120kW一机两枪直流充电桩。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2640330" cy="1980565"/>
            <wp:effectExtent l="19050" t="0" r="7108" b="0"/>
            <wp:docPr id="322" name="图片 321" descr="IMG20220722112722.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2" name="图片 321" descr="IMG20220722112722.jpg"/>
                    <pic:cNvPicPr>
                      <a:picLocks noChangeAspect="true"/>
                    </pic:cNvPicPr>
                  </pic:nvPicPr>
                  <pic:blipFill>
                    <a:blip r:embed="rId194" cstate="print"/>
                    <a:stretch>
                      <a:fillRect/>
                    </a:stretch>
                  </pic:blipFill>
                  <pic:spPr>
                    <a:xfrm>
                      <a:off x="0" y="0"/>
                      <a:ext cx="2638167" cy="1978784"/>
                    </a:xfrm>
                    <a:prstGeom prst="rect">
                      <a:avLst/>
                    </a:prstGeom>
                  </pic:spPr>
                </pic:pic>
              </a:graphicData>
            </a:graphic>
          </wp:inline>
        </w:drawing>
      </w:r>
      <w:r>
        <w:rPr>
          <w:rFonts w:eastAsia="仿宋_GB2312" w:cs="Times New Roman"/>
        </w:rPr>
        <w:drawing>
          <wp:inline distT="0" distB="0" distL="0" distR="0">
            <wp:extent cx="2656840" cy="1992630"/>
            <wp:effectExtent l="19050" t="0" r="0" b="0"/>
            <wp:docPr id="323" name="图片 322" descr="IMG20220722112727.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3" name="图片 322" descr="IMG20220722112727.jpg"/>
                    <pic:cNvPicPr>
                      <a:picLocks noChangeAspect="true"/>
                    </pic:cNvPicPr>
                  </pic:nvPicPr>
                  <pic:blipFill>
                    <a:blip r:embed="rId195" cstate="print"/>
                    <a:stretch>
                      <a:fillRect/>
                    </a:stretch>
                  </pic:blipFill>
                  <pic:spPr>
                    <a:xfrm>
                      <a:off x="0" y="0"/>
                      <a:ext cx="2655967" cy="1992134"/>
                    </a:xfrm>
                    <a:prstGeom prst="rect">
                      <a:avLst/>
                    </a:prstGeom>
                  </pic:spPr>
                </pic:pic>
              </a:graphicData>
            </a:graphic>
          </wp:inline>
        </w:drawing>
      </w:r>
    </w:p>
    <w:p>
      <w:pPr>
        <w:pStyle w:val="19"/>
        <w:rPr>
          <w:rFonts w:eastAsia="仿宋_GB2312" w:cs="Times New Roman"/>
        </w:rPr>
        <w:sectPr>
          <w:type w:val="continuous"/>
          <w:pgSz w:w="11906" w:h="16838"/>
          <w:pgMar w:top="1440" w:right="1800" w:bottom="1440" w:left="1800" w:header="851" w:footer="992" w:gutter="0"/>
          <w:cols w:space="425" w:num="2"/>
          <w:docGrid w:type="lines" w:linePitch="312" w:charSpace="0"/>
        </w:sectPr>
      </w:pP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86</w:t>
      </w:r>
      <w:r>
        <w:rPr>
          <w:rFonts w:eastAsia="仿宋_GB2312" w:cs="Times New Roman"/>
        </w:rPr>
        <w:fldChar w:fldCharType="end"/>
      </w:r>
      <w:r>
        <w:rPr>
          <w:rFonts w:eastAsia="仿宋_GB2312" w:cs="Times New Roman"/>
        </w:rPr>
        <w:t>通城县玉达物流园</w:t>
      </w:r>
    </w:p>
    <w:p>
      <w:pPr>
        <w:ind w:firstLine="560"/>
        <w:rPr>
          <w:rFonts w:eastAsia="仿宋_GB2312" w:cs="Times New Roman"/>
        </w:rPr>
      </w:pPr>
      <w:r>
        <w:rPr>
          <w:rFonts w:eastAsia="仿宋_GB2312" w:cs="Times New Roman"/>
        </w:rPr>
        <w:t>（2）宏锦果蔬物流，位于通城县通城大道靠近杭瑞高速。新建4台120kW一机两枪直流充电桩。</w:t>
      </w:r>
    </w:p>
    <w:p>
      <w:pPr>
        <w:ind w:firstLine="560"/>
        <w:rPr>
          <w:rFonts w:eastAsia="仿宋_GB2312" w:cs="Times New Roman"/>
        </w:rPr>
      </w:pPr>
      <w:r>
        <w:rPr>
          <w:rFonts w:eastAsia="仿宋_GB2312" w:cs="Times New Roman"/>
        </w:rPr>
        <w:t>（3）鄂南边贸物流园，位于通城县玉立大道555号。新建4台120kW一机两枪直流充电桩。</w:t>
      </w:r>
    </w:p>
    <w:p>
      <w:pPr>
        <w:ind w:firstLine="560"/>
        <w:rPr>
          <w:rFonts w:eastAsia="仿宋_GB2312" w:cs="Times New Roman"/>
        </w:rPr>
      </w:pPr>
      <w:r>
        <w:rPr>
          <w:rFonts w:eastAsia="仿宋_GB2312" w:cs="Times New Roman"/>
        </w:rPr>
        <w:t>（4）富源物流园，位于通城县隽水镇玉立大道市场。新建4台120kW一机两枪直流充电桩。</w:t>
      </w:r>
    </w:p>
    <w:p>
      <w:pPr>
        <w:pStyle w:val="19"/>
        <w:ind w:firstLine="560"/>
        <w:rPr>
          <w:rFonts w:eastAsia="仿宋_GB2312" w:cs="Times New Roman"/>
        </w:rPr>
      </w:pPr>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22</w:t>
      </w:r>
      <w:r>
        <w:rPr>
          <w:rFonts w:eastAsia="仿宋_GB2312" w:cs="Times New Roman"/>
        </w:rPr>
        <w:fldChar w:fldCharType="end"/>
      </w:r>
      <w:r>
        <w:rPr>
          <w:rFonts w:eastAsia="仿宋_GB2312" w:cs="Times New Roman"/>
        </w:rPr>
        <w:t>通城县物流充电站布局规划表</w:t>
      </w:r>
    </w:p>
    <w:tbl>
      <w:tblPr>
        <w:tblStyle w:val="76"/>
        <w:tblW w:w="50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37"/>
        <w:gridCol w:w="1956"/>
        <w:gridCol w:w="1935"/>
        <w:gridCol w:w="1335"/>
        <w:gridCol w:w="1144"/>
        <w:gridCol w:w="1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56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17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158"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79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68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62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17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玉达物流园</w:t>
            </w:r>
          </w:p>
        </w:tc>
        <w:tc>
          <w:tcPr>
            <w:tcW w:w="1158"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玉立大道218号</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117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宏锦果蔬物流</w:t>
            </w:r>
          </w:p>
        </w:tc>
        <w:tc>
          <w:tcPr>
            <w:tcW w:w="1158"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通城大道靠近杭瑞高速</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117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鄂南边贸物流园</w:t>
            </w:r>
          </w:p>
        </w:tc>
        <w:tc>
          <w:tcPr>
            <w:tcW w:w="1158"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玉立大道555号</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117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富源物流园</w:t>
            </w:r>
          </w:p>
        </w:tc>
        <w:tc>
          <w:tcPr>
            <w:tcW w:w="1158"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隽水镇玉立大道市场</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626" w:type="pct"/>
            <w:shd w:val="clear" w:color="auto" w:fill="auto"/>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17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158"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40</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398520"/>
            <wp:effectExtent l="0" t="0" r="2540" b="0"/>
            <wp:docPr id="7231" name="图片 72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31" name="图片 7231"/>
                    <pic:cNvPicPr>
                      <a:picLocks noChangeAspect="true"/>
                    </pic:cNvPicPr>
                  </pic:nvPicPr>
                  <pic:blipFill>
                    <a:blip r:embed="rId196"/>
                    <a:stretch>
                      <a:fillRect/>
                    </a:stretch>
                  </pic:blipFill>
                  <pic:spPr>
                    <a:xfrm>
                      <a:off x="0" y="0"/>
                      <a:ext cx="5274310" cy="3398520"/>
                    </a:xfrm>
                    <a:prstGeom prst="rect">
                      <a:avLst/>
                    </a:prstGeom>
                  </pic:spPr>
                </pic:pic>
              </a:graphicData>
            </a:graphic>
          </wp:inline>
        </w:drawing>
      </w:r>
    </w:p>
    <w:p>
      <w:pPr>
        <w:pStyle w:val="19"/>
        <w:rPr>
          <w:rFonts w:eastAsia="仿宋_GB2312" w:cs="Times New Roman"/>
        </w:rPr>
      </w:pPr>
      <w:bookmarkStart w:id="200" w:name="_Ref112162217"/>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87</w:t>
      </w:r>
      <w:r>
        <w:rPr>
          <w:rFonts w:eastAsia="仿宋_GB2312" w:cs="Times New Roman"/>
        </w:rPr>
        <w:fldChar w:fldCharType="end"/>
      </w:r>
      <w:bookmarkEnd w:id="200"/>
      <w:r>
        <w:rPr>
          <w:rFonts w:eastAsia="仿宋_GB2312" w:cs="Times New Roman"/>
        </w:rPr>
        <w:t>通城县城区物流充电站布点图</w:t>
      </w:r>
    </w:p>
    <w:p>
      <w:pPr>
        <w:pStyle w:val="173"/>
        <w:spacing w:before="156" w:beforeLines="50"/>
        <w:ind w:firstLine="562"/>
        <w:rPr>
          <w:rFonts w:ascii="Times New Roman" w:hAnsi="Times New Roman" w:cs="Times New Roman"/>
          <w:b/>
          <w:bCs/>
          <w:color w:val="auto"/>
        </w:rPr>
      </w:pPr>
      <w:r>
        <w:rPr>
          <w:rFonts w:ascii="Times New Roman" w:hAnsi="Times New Roman" w:cs="Times New Roman"/>
          <w:b/>
          <w:bCs/>
          <w:color w:val="auto"/>
        </w:rPr>
        <w:t>（2）环卫专用充电设施</w:t>
      </w:r>
    </w:p>
    <w:p>
      <w:pPr>
        <w:adjustRightInd w:val="0"/>
        <w:snapToGrid w:val="0"/>
        <w:ind w:firstLine="560"/>
        <w:rPr>
          <w:rFonts w:eastAsia="仿宋_GB2312" w:cs="Times New Roman"/>
        </w:rPr>
      </w:pPr>
      <w:r>
        <w:rPr>
          <w:rFonts w:eastAsia="仿宋_GB2312" w:cs="Times New Roman"/>
        </w:rPr>
        <w:t>十四五期间，通城县环卫车充电站布局情况如下表所示，至2025年，通城县共有环卫车专用充电站1座，16个充电桩。</w:t>
      </w:r>
    </w:p>
    <w:p>
      <w:pPr>
        <w:adjustRightInd w:val="0"/>
        <w:snapToGrid w:val="0"/>
        <w:ind w:firstLine="560"/>
        <w:rPr>
          <w:rFonts w:eastAsia="仿宋_GB2312" w:cs="Times New Roman"/>
        </w:rPr>
      </w:pPr>
      <w:r>
        <w:rPr>
          <w:rFonts w:eastAsia="仿宋_GB2312" w:cs="Times New Roman"/>
        </w:rPr>
        <w:t>（1）通城县环卫局充电站，位于嘉鱼县环卫局，新建8台120kW一机两枪直流充电桩。</w:t>
      </w:r>
    </w:p>
    <w:p>
      <w:pPr>
        <w:pStyle w:val="19"/>
        <w:ind w:firstLine="560"/>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23</w:t>
      </w:r>
      <w:r>
        <w:rPr>
          <w:rFonts w:eastAsia="仿宋_GB2312" w:cs="Times New Roman"/>
        </w:rPr>
        <w:fldChar w:fldCharType="end"/>
      </w:r>
      <w:r>
        <w:rPr>
          <w:rFonts w:eastAsia="仿宋_GB2312" w:cs="Times New Roman"/>
        </w:rPr>
        <w:t>通城县环卫充电站布局规划表</w:t>
      </w:r>
    </w:p>
    <w:tbl>
      <w:tblPr>
        <w:tblStyle w:val="76"/>
        <w:tblW w:w="50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37"/>
        <w:gridCol w:w="2075"/>
        <w:gridCol w:w="1816"/>
        <w:gridCol w:w="1335"/>
        <w:gridCol w:w="1144"/>
        <w:gridCol w:w="1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56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24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08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79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68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62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24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通城县环卫局充电站</w:t>
            </w:r>
          </w:p>
        </w:tc>
        <w:tc>
          <w:tcPr>
            <w:tcW w:w="108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通城县环卫局</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24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08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799"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16</w:t>
            </w:r>
          </w:p>
        </w:tc>
        <w:tc>
          <w:tcPr>
            <w:tcW w:w="626"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b w:val="0"/>
        </w:rPr>
        <w:drawing>
          <wp:inline distT="0" distB="0" distL="0" distR="0">
            <wp:extent cx="5274310" cy="4845050"/>
            <wp:effectExtent l="19050" t="0" r="2540" b="0"/>
            <wp:docPr id="325"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5" name="图片 10"/>
                    <pic:cNvPicPr>
                      <a:picLocks noChangeAspect="true" noChangeArrowheads="true"/>
                    </pic:cNvPicPr>
                  </pic:nvPicPr>
                  <pic:blipFill>
                    <a:blip r:embed="rId197"/>
                    <a:srcRect/>
                    <a:stretch>
                      <a:fillRect/>
                    </a:stretch>
                  </pic:blipFill>
                  <pic:spPr>
                    <a:xfrm>
                      <a:off x="0" y="0"/>
                      <a:ext cx="5274310" cy="4845176"/>
                    </a:xfrm>
                    <a:prstGeom prst="rect">
                      <a:avLst/>
                    </a:prstGeom>
                    <a:noFill/>
                    <a:ln w="9525">
                      <a:noFill/>
                      <a:miter lim="800000"/>
                      <a:headEnd/>
                      <a:tailEnd/>
                    </a:ln>
                  </pic:spPr>
                </pic:pic>
              </a:graphicData>
            </a:graphic>
          </wp:inline>
        </w:drawing>
      </w:r>
    </w:p>
    <w:p>
      <w:pPr>
        <w:pStyle w:val="19"/>
        <w:rPr>
          <w:rFonts w:eastAsia="仿宋_GB2312" w:cs="Times New Roman"/>
          <w:bCs/>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88</w:t>
      </w:r>
      <w:r>
        <w:rPr>
          <w:rFonts w:eastAsia="仿宋_GB2312" w:cs="Times New Roman"/>
        </w:rPr>
        <w:fldChar w:fldCharType="end"/>
      </w:r>
      <w:r>
        <w:rPr>
          <w:rFonts w:eastAsia="仿宋_GB2312" w:cs="Times New Roman"/>
        </w:rPr>
        <w:t>通城县环卫充电站布点图</w:t>
      </w:r>
    </w:p>
    <w:p>
      <w:pPr>
        <w:pStyle w:val="173"/>
        <w:ind w:firstLine="562"/>
        <w:rPr>
          <w:rFonts w:ascii="Times New Roman" w:hAnsi="Times New Roman" w:cs="Times New Roman"/>
          <w:b/>
          <w:bCs/>
          <w:color w:val="auto"/>
        </w:rPr>
      </w:pPr>
      <w:r>
        <w:rPr>
          <w:rFonts w:ascii="Times New Roman" w:hAnsi="Times New Roman" w:cs="Times New Roman"/>
          <w:b/>
          <w:bCs/>
          <w:color w:val="auto"/>
        </w:rPr>
        <w:t>（3）公交专用充电设施</w:t>
      </w:r>
    </w:p>
    <w:p>
      <w:pPr>
        <w:adjustRightInd w:val="0"/>
        <w:snapToGrid w:val="0"/>
        <w:ind w:firstLine="560"/>
        <w:rPr>
          <w:rFonts w:eastAsia="仿宋_GB2312" w:cs="Times New Roman"/>
        </w:rPr>
      </w:pPr>
      <w:r>
        <w:rPr>
          <w:rFonts w:eastAsia="仿宋_GB2312" w:cs="Times New Roman"/>
        </w:rPr>
        <w:t>通城新能源公交布局超前，现有的新能源充电桩已经完全满足通城县新能源公交充电需求，十四五期间</w:t>
      </w:r>
      <w:r>
        <w:rPr>
          <w:rFonts w:hint="eastAsia" w:eastAsia="仿宋_GB2312" w:cs="Times New Roman"/>
        </w:rPr>
        <w:t>新增新能源公交车充电设施</w:t>
      </w:r>
      <w:r>
        <w:rPr>
          <w:rFonts w:eastAsia="仿宋_GB2312" w:cs="Times New Roman"/>
        </w:rPr>
        <w:t>。</w:t>
      </w:r>
    </w:p>
    <w:p>
      <w:pPr>
        <w:ind w:firstLine="562"/>
        <w:rPr>
          <w:rFonts w:eastAsia="仿宋_GB2312" w:cs="Times New Roman"/>
          <w:b/>
          <w:bCs/>
        </w:rPr>
      </w:pPr>
      <w:r>
        <w:rPr>
          <w:rFonts w:eastAsia="仿宋_GB2312" w:cs="Times New Roman"/>
          <w:b/>
          <w:bCs/>
        </w:rPr>
        <w:t>（4）公务专用充电设施</w:t>
      </w:r>
    </w:p>
    <w:p>
      <w:pPr>
        <w:adjustRightInd w:val="0"/>
        <w:snapToGrid w:val="0"/>
        <w:ind w:firstLine="560"/>
        <w:rPr>
          <w:rFonts w:eastAsia="仿宋_GB2312" w:cs="Times New Roman"/>
        </w:rPr>
      </w:pPr>
      <w:r>
        <w:rPr>
          <w:rFonts w:eastAsia="仿宋_GB2312" w:cs="Times New Roman"/>
        </w:rPr>
        <w:t>通城县公务车充电站规划建设在政府部门及事业单位内部停车场内，至2025年，规划新建</w:t>
      </w:r>
      <w:r>
        <w:rPr>
          <w:rFonts w:hint="eastAsia" w:eastAsia="仿宋_GB2312" w:cs="Times New Roman"/>
        </w:rPr>
        <w:t>30</w:t>
      </w:r>
      <w:r>
        <w:rPr>
          <w:rFonts w:eastAsia="仿宋_GB2312" w:cs="Times New Roman"/>
        </w:rPr>
        <w:t>个充电桩。通城县公务车充电桩规划</w:t>
      </w:r>
      <w:r>
        <w:rPr>
          <w:rFonts w:hint="eastAsia" w:eastAsia="仿宋_GB2312" w:cs="Times New Roman"/>
        </w:rPr>
        <w:t>如</w:t>
      </w:r>
      <w:r>
        <w:rPr>
          <w:rFonts w:eastAsia="仿宋_GB2312" w:cs="Times New Roman"/>
        </w:rPr>
        <w:fldChar w:fldCharType="begin"/>
      </w:r>
      <w:r>
        <w:rPr>
          <w:rFonts w:eastAsia="仿宋_GB2312" w:cs="Times New Roman"/>
        </w:rPr>
        <w:instrText xml:space="preserve"> </w:instrText>
      </w:r>
      <w:r>
        <w:rPr>
          <w:rFonts w:hint="eastAsia" w:eastAsia="仿宋_GB2312" w:cs="Times New Roman"/>
        </w:rPr>
        <w:instrText xml:space="preserve">REF _Ref116722019 \h</w:instrText>
      </w:r>
      <w:r>
        <w:rPr>
          <w:rFonts w:eastAsia="仿宋_GB2312" w:cs="Times New Roman"/>
        </w:rPr>
        <w:instrText xml:space="preserve"> </w:instrText>
      </w:r>
      <w:r>
        <w:rPr>
          <w:rFonts w:eastAsia="仿宋_GB2312" w:cs="Times New Roman"/>
        </w:rPr>
        <w:fldChar w:fldCharType="separate"/>
      </w:r>
      <w:r>
        <w:rPr>
          <w:rFonts w:eastAsia="仿宋_GB2312" w:cs="Times New Roman"/>
        </w:rPr>
        <w:t>表4</w:t>
      </w:r>
      <w:r>
        <w:rPr>
          <w:rFonts w:eastAsia="仿宋_GB2312" w:cs="Times New Roman"/>
        </w:rPr>
        <w:noBreakHyphen/>
      </w:r>
      <w:r>
        <w:rPr>
          <w:rFonts w:eastAsia="仿宋_GB2312" w:cs="Times New Roman"/>
        </w:rPr>
        <w:t>24</w:t>
      </w:r>
      <w:r>
        <w:rPr>
          <w:rFonts w:eastAsia="仿宋_GB2312" w:cs="Times New Roman"/>
        </w:rPr>
        <w:fldChar w:fldCharType="end"/>
      </w:r>
      <w:r>
        <w:rPr>
          <w:rFonts w:hint="eastAsia" w:eastAsia="仿宋_GB2312" w:cs="Times New Roman"/>
        </w:rPr>
        <w:t>所示。</w:t>
      </w:r>
    </w:p>
    <w:p>
      <w:pPr>
        <w:ind w:firstLine="560"/>
        <w:rPr>
          <w:rFonts w:eastAsia="仿宋_GB2312" w:cs="Times New Roman"/>
        </w:rPr>
      </w:pPr>
      <w:r>
        <w:rPr>
          <w:rFonts w:eastAsia="仿宋_GB2312" w:cs="Times New Roman"/>
        </w:rPr>
        <w:t>（1）通城县人民政府充电站，位于通城县人民政府停车场，新建3台120kW一机两枪直流充电桩。</w:t>
      </w:r>
    </w:p>
    <w:p>
      <w:pPr>
        <w:ind w:firstLine="560"/>
        <w:rPr>
          <w:rFonts w:eastAsia="仿宋_GB2312" w:cs="Times New Roman"/>
        </w:rPr>
      </w:pPr>
      <w:r>
        <w:rPr>
          <w:rFonts w:eastAsia="仿宋_GB2312" w:cs="Times New Roman"/>
        </w:rPr>
        <w:t>（2）通城县公安局充电站，位于通城县公安局停车场，新建3台120kW一机两枪直流充电桩。</w:t>
      </w:r>
    </w:p>
    <w:p>
      <w:pPr>
        <w:ind w:firstLine="560"/>
        <w:rPr>
          <w:rFonts w:eastAsia="仿宋_GB2312" w:cs="Times New Roman"/>
        </w:rPr>
        <w:sectPr>
          <w:type w:val="continuous"/>
          <w:pgSz w:w="11906" w:h="16838"/>
          <w:pgMar w:top="1440" w:right="1800" w:bottom="1440" w:left="1800" w:header="851" w:footer="992" w:gutter="0"/>
          <w:cols w:space="425" w:num="1"/>
          <w:docGrid w:type="lines" w:linePitch="312" w:charSpace="0"/>
        </w:sectPr>
      </w:pPr>
    </w:p>
    <w:p>
      <w:pPr>
        <w:ind w:firstLine="560"/>
        <w:rPr>
          <w:rFonts w:eastAsia="仿宋_GB2312" w:cs="Times New Roman"/>
        </w:rPr>
      </w:pPr>
      <w:r>
        <w:rPr>
          <w:rFonts w:eastAsia="仿宋_GB2312" w:cs="Times New Roman"/>
        </w:rPr>
        <w:t>（3）通城县教育局充电站，位于通城县教育局停车场，新建3台120kW一机两枪直流充电桩。</w:t>
      </w:r>
    </w:p>
    <w:p>
      <w:pPr>
        <w:ind w:firstLine="560"/>
        <w:rPr>
          <w:rFonts w:eastAsia="仿宋_GB2312" w:cs="Times New Roman"/>
        </w:rPr>
      </w:pPr>
      <w:r>
        <w:rPr>
          <w:rFonts w:eastAsia="仿宋_GB2312" w:cs="Times New Roman"/>
        </w:rPr>
        <w:t>（4）通城县林业局充电站，位于通城县林业局停车场，新建3台120kW一机两枪直流充电桩。</w:t>
      </w:r>
    </w:p>
    <w:p>
      <w:pPr>
        <w:ind w:firstLine="560"/>
        <w:rPr>
          <w:rFonts w:eastAsia="仿宋_GB2312" w:cs="Times New Roman"/>
        </w:rPr>
        <w:sectPr>
          <w:type w:val="continuous"/>
          <w:pgSz w:w="11906" w:h="16838"/>
          <w:pgMar w:top="1440" w:right="1800" w:bottom="1440" w:left="1800" w:header="851" w:footer="992" w:gutter="0"/>
          <w:cols w:space="425" w:num="1"/>
          <w:docGrid w:type="lines" w:linePitch="312" w:charSpace="0"/>
        </w:sectPr>
      </w:pPr>
    </w:p>
    <w:p>
      <w:pPr>
        <w:ind w:firstLine="560"/>
        <w:rPr>
          <w:rFonts w:eastAsia="仿宋_GB2312" w:cs="Times New Roman"/>
        </w:rPr>
      </w:pPr>
      <w:r>
        <w:rPr>
          <w:rFonts w:eastAsia="仿宋_GB2312" w:cs="Times New Roman"/>
        </w:rPr>
        <w:t>（5）通城县公安局交警大队充电站，位于通城县公安局交警大队停车场，新建3台120kW一机两枪直流充电桩。</w:t>
      </w:r>
    </w:p>
    <w:p>
      <w:pPr>
        <w:pStyle w:val="19"/>
        <w:adjustRightInd w:val="0"/>
        <w:snapToGrid w:val="0"/>
        <w:ind w:firstLine="561"/>
        <w:rPr>
          <w:rFonts w:eastAsia="仿宋_GB2312" w:cs="Times New Roman"/>
        </w:rPr>
      </w:pPr>
      <w:bookmarkStart w:id="201" w:name="_Ref116722019"/>
      <w:bookmarkStart w:id="202" w:name="_Ref112162824"/>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24</w:t>
      </w:r>
      <w:r>
        <w:rPr>
          <w:rFonts w:eastAsia="仿宋_GB2312" w:cs="Times New Roman"/>
        </w:rPr>
        <w:fldChar w:fldCharType="end"/>
      </w:r>
      <w:bookmarkEnd w:id="201"/>
      <w:bookmarkEnd w:id="202"/>
      <w:r>
        <w:rPr>
          <w:rFonts w:eastAsia="仿宋_GB2312" w:cs="Times New Roman"/>
        </w:rPr>
        <w:t>通城县公务充电站布局规划表</w:t>
      </w:r>
    </w:p>
    <w:tbl>
      <w:tblPr>
        <w:tblStyle w:val="76"/>
        <w:tblW w:w="503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41"/>
        <w:gridCol w:w="2078"/>
        <w:gridCol w:w="2085"/>
        <w:gridCol w:w="1075"/>
        <w:gridCol w:w="1147"/>
        <w:gridCol w:w="1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56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24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24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64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68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62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通城县人民政府</w:t>
            </w:r>
          </w:p>
        </w:tc>
        <w:tc>
          <w:tcPr>
            <w:tcW w:w="1245"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通城县人民政府停车场</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1241"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通城县公安局</w:t>
            </w:r>
          </w:p>
        </w:tc>
        <w:tc>
          <w:tcPr>
            <w:tcW w:w="1245"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通城县公安局停车场</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1241"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通城县教育局</w:t>
            </w:r>
          </w:p>
        </w:tc>
        <w:tc>
          <w:tcPr>
            <w:tcW w:w="1245"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通城县教育局停车场</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1241"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通城县林业局</w:t>
            </w:r>
          </w:p>
        </w:tc>
        <w:tc>
          <w:tcPr>
            <w:tcW w:w="1245"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通城县林业局停车场</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ind w:firstLine="0" w:firstLineChars="0"/>
              <w:jc w:val="center"/>
              <w:rPr>
                <w:rFonts w:eastAsia="仿宋_GB2312" w:cs="Times New Roman"/>
                <w:color w:val="000000"/>
                <w:kern w:val="0"/>
                <w:sz w:val="21"/>
              </w:rPr>
            </w:pPr>
            <w:r>
              <w:rPr>
                <w:rFonts w:eastAsia="仿宋_GB2312" w:cs="Times New Roman"/>
                <w:color w:val="000000"/>
                <w:kern w:val="0"/>
                <w:sz w:val="21"/>
              </w:rPr>
              <w:t>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5</w:t>
            </w:r>
          </w:p>
        </w:tc>
        <w:tc>
          <w:tcPr>
            <w:tcW w:w="1241"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通城县公安局交警大队</w:t>
            </w:r>
          </w:p>
        </w:tc>
        <w:tc>
          <w:tcPr>
            <w:tcW w:w="1245" w:type="pct"/>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通城县公安局交警大队</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 xml:space="preserve"> 6</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6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241"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24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42"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68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30</w:t>
            </w:r>
          </w:p>
        </w:tc>
        <w:tc>
          <w:tcPr>
            <w:tcW w:w="62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4678680" cy="2723515"/>
            <wp:effectExtent l="0" t="0" r="7620" b="635"/>
            <wp:docPr id="88" name="图片 8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true"/>
                    </pic:cNvPicPr>
                  </pic:nvPicPr>
                  <pic:blipFill>
                    <a:blip r:embed="rId198"/>
                    <a:stretch>
                      <a:fillRect/>
                    </a:stretch>
                  </pic:blipFill>
                  <pic:spPr>
                    <a:xfrm>
                      <a:off x="0" y="0"/>
                      <a:ext cx="4695779" cy="2733649"/>
                    </a:xfrm>
                    <a:prstGeom prst="rect">
                      <a:avLst/>
                    </a:prstGeom>
                  </pic:spPr>
                </pic:pic>
              </a:graphicData>
            </a:graphic>
          </wp:inline>
        </w:drawing>
      </w:r>
    </w:p>
    <w:p>
      <w:pPr>
        <w:pStyle w:val="19"/>
        <w:rPr>
          <w:rFonts w:eastAsia="仿宋_GB2312" w:cs="Times New Roman"/>
          <w:bCs/>
        </w:rPr>
      </w:pPr>
      <w:r>
        <w:rPr>
          <w:rFonts w:eastAsia="仿宋_GB2312" w:cs="Times New Roman"/>
          <w:szCs w:val="16"/>
        </w:rPr>
        <w:t xml:space="preserve">图 </w:t>
      </w:r>
      <w:r>
        <w:rPr>
          <w:rFonts w:eastAsia="仿宋_GB2312" w:cs="Times New Roman"/>
          <w:szCs w:val="16"/>
        </w:rPr>
        <w:fldChar w:fldCharType="begin"/>
      </w:r>
      <w:r>
        <w:rPr>
          <w:rFonts w:eastAsia="仿宋_GB2312" w:cs="Times New Roman"/>
          <w:szCs w:val="16"/>
        </w:rPr>
        <w:instrText xml:space="preserve"> STYLEREF 1 \s </w:instrText>
      </w:r>
      <w:r>
        <w:rPr>
          <w:rFonts w:eastAsia="仿宋_GB2312" w:cs="Times New Roman"/>
          <w:szCs w:val="16"/>
        </w:rPr>
        <w:fldChar w:fldCharType="separate"/>
      </w:r>
      <w:r>
        <w:rPr>
          <w:rFonts w:eastAsia="仿宋_GB2312" w:cs="Times New Roman"/>
          <w:szCs w:val="16"/>
        </w:rPr>
        <w:t>4</w:t>
      </w:r>
      <w:r>
        <w:rPr>
          <w:rFonts w:eastAsia="仿宋_GB2312" w:cs="Times New Roman"/>
          <w:szCs w:val="16"/>
        </w:rPr>
        <w:fldChar w:fldCharType="end"/>
      </w:r>
      <w:r>
        <w:rPr>
          <w:rFonts w:eastAsia="仿宋_GB2312" w:cs="Times New Roman"/>
          <w:szCs w:val="16"/>
        </w:rPr>
        <w:noBreakHyphen/>
      </w:r>
      <w:r>
        <w:rPr>
          <w:rFonts w:eastAsia="仿宋_GB2312" w:cs="Times New Roman"/>
          <w:szCs w:val="16"/>
        </w:rPr>
        <w:fldChar w:fldCharType="begin"/>
      </w:r>
      <w:r>
        <w:rPr>
          <w:rFonts w:eastAsia="仿宋_GB2312" w:cs="Times New Roman"/>
          <w:szCs w:val="16"/>
        </w:rPr>
        <w:instrText xml:space="preserve"> SEQ 图 \* ARABIC \s 1 </w:instrText>
      </w:r>
      <w:r>
        <w:rPr>
          <w:rFonts w:eastAsia="仿宋_GB2312" w:cs="Times New Roman"/>
          <w:szCs w:val="16"/>
        </w:rPr>
        <w:fldChar w:fldCharType="separate"/>
      </w:r>
      <w:r>
        <w:rPr>
          <w:rFonts w:eastAsia="仿宋_GB2312" w:cs="Times New Roman"/>
          <w:szCs w:val="16"/>
        </w:rPr>
        <w:t>89</w:t>
      </w:r>
      <w:r>
        <w:rPr>
          <w:rFonts w:eastAsia="仿宋_GB2312" w:cs="Times New Roman"/>
          <w:szCs w:val="16"/>
        </w:rPr>
        <w:fldChar w:fldCharType="end"/>
      </w:r>
      <w:r>
        <w:rPr>
          <w:rFonts w:eastAsia="仿宋_GB2312" w:cs="Times New Roman"/>
          <w:szCs w:val="16"/>
        </w:rPr>
        <w:t>通城县</w:t>
      </w:r>
      <w:r>
        <w:rPr>
          <w:rFonts w:eastAsia="仿宋_GB2312" w:cs="Times New Roman"/>
          <w:bCs/>
          <w:szCs w:val="21"/>
        </w:rPr>
        <w:t>公务充电站布局规划图</w:t>
      </w:r>
    </w:p>
    <w:p>
      <w:pPr>
        <w:pStyle w:val="5"/>
        <w:adjustRightInd w:val="0"/>
        <w:snapToGrid w:val="0"/>
        <w:spacing w:before="156" w:beforeLines="50"/>
        <w:ind w:firstLine="283"/>
        <w:rPr>
          <w:rFonts w:eastAsia="仿宋_GB2312" w:cs="Times New Roman"/>
        </w:rPr>
      </w:pPr>
      <w:r>
        <w:rPr>
          <w:rFonts w:eastAsia="仿宋_GB2312" w:cs="Times New Roman"/>
        </w:rPr>
        <w:t>公用充电设施</w:t>
      </w:r>
    </w:p>
    <w:p>
      <w:pPr>
        <w:ind w:firstLine="562"/>
        <w:rPr>
          <w:rFonts w:eastAsia="仿宋_GB2312" w:cs="Times New Roman"/>
          <w:b/>
          <w:bCs/>
        </w:rPr>
      </w:pPr>
      <w:r>
        <w:rPr>
          <w:rFonts w:eastAsia="仿宋_GB2312" w:cs="Times New Roman"/>
          <w:b/>
          <w:bCs/>
        </w:rPr>
        <w:t>1.外部公共充电设施</w:t>
      </w:r>
    </w:p>
    <w:p>
      <w:pPr>
        <w:ind w:firstLine="560"/>
        <w:rPr>
          <w:rFonts w:eastAsia="仿宋_GB2312" w:cs="Times New Roman"/>
        </w:rPr>
      </w:pPr>
      <w:r>
        <w:rPr>
          <w:rFonts w:eastAsia="仿宋_GB2312" w:cs="Times New Roman"/>
        </w:rPr>
        <w:t>到2025年通城县新建外部公共充电站22座，充电桩共166台。十四五期间规划新建外部公共充电桩明细如</w:t>
      </w:r>
      <w:r>
        <w:rPr>
          <w:rFonts w:eastAsia="仿宋_GB2312" w:cs="Times New Roman"/>
        </w:rPr>
        <w:fldChar w:fldCharType="begin"/>
      </w:r>
      <w:r>
        <w:rPr>
          <w:rFonts w:eastAsia="仿宋_GB2312" w:cs="Times New Roman"/>
        </w:rPr>
        <w:instrText xml:space="preserve"> REF _Ref115442816 \h  \* MERGEFORMAT </w:instrText>
      </w:r>
      <w:r>
        <w:rPr>
          <w:rFonts w:eastAsia="仿宋_GB2312" w:cs="Times New Roman"/>
        </w:rPr>
        <w:fldChar w:fldCharType="separate"/>
      </w:r>
      <w:r>
        <w:rPr>
          <w:rFonts w:eastAsia="仿宋_GB2312" w:cs="Times New Roman"/>
        </w:rPr>
        <w:t>表4</w:t>
      </w:r>
      <w:r>
        <w:rPr>
          <w:rFonts w:eastAsia="仿宋_GB2312" w:cs="Times New Roman"/>
        </w:rPr>
        <w:noBreakHyphen/>
      </w:r>
      <w:r>
        <w:rPr>
          <w:rFonts w:eastAsia="仿宋_GB2312" w:cs="Times New Roman"/>
        </w:rPr>
        <w:t>25</w:t>
      </w:r>
      <w:r>
        <w:rPr>
          <w:rFonts w:eastAsia="仿宋_GB2312" w:cs="Times New Roman"/>
        </w:rPr>
        <w:fldChar w:fldCharType="end"/>
      </w:r>
      <w:r>
        <w:rPr>
          <w:rFonts w:eastAsia="仿宋_GB2312" w:cs="Times New Roman"/>
        </w:rPr>
        <w:t>所示。</w:t>
      </w:r>
    </w:p>
    <w:p>
      <w:pPr>
        <w:ind w:firstLine="560"/>
        <w:rPr>
          <w:rFonts w:eastAsia="仿宋_GB2312" w:cs="Times New Roman"/>
        </w:rPr>
        <w:sectPr>
          <w:footerReference r:id="rId15" w:type="default"/>
          <w:type w:val="continuous"/>
          <w:pgSz w:w="11906" w:h="16838"/>
          <w:pgMar w:top="1440" w:right="1800" w:bottom="1440" w:left="1800" w:header="851" w:footer="992" w:gutter="0"/>
          <w:cols w:space="425" w:num="1"/>
          <w:docGrid w:type="lines" w:linePitch="312" w:charSpace="0"/>
        </w:sectPr>
      </w:pPr>
      <w:r>
        <w:rPr>
          <w:rFonts w:eastAsia="仿宋_GB2312" w:cs="Times New Roman"/>
        </w:rPr>
        <w:t>（1）新广场充电站，位于通城县文体中心停车场，新建8台120kW一机两枪直流充电桩。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2501900" cy="1876425"/>
            <wp:effectExtent l="19050" t="0" r="0" b="0"/>
            <wp:docPr id="84" name="图片 83" descr="文体1.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83" descr="文体1.jpg"/>
                    <pic:cNvPicPr>
                      <a:picLocks noChangeAspect="true"/>
                    </pic:cNvPicPr>
                  </pic:nvPicPr>
                  <pic:blipFill>
                    <a:blip r:embed="rId199" cstate="print"/>
                    <a:stretch>
                      <a:fillRect/>
                    </a:stretch>
                  </pic:blipFill>
                  <pic:spPr>
                    <a:xfrm>
                      <a:off x="0" y="0"/>
                      <a:ext cx="2501900" cy="1876425"/>
                    </a:xfrm>
                    <a:prstGeom prst="rect">
                      <a:avLst/>
                    </a:prstGeom>
                  </pic:spPr>
                </pic:pic>
              </a:graphicData>
            </a:graphic>
          </wp:inline>
        </w:drawing>
      </w:r>
    </w:p>
    <w:p>
      <w:pPr>
        <w:snapToGrid w:val="0"/>
        <w:ind w:firstLine="0" w:firstLineChars="0"/>
        <w:jc w:val="center"/>
        <w:rPr>
          <w:rFonts w:eastAsia="仿宋_GB2312" w:cs="Times New Roman"/>
        </w:rPr>
      </w:pPr>
      <w:r>
        <w:rPr>
          <w:rFonts w:eastAsia="仿宋_GB2312" w:cs="Times New Roman"/>
        </w:rPr>
        <w:drawing>
          <wp:inline distT="0" distB="0" distL="0" distR="0">
            <wp:extent cx="2501900" cy="1876425"/>
            <wp:effectExtent l="19050" t="0" r="0" b="0"/>
            <wp:docPr id="85" name="图片 84" descr="文体2.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84" descr="文体2.jpg"/>
                    <pic:cNvPicPr>
                      <a:picLocks noChangeAspect="true"/>
                    </pic:cNvPicPr>
                  </pic:nvPicPr>
                  <pic:blipFill>
                    <a:blip r:embed="rId200" cstate="print"/>
                    <a:stretch>
                      <a:fillRect/>
                    </a:stretch>
                  </pic:blipFill>
                  <pic:spPr>
                    <a:xfrm>
                      <a:off x="0" y="0"/>
                      <a:ext cx="2501900" cy="1876425"/>
                    </a:xfrm>
                    <a:prstGeom prst="rect">
                      <a:avLst/>
                    </a:prstGeom>
                  </pic:spPr>
                </pic:pic>
              </a:graphicData>
            </a:graphic>
          </wp:inline>
        </w:drawing>
      </w:r>
    </w:p>
    <w:p>
      <w:pPr>
        <w:pStyle w:val="19"/>
        <w:rPr>
          <w:rFonts w:eastAsia="仿宋_GB2312" w:cs="Times New Roman"/>
        </w:rPr>
        <w:sectPr>
          <w:type w:val="continuous"/>
          <w:pgSz w:w="11906" w:h="16838"/>
          <w:pgMar w:top="1440" w:right="1800" w:bottom="1440" w:left="1800" w:header="851" w:footer="992" w:gutter="0"/>
          <w:cols w:space="425" w:num="2"/>
          <w:docGrid w:type="lines" w:linePitch="312" w:charSpace="0"/>
        </w:sectPr>
      </w:pP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90</w:t>
      </w:r>
      <w:r>
        <w:rPr>
          <w:rFonts w:eastAsia="仿宋_GB2312" w:cs="Times New Roman"/>
        </w:rPr>
        <w:fldChar w:fldCharType="end"/>
      </w:r>
      <w:r>
        <w:rPr>
          <w:rFonts w:eastAsia="仿宋_GB2312" w:cs="Times New Roman"/>
          <w:sz w:val="18"/>
        </w:rPr>
        <w:t>通城县新广场</w:t>
      </w:r>
      <w:r>
        <w:rPr>
          <w:rFonts w:eastAsia="仿宋_GB2312" w:cs="Times New Roman"/>
        </w:rPr>
        <w:t>充电站</w:t>
      </w:r>
    </w:p>
    <w:p>
      <w:pPr>
        <w:ind w:firstLine="560"/>
        <w:rPr>
          <w:rFonts w:eastAsia="仿宋_GB2312" w:cs="Times New Roman"/>
        </w:rPr>
      </w:pPr>
      <w:r>
        <w:rPr>
          <w:rFonts w:eastAsia="仿宋_GB2312" w:cs="Times New Roman"/>
        </w:rPr>
        <w:t>（2）政府广场充电站，位于通城县政府广场停车场，新建4台120kW一机两枪直流充电桩。</w:t>
      </w:r>
    </w:p>
    <w:p>
      <w:pPr>
        <w:ind w:firstLine="560"/>
        <w:rPr>
          <w:rFonts w:eastAsia="仿宋_GB2312" w:cs="Times New Roman"/>
        </w:rPr>
      </w:pPr>
      <w:r>
        <w:rPr>
          <w:rFonts w:eastAsia="仿宋_GB2312" w:cs="Times New Roman"/>
        </w:rPr>
        <w:t>（3）金鑫农贸市场充电站，位于通城县金鑫农贸市场停车场，新建4台120kW一机两枪直流充电桩。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2468880" cy="1851660"/>
            <wp:effectExtent l="19050" t="0" r="7134" b="0"/>
            <wp:docPr id="149" name="图片 148" descr="金鑫1.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9" name="图片 148" descr="金鑫1.jpg"/>
                    <pic:cNvPicPr>
                      <a:picLocks noChangeAspect="true"/>
                    </pic:cNvPicPr>
                  </pic:nvPicPr>
                  <pic:blipFill>
                    <a:blip r:embed="rId201" cstate="print"/>
                    <a:stretch>
                      <a:fillRect/>
                    </a:stretch>
                  </pic:blipFill>
                  <pic:spPr>
                    <a:xfrm>
                      <a:off x="0" y="0"/>
                      <a:ext cx="2472226" cy="1854319"/>
                    </a:xfrm>
                    <a:prstGeom prst="rect">
                      <a:avLst/>
                    </a:prstGeom>
                  </pic:spPr>
                </pic:pic>
              </a:graphicData>
            </a:graphic>
          </wp:inline>
        </w:drawing>
      </w:r>
      <w:r>
        <w:rPr>
          <w:rFonts w:eastAsia="仿宋_GB2312" w:cs="Times New Roman"/>
        </w:rPr>
        <w:drawing>
          <wp:inline distT="0" distB="0" distL="0" distR="0">
            <wp:extent cx="2473325" cy="1855470"/>
            <wp:effectExtent l="19050" t="0" r="2575" b="0"/>
            <wp:docPr id="150" name="图片 149" descr="金鑫2.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0" name="图片 149" descr="金鑫2.jpg"/>
                    <pic:cNvPicPr>
                      <a:picLocks noChangeAspect="true"/>
                    </pic:cNvPicPr>
                  </pic:nvPicPr>
                  <pic:blipFill>
                    <a:blip r:embed="rId202" cstate="print"/>
                    <a:stretch>
                      <a:fillRect/>
                    </a:stretch>
                  </pic:blipFill>
                  <pic:spPr>
                    <a:xfrm>
                      <a:off x="0" y="0"/>
                      <a:ext cx="2471689" cy="1853915"/>
                    </a:xfrm>
                    <a:prstGeom prst="rect">
                      <a:avLst/>
                    </a:prstGeom>
                  </pic:spPr>
                </pic:pic>
              </a:graphicData>
            </a:graphic>
          </wp:inline>
        </w:drawing>
      </w:r>
    </w:p>
    <w:p>
      <w:pPr>
        <w:pStyle w:val="19"/>
        <w:rPr>
          <w:rFonts w:eastAsia="仿宋_GB2312" w:cs="Times New Roman"/>
        </w:rPr>
        <w:sectPr>
          <w:type w:val="continuous"/>
          <w:pgSz w:w="11906" w:h="16838"/>
          <w:pgMar w:top="1440" w:right="1800" w:bottom="1440" w:left="1800" w:header="851" w:footer="992" w:gutter="0"/>
          <w:cols w:space="425" w:num="1"/>
          <w:docGrid w:type="lines" w:linePitch="312" w:charSpace="0"/>
        </w:sectPr>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91</w:t>
      </w:r>
      <w:r>
        <w:fldChar w:fldCharType="end"/>
      </w:r>
      <w:r>
        <w:rPr>
          <w:rFonts w:eastAsia="仿宋_GB2312" w:cs="Times New Roman"/>
        </w:rPr>
        <w:t>金鑫农贸市场充电站</w:t>
      </w:r>
    </w:p>
    <w:p>
      <w:pPr>
        <w:snapToGrid w:val="0"/>
        <w:ind w:firstLine="0" w:firstLineChars="0"/>
        <w:jc w:val="center"/>
        <w:rPr>
          <w:rFonts w:eastAsia="仿宋_GB2312" w:cs="Times New Roman"/>
        </w:rPr>
        <w:sectPr>
          <w:type w:val="continuous"/>
          <w:pgSz w:w="11906" w:h="16838"/>
          <w:pgMar w:top="1440" w:right="1800" w:bottom="1440" w:left="1800" w:header="851" w:footer="992" w:gutter="0"/>
          <w:cols w:space="425" w:num="1"/>
          <w:docGrid w:type="lines" w:linePitch="312" w:charSpace="0"/>
        </w:sectPr>
      </w:pPr>
    </w:p>
    <w:p>
      <w:pPr>
        <w:ind w:firstLine="560"/>
        <w:rPr>
          <w:rFonts w:eastAsia="仿宋_GB2312" w:cs="Times New Roman"/>
        </w:rPr>
      </w:pPr>
      <w:r>
        <w:rPr>
          <w:rFonts w:eastAsia="仿宋_GB2312" w:cs="Times New Roman"/>
        </w:rPr>
        <w:t>（4）旭红公园充电站，位于通城县旭红公园停车场，新建4台120kW一机两枪直流充电桩。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2471420" cy="1853565"/>
            <wp:effectExtent l="19050" t="0" r="4847" b="0"/>
            <wp:docPr id="153" name="图片 152" descr="旭红1.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3" name="图片 152" descr="旭红1.jpg"/>
                    <pic:cNvPicPr>
                      <a:picLocks noChangeAspect="true"/>
                    </pic:cNvPicPr>
                  </pic:nvPicPr>
                  <pic:blipFill>
                    <a:blip r:embed="rId203" cstate="print"/>
                    <a:stretch>
                      <a:fillRect/>
                    </a:stretch>
                  </pic:blipFill>
                  <pic:spPr>
                    <a:xfrm>
                      <a:off x="0" y="0"/>
                      <a:ext cx="2474985" cy="1856388"/>
                    </a:xfrm>
                    <a:prstGeom prst="rect">
                      <a:avLst/>
                    </a:prstGeom>
                  </pic:spPr>
                </pic:pic>
              </a:graphicData>
            </a:graphic>
          </wp:inline>
        </w:drawing>
      </w:r>
      <w:r>
        <w:rPr>
          <w:rFonts w:eastAsia="仿宋_GB2312" w:cs="Times New Roman"/>
        </w:rPr>
        <w:drawing>
          <wp:inline distT="0" distB="0" distL="0" distR="0">
            <wp:extent cx="2474595" cy="1855470"/>
            <wp:effectExtent l="19050" t="0" r="1904" b="0"/>
            <wp:docPr id="155" name="图片 154" descr="旭红2.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5" name="图片 154" descr="旭红2.jpg"/>
                    <pic:cNvPicPr>
                      <a:picLocks noChangeAspect="true"/>
                    </pic:cNvPicPr>
                  </pic:nvPicPr>
                  <pic:blipFill>
                    <a:blip r:embed="rId204" cstate="print"/>
                    <a:stretch>
                      <a:fillRect/>
                    </a:stretch>
                  </pic:blipFill>
                  <pic:spPr>
                    <a:xfrm>
                      <a:off x="0" y="0"/>
                      <a:ext cx="2474738" cy="1856203"/>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92</w:t>
      </w:r>
      <w:r>
        <w:rPr>
          <w:rFonts w:eastAsia="仿宋_GB2312" w:cs="Times New Roman"/>
        </w:rPr>
        <w:fldChar w:fldCharType="end"/>
      </w:r>
      <w:r>
        <w:rPr>
          <w:rFonts w:eastAsia="仿宋_GB2312" w:cs="Times New Roman"/>
        </w:rPr>
        <w:t>通城县旭红公园充电站</w:t>
      </w:r>
    </w:p>
    <w:p>
      <w:pPr>
        <w:ind w:firstLine="560"/>
        <w:rPr>
          <w:rFonts w:eastAsia="仿宋_GB2312" w:cs="Times New Roman"/>
        </w:rPr>
      </w:pPr>
      <w:r>
        <w:rPr>
          <w:rFonts w:eastAsia="仿宋_GB2312" w:cs="Times New Roman"/>
        </w:rPr>
        <w:t>（5）雁塔广场充电站，位于通城县雁塔广场停车场，新建4台120kW一机两枪直流充电桩。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4883150" cy="3662680"/>
            <wp:effectExtent l="19050" t="0" r="0" b="0"/>
            <wp:docPr id="162" name="图片 161" descr="雁塔.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2" name="图片 161" descr="雁塔.jpg"/>
                    <pic:cNvPicPr>
                      <a:picLocks noChangeAspect="true"/>
                    </pic:cNvPicPr>
                  </pic:nvPicPr>
                  <pic:blipFill>
                    <a:blip r:embed="rId205" cstate="print"/>
                    <a:stretch>
                      <a:fillRect/>
                    </a:stretch>
                  </pic:blipFill>
                  <pic:spPr>
                    <a:xfrm>
                      <a:off x="0" y="0"/>
                      <a:ext cx="4883885" cy="3663207"/>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93</w:t>
      </w:r>
      <w:r>
        <w:rPr>
          <w:rFonts w:eastAsia="仿宋_GB2312" w:cs="Times New Roman"/>
        </w:rPr>
        <w:fldChar w:fldCharType="end"/>
      </w:r>
      <w:r>
        <w:rPr>
          <w:rFonts w:eastAsia="仿宋_GB2312" w:cs="Times New Roman"/>
        </w:rPr>
        <w:t>通城县雁塔广场充电站</w:t>
      </w:r>
    </w:p>
    <w:p>
      <w:pPr>
        <w:ind w:firstLine="560"/>
        <w:rPr>
          <w:rFonts w:eastAsia="仿宋_GB2312" w:cs="Times New Roman"/>
        </w:rPr>
      </w:pPr>
      <w:r>
        <w:rPr>
          <w:rFonts w:eastAsia="仿宋_GB2312" w:cs="Times New Roman"/>
        </w:rPr>
        <w:t>（6）通城县第一中学充电站，位于通城县第一中学停车场，新建4台120kW一机两枪直流充电桩。</w:t>
      </w:r>
    </w:p>
    <w:p>
      <w:pPr>
        <w:ind w:firstLine="560"/>
        <w:rPr>
          <w:rFonts w:eastAsia="仿宋_GB2312" w:cs="Times New Roman"/>
        </w:rPr>
      </w:pPr>
      <w:r>
        <w:rPr>
          <w:rFonts w:eastAsia="仿宋_GB2312" w:cs="Times New Roman"/>
        </w:rPr>
        <w:t>（7）玉立酒店充电站，位于通城县玉立酒店停车场，新建4台120kW一机两枪直流充电桩。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5238750" cy="3929380"/>
            <wp:effectExtent l="19050" t="0" r="0" b="0"/>
            <wp:docPr id="170" name="图片 169" descr="玉立酒店2.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0" name="图片 169" descr="玉立酒店2.jpg"/>
                    <pic:cNvPicPr>
                      <a:picLocks noChangeAspect="true"/>
                    </pic:cNvPicPr>
                  </pic:nvPicPr>
                  <pic:blipFill>
                    <a:blip r:embed="rId206" cstate="print"/>
                    <a:stretch>
                      <a:fillRect/>
                    </a:stretch>
                  </pic:blipFill>
                  <pic:spPr>
                    <a:xfrm>
                      <a:off x="0" y="0"/>
                      <a:ext cx="5246538" cy="3935218"/>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94</w:t>
      </w:r>
      <w:r>
        <w:rPr>
          <w:rFonts w:eastAsia="仿宋_GB2312" w:cs="Times New Roman"/>
        </w:rPr>
        <w:fldChar w:fldCharType="end"/>
      </w:r>
      <w:r>
        <w:rPr>
          <w:rFonts w:eastAsia="仿宋_GB2312" w:cs="Times New Roman"/>
        </w:rPr>
        <w:t>玉立酒店充电站</w:t>
      </w:r>
    </w:p>
    <w:p>
      <w:pPr>
        <w:ind w:firstLine="560"/>
        <w:rPr>
          <w:rFonts w:eastAsia="仿宋_GB2312" w:cs="Times New Roman"/>
        </w:rPr>
      </w:pPr>
      <w:r>
        <w:rPr>
          <w:rFonts w:eastAsia="仿宋_GB2312" w:cs="Times New Roman"/>
        </w:rPr>
        <w:t>（8）通城客运中心充电站，位于通城县客运中心停车场，新建4台120kW一机两枪直流充电桩。</w:t>
      </w:r>
    </w:p>
    <w:p>
      <w:pPr>
        <w:ind w:firstLine="560"/>
        <w:rPr>
          <w:rFonts w:eastAsia="仿宋_GB2312" w:cs="Times New Roman"/>
        </w:rPr>
      </w:pPr>
      <w:r>
        <w:rPr>
          <w:rFonts w:eastAsia="仿宋_GB2312" w:cs="Times New Roman"/>
        </w:rPr>
        <w:t>（9）大坪乡客运中心充电站，位于大坪乡客运中心停车场，新建4台120kW一机两枪直流充电桩。</w:t>
      </w:r>
    </w:p>
    <w:p>
      <w:pPr>
        <w:ind w:firstLine="560"/>
        <w:rPr>
          <w:rFonts w:eastAsia="仿宋_GB2312" w:cs="Times New Roman"/>
        </w:rPr>
      </w:pPr>
      <w:r>
        <w:rPr>
          <w:rFonts w:eastAsia="仿宋_GB2312" w:cs="Times New Roman"/>
        </w:rPr>
        <w:t>（10）世纪华联充电站，位于世纪华联停车场，新建4台120kW一机两枪直流充电桩。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5274310" cy="3956050"/>
            <wp:effectExtent l="19050" t="0" r="2540" b="0"/>
            <wp:docPr id="177" name="图片 176" descr="世纪华联.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7" name="图片 176" descr="世纪华联.jpg"/>
                    <pic:cNvPicPr>
                      <a:picLocks noChangeAspect="true"/>
                    </pic:cNvPicPr>
                  </pic:nvPicPr>
                  <pic:blipFill>
                    <a:blip r:embed="rId207" cstate="print"/>
                    <a:stretch>
                      <a:fillRect/>
                    </a:stretch>
                  </pic:blipFill>
                  <pic:spPr>
                    <a:xfrm>
                      <a:off x="0" y="0"/>
                      <a:ext cx="5274310" cy="3956050"/>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95</w:t>
      </w:r>
      <w:r>
        <w:rPr>
          <w:rFonts w:eastAsia="仿宋_GB2312" w:cs="Times New Roman"/>
        </w:rPr>
        <w:fldChar w:fldCharType="end"/>
      </w:r>
      <w:r>
        <w:rPr>
          <w:rFonts w:eastAsia="仿宋_GB2312" w:cs="Times New Roman"/>
        </w:rPr>
        <w:t>世纪华联充电站</w:t>
      </w:r>
    </w:p>
    <w:p>
      <w:pPr>
        <w:ind w:firstLine="560"/>
        <w:rPr>
          <w:rFonts w:eastAsia="仿宋_GB2312" w:cs="Times New Roman"/>
        </w:rPr>
      </w:pPr>
      <w:r>
        <w:rPr>
          <w:rFonts w:eastAsia="仿宋_GB2312" w:cs="Times New Roman"/>
        </w:rPr>
        <w:t>（11）博仁广场充电站，位于博仁广场停车场，新建4台120kW一机两枪直流充电桩。</w:t>
      </w:r>
    </w:p>
    <w:p>
      <w:pPr>
        <w:snapToGrid w:val="0"/>
        <w:ind w:firstLine="0" w:firstLineChars="0"/>
        <w:jc w:val="center"/>
        <w:rPr>
          <w:rFonts w:eastAsia="仿宋_GB2312" w:cs="Times New Roman"/>
        </w:rPr>
      </w:pPr>
      <w:r>
        <w:rPr>
          <w:rFonts w:eastAsia="仿宋_GB2312" w:cs="Times New Roman"/>
        </w:rPr>
        <w:drawing>
          <wp:inline distT="0" distB="0" distL="0" distR="0">
            <wp:extent cx="4535805" cy="3402330"/>
            <wp:effectExtent l="0" t="0" r="0" b="7620"/>
            <wp:docPr id="178" name="图片 177" descr="博仁广场.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8" name="图片 177" descr="博仁广场.jpg"/>
                    <pic:cNvPicPr>
                      <a:picLocks noChangeAspect="true"/>
                    </pic:cNvPicPr>
                  </pic:nvPicPr>
                  <pic:blipFill>
                    <a:blip r:embed="rId208" cstate="print"/>
                    <a:stretch>
                      <a:fillRect/>
                    </a:stretch>
                  </pic:blipFill>
                  <pic:spPr>
                    <a:xfrm>
                      <a:off x="0" y="0"/>
                      <a:ext cx="4545559" cy="3409444"/>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96</w:t>
      </w:r>
      <w:r>
        <w:rPr>
          <w:rFonts w:eastAsia="仿宋_GB2312" w:cs="Times New Roman"/>
        </w:rPr>
        <w:fldChar w:fldCharType="end"/>
      </w:r>
      <w:r>
        <w:rPr>
          <w:rFonts w:eastAsia="仿宋_GB2312" w:cs="Times New Roman"/>
        </w:rPr>
        <w:t>博仁广场充电站</w:t>
      </w:r>
    </w:p>
    <w:p>
      <w:pPr>
        <w:ind w:firstLine="560"/>
        <w:rPr>
          <w:rFonts w:eastAsia="仿宋_GB2312" w:cs="Times New Roman"/>
        </w:rPr>
      </w:pPr>
      <w:r>
        <w:rPr>
          <w:rFonts w:eastAsia="仿宋_GB2312" w:cs="Times New Roman"/>
        </w:rPr>
        <w:t>（12）通城县人民医院充电站，位于通城县人民医院停车场，新建4台120kW一机两枪直流充电桩。</w:t>
      </w:r>
    </w:p>
    <w:p>
      <w:pPr>
        <w:ind w:firstLine="560"/>
        <w:rPr>
          <w:rFonts w:eastAsia="仿宋_GB2312" w:cs="Times New Roman"/>
        </w:rPr>
      </w:pPr>
      <w:r>
        <w:rPr>
          <w:rFonts w:eastAsia="仿宋_GB2312" w:cs="Times New Roman"/>
        </w:rPr>
        <w:t>（13）罗荣桓早期革命纪念馆充电站，位于通城县罗荣桓早期革命纪念馆停车场，新建4台120kW一机两枪直流充电桩。</w:t>
      </w:r>
    </w:p>
    <w:p>
      <w:pPr>
        <w:ind w:firstLine="560"/>
        <w:rPr>
          <w:rFonts w:eastAsia="仿宋_GB2312" w:cs="Times New Roman"/>
        </w:rPr>
      </w:pPr>
      <w:r>
        <w:rPr>
          <w:rFonts w:eastAsia="仿宋_GB2312" w:cs="Times New Roman"/>
        </w:rPr>
        <w:t>（14）五里镇充电站，位于通城县五里镇，新建3台120kW一机两枪直流充电桩。</w:t>
      </w:r>
    </w:p>
    <w:p>
      <w:pPr>
        <w:ind w:firstLine="560"/>
        <w:rPr>
          <w:rFonts w:eastAsia="仿宋_GB2312" w:cs="Times New Roman"/>
        </w:rPr>
      </w:pPr>
      <w:r>
        <w:rPr>
          <w:rFonts w:eastAsia="仿宋_GB2312" w:cs="Times New Roman"/>
        </w:rPr>
        <w:t>（15）沙堆镇充电站，位于通城县沙堆镇，新建3台120kW一机两枪直流充电桩。</w:t>
      </w:r>
    </w:p>
    <w:p>
      <w:pPr>
        <w:ind w:firstLine="560"/>
        <w:rPr>
          <w:rFonts w:eastAsia="仿宋_GB2312" w:cs="Times New Roman"/>
        </w:rPr>
      </w:pPr>
      <w:r>
        <w:rPr>
          <w:rFonts w:eastAsia="仿宋_GB2312" w:cs="Times New Roman"/>
        </w:rPr>
        <w:t>（16）关刀镇充电站，位于通城县关刀镇，新建3台120kW一机两枪直流充电桩。</w:t>
      </w:r>
    </w:p>
    <w:p>
      <w:pPr>
        <w:ind w:firstLine="560"/>
        <w:rPr>
          <w:rFonts w:eastAsia="仿宋_GB2312" w:cs="Times New Roman"/>
        </w:rPr>
      </w:pPr>
      <w:r>
        <w:rPr>
          <w:rFonts w:eastAsia="仿宋_GB2312" w:cs="Times New Roman"/>
        </w:rPr>
        <w:t>（17）麦市镇充电站，位于通城县麦市镇，新建3台120kW一机两枪直流充电桩。</w:t>
      </w:r>
    </w:p>
    <w:p>
      <w:pPr>
        <w:ind w:firstLine="560"/>
        <w:rPr>
          <w:rFonts w:eastAsia="仿宋_GB2312" w:cs="Times New Roman"/>
        </w:rPr>
      </w:pPr>
      <w:r>
        <w:rPr>
          <w:rFonts w:eastAsia="仿宋_GB2312" w:cs="Times New Roman"/>
        </w:rPr>
        <w:t>（18）马港镇充电站，位于通城县马港镇，新建3台120kW一机两枪直流充电桩。</w:t>
      </w:r>
    </w:p>
    <w:p>
      <w:pPr>
        <w:ind w:firstLine="560"/>
        <w:rPr>
          <w:rFonts w:eastAsia="仿宋_GB2312" w:cs="Times New Roman"/>
        </w:rPr>
      </w:pPr>
      <w:r>
        <w:rPr>
          <w:rFonts w:eastAsia="仿宋_GB2312" w:cs="Times New Roman"/>
        </w:rPr>
        <w:t>（19）北港镇充电站，位于通城县北港镇，新建3台120kW一机两枪直流充电桩。</w:t>
      </w:r>
    </w:p>
    <w:p>
      <w:pPr>
        <w:ind w:firstLine="560"/>
        <w:rPr>
          <w:rFonts w:eastAsia="仿宋_GB2312" w:cs="Times New Roman"/>
        </w:rPr>
      </w:pPr>
      <w:r>
        <w:rPr>
          <w:rFonts w:eastAsia="仿宋_GB2312" w:cs="Times New Roman"/>
        </w:rPr>
        <w:t>（20）石南镇充电站，位于通城县石南镇，新建3台120kW一机两枪直流充电桩。</w:t>
      </w:r>
    </w:p>
    <w:p>
      <w:pPr>
        <w:ind w:firstLine="560"/>
        <w:rPr>
          <w:rFonts w:eastAsia="仿宋_GB2312" w:cs="Times New Roman"/>
        </w:rPr>
      </w:pPr>
      <w:r>
        <w:rPr>
          <w:rFonts w:eastAsia="仿宋_GB2312" w:cs="Times New Roman"/>
        </w:rPr>
        <w:t>（2</w:t>
      </w:r>
      <w:r>
        <w:rPr>
          <w:rFonts w:hint="eastAsia" w:eastAsia="仿宋_GB2312" w:cs="Times New Roman"/>
        </w:rPr>
        <w:t>1</w:t>
      </w:r>
      <w:r>
        <w:rPr>
          <w:rFonts w:eastAsia="仿宋_GB2312" w:cs="Times New Roman"/>
        </w:rPr>
        <w:t>）塘湖镇充电站，新建3台120kW一机两枪直流充电桩。</w:t>
      </w:r>
    </w:p>
    <w:p>
      <w:pPr>
        <w:ind w:firstLine="560"/>
        <w:rPr>
          <w:rFonts w:eastAsia="仿宋_GB2312" w:cs="Times New Roman"/>
        </w:rPr>
      </w:pPr>
      <w:r>
        <w:rPr>
          <w:rFonts w:eastAsia="仿宋_GB2312" w:cs="Times New Roman"/>
        </w:rPr>
        <w:t>（2</w:t>
      </w:r>
      <w:r>
        <w:rPr>
          <w:rFonts w:hint="eastAsia" w:eastAsia="仿宋_GB2312" w:cs="Times New Roman"/>
        </w:rPr>
        <w:t>2</w:t>
      </w:r>
      <w:r>
        <w:rPr>
          <w:rFonts w:eastAsia="仿宋_GB2312" w:cs="Times New Roman"/>
        </w:rPr>
        <w:t>）隽水镇充电站，新建3台120kW一机两枪直流充电桩。</w:t>
      </w:r>
    </w:p>
    <w:p>
      <w:pPr>
        <w:pStyle w:val="19"/>
        <w:ind w:firstLine="560"/>
        <w:rPr>
          <w:rFonts w:eastAsia="仿宋_GB2312" w:cs="Times New Roman"/>
        </w:rPr>
      </w:pPr>
      <w:bookmarkStart w:id="203" w:name="_Ref112163183"/>
    </w:p>
    <w:p>
      <w:pPr>
        <w:pStyle w:val="19"/>
        <w:ind w:firstLine="560"/>
        <w:rPr>
          <w:rFonts w:eastAsia="仿宋_GB2312" w:cs="Times New Roman"/>
        </w:rPr>
      </w:pPr>
    </w:p>
    <w:p>
      <w:pPr>
        <w:pStyle w:val="19"/>
        <w:ind w:firstLine="560"/>
        <w:rPr>
          <w:rFonts w:eastAsia="仿宋_GB2312" w:cs="Times New Roman"/>
        </w:rPr>
      </w:pPr>
    </w:p>
    <w:p>
      <w:pPr>
        <w:pStyle w:val="19"/>
        <w:ind w:firstLine="560"/>
        <w:rPr>
          <w:rFonts w:eastAsia="仿宋_GB2312" w:cs="Times New Roman"/>
        </w:rPr>
      </w:pPr>
    </w:p>
    <w:p>
      <w:pPr>
        <w:pStyle w:val="19"/>
        <w:ind w:firstLine="560"/>
        <w:rPr>
          <w:rFonts w:eastAsia="仿宋_GB2312" w:cs="Times New Roman"/>
        </w:rPr>
      </w:pPr>
      <w:r>
        <w:rPr>
          <w:rFonts w:eastAsia="仿宋_GB2312" w:cs="Times New Roman"/>
        </w:rPr>
        <w:t xml:space="preserve">                   </w:t>
      </w:r>
      <w:bookmarkStart w:id="204" w:name="_Ref115442816"/>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25</w:t>
      </w:r>
      <w:r>
        <w:rPr>
          <w:rFonts w:eastAsia="仿宋_GB2312" w:cs="Times New Roman"/>
        </w:rPr>
        <w:fldChar w:fldCharType="end"/>
      </w:r>
      <w:bookmarkEnd w:id="203"/>
      <w:bookmarkEnd w:id="204"/>
      <w:r>
        <w:rPr>
          <w:rFonts w:eastAsia="仿宋_GB2312" w:cs="Times New Roman"/>
        </w:rPr>
        <w:t>通城县城市公共充电站布局规划表      单位：个、平米、年</w:t>
      </w:r>
    </w:p>
    <w:tbl>
      <w:tblPr>
        <w:tblStyle w:val="7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2551"/>
        <w:gridCol w:w="2494"/>
        <w:gridCol w:w="695"/>
        <w:gridCol w:w="695"/>
        <w:gridCol w:w="695"/>
        <w:gridCol w:w="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blHeader/>
        </w:trPr>
        <w:tc>
          <w:tcPr>
            <w:tcW w:w="409"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序号</w:t>
            </w:r>
          </w:p>
        </w:tc>
        <w:tc>
          <w:tcPr>
            <w:tcW w:w="149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名称</w:t>
            </w:r>
          </w:p>
        </w:tc>
        <w:tc>
          <w:tcPr>
            <w:tcW w:w="1463"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地理位置</w:t>
            </w:r>
          </w:p>
        </w:tc>
        <w:tc>
          <w:tcPr>
            <w:tcW w:w="408"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实施类型</w:t>
            </w:r>
          </w:p>
        </w:tc>
        <w:tc>
          <w:tcPr>
            <w:tcW w:w="408"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充电桩数</w:t>
            </w:r>
          </w:p>
        </w:tc>
        <w:tc>
          <w:tcPr>
            <w:tcW w:w="408"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预留面积</w:t>
            </w:r>
          </w:p>
        </w:tc>
        <w:tc>
          <w:tcPr>
            <w:tcW w:w="408"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规划实施年份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新广场</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通城县新广场停车场</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政府广场</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通城县政府广场停车场</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金鑫农贸市场</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通城县金鑫农贸市场停车场</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旭红公园</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通城县旭红公园停车场</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雁塔广场</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通城县雁塔广场停车场</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通城县第一中学</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通城县县一中停车场</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玉立酒店</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通城县玉立酒店停车场</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通城客运中心停车场</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通城客运中心停车场</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大坪乡客运中心</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通城县大坪乡客运中心停车场</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世纪华联停车场</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通城县世纪华联停车场</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博仁广场停车场</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通城县博仁广场停车场</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通城县人民医院</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通城县人民医院停车场</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罗荣桓早期革命纪念馆</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罗荣桓早期革命纪念馆停车场</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14</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五里镇</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通城县五里镇政府</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沙堆镇</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通城县沙堆镇政府</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关刀镇</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通城县关刀镇政府</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17</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麦市镇</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通城县麦市镇政府</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18</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马港镇</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通城县马港镇政府</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北港镇</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通城县北港镇政府</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石南镇</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通城县石南镇政府</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r>
              <w:rPr>
                <w:rFonts w:hint="eastAsia" w:eastAsia="仿宋_GB2312" w:cs="Times New Roman"/>
                <w:color w:val="000000"/>
                <w:kern w:val="0"/>
                <w:sz w:val="21"/>
                <w:szCs w:val="21"/>
              </w:rPr>
              <w:t>1</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塘湖镇充电站</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塘湖镇镇政府</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隽水镇充电站</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隽水镇镇政府</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22.8</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409"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汇总</w:t>
            </w:r>
          </w:p>
        </w:tc>
        <w:tc>
          <w:tcPr>
            <w:tcW w:w="149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146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166</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08"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286760"/>
            <wp:effectExtent l="0" t="0" r="2540" b="8890"/>
            <wp:docPr id="156" name="图片 1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true"/>
                    </pic:cNvPicPr>
                  </pic:nvPicPr>
                  <pic:blipFill>
                    <a:blip r:embed="rId209"/>
                    <a:stretch>
                      <a:fillRect/>
                    </a:stretch>
                  </pic:blipFill>
                  <pic:spPr>
                    <a:xfrm>
                      <a:off x="0" y="0"/>
                      <a:ext cx="5274310" cy="3286760"/>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97</w:t>
      </w:r>
      <w:r>
        <w:rPr>
          <w:rFonts w:eastAsia="仿宋_GB2312" w:cs="Times New Roman"/>
        </w:rPr>
        <w:fldChar w:fldCharType="end"/>
      </w:r>
      <w:r>
        <w:rPr>
          <w:rFonts w:eastAsia="仿宋_GB2312" w:cs="Times New Roman"/>
        </w:rPr>
        <w:t>通城县城市公共充电站布点图</w:t>
      </w:r>
    </w:p>
    <w:p>
      <w:pPr>
        <w:ind w:firstLine="562"/>
        <w:rPr>
          <w:rFonts w:eastAsia="仿宋_GB2312" w:cs="Times New Roman"/>
          <w:b/>
          <w:bCs/>
        </w:rPr>
      </w:pPr>
      <w:r>
        <w:rPr>
          <w:rFonts w:eastAsia="仿宋_GB2312" w:cs="Times New Roman"/>
          <w:b/>
          <w:bCs/>
        </w:rPr>
        <w:t>2.小区内部公共充电设施</w:t>
      </w:r>
    </w:p>
    <w:p>
      <w:pPr>
        <w:ind w:firstLine="560"/>
        <w:rPr>
          <w:rFonts w:eastAsia="仿宋_GB2312" w:cs="Times New Roman"/>
        </w:rPr>
      </w:pPr>
      <w:r>
        <w:rPr>
          <w:rFonts w:eastAsia="仿宋_GB2312" w:cs="Times New Roman"/>
          <w:szCs w:val="21"/>
        </w:rPr>
        <w:t>至2025年，通城县新建小区公共充电桩183个。通城县小区公共充电桩规划如</w:t>
      </w:r>
      <w:r>
        <w:rPr>
          <w:rFonts w:eastAsia="仿宋_GB2312" w:cs="Times New Roman"/>
        </w:rPr>
        <w:fldChar w:fldCharType="begin"/>
      </w:r>
      <w:r>
        <w:rPr>
          <w:rFonts w:eastAsia="仿宋_GB2312" w:cs="Times New Roman"/>
          <w:szCs w:val="21"/>
        </w:rPr>
        <w:instrText xml:space="preserve"> REF _Ref112163868 \h </w:instrText>
      </w:r>
      <w:r>
        <w:rPr>
          <w:rFonts w:eastAsia="仿宋_GB2312" w:cs="Times New Roman"/>
        </w:rPr>
        <w:instrText xml:space="preserve"> \* MERGEFORMAT </w:instrText>
      </w:r>
      <w:r>
        <w:rPr>
          <w:rFonts w:eastAsia="仿宋_GB2312" w:cs="Times New Roman"/>
        </w:rPr>
        <w:fldChar w:fldCharType="separate"/>
      </w:r>
      <w:r>
        <w:rPr>
          <w:rFonts w:eastAsia="仿宋_GB2312" w:cs="Times New Roman"/>
        </w:rPr>
        <w:t>表4</w:t>
      </w:r>
      <w:r>
        <w:rPr>
          <w:rFonts w:eastAsia="仿宋_GB2312" w:cs="Times New Roman"/>
        </w:rPr>
        <w:noBreakHyphen/>
      </w:r>
      <w:r>
        <w:rPr>
          <w:rFonts w:eastAsia="仿宋_GB2312" w:cs="Times New Roman"/>
        </w:rPr>
        <w:t>26</w:t>
      </w:r>
      <w:r>
        <w:rPr>
          <w:rFonts w:eastAsia="仿宋_GB2312" w:cs="Times New Roman"/>
        </w:rPr>
        <w:fldChar w:fldCharType="end"/>
      </w:r>
      <w:r>
        <w:rPr>
          <w:rFonts w:eastAsia="仿宋_GB2312" w:cs="Times New Roman"/>
          <w:szCs w:val="21"/>
        </w:rPr>
        <w:t>所示。</w:t>
      </w:r>
    </w:p>
    <w:p>
      <w:pPr>
        <w:pStyle w:val="19"/>
        <w:ind w:left="1600" w:hanging="480"/>
        <w:rPr>
          <w:rFonts w:eastAsia="仿宋_GB2312" w:cs="Times New Roman"/>
          <w:szCs w:val="24"/>
        </w:rPr>
      </w:pPr>
      <w:bookmarkStart w:id="205" w:name="_Ref112163868"/>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26</w:t>
      </w:r>
      <w:r>
        <w:rPr>
          <w:rFonts w:eastAsia="仿宋_GB2312" w:cs="Times New Roman"/>
        </w:rPr>
        <w:fldChar w:fldCharType="end"/>
      </w:r>
      <w:bookmarkEnd w:id="205"/>
      <w:r>
        <w:rPr>
          <w:rFonts w:eastAsia="仿宋_GB2312" w:cs="Times New Roman"/>
          <w:szCs w:val="21"/>
        </w:rPr>
        <w:t>通城县小区公共</w:t>
      </w:r>
      <w:r>
        <w:rPr>
          <w:rFonts w:eastAsia="仿宋_GB2312" w:cs="Times New Roman"/>
        </w:rPr>
        <w:t>充电桩规划统计表</w:t>
      </w:r>
    </w:p>
    <w:tbl>
      <w:tblPr>
        <w:tblStyle w:val="7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67"/>
        <w:gridCol w:w="1208"/>
        <w:gridCol w:w="1209"/>
        <w:gridCol w:w="1209"/>
        <w:gridCol w:w="1209"/>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136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2022</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2023</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2024</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2025</w:t>
            </w:r>
          </w:p>
        </w:tc>
        <w:tc>
          <w:tcPr>
            <w:tcW w:w="727" w:type="pct"/>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十四五汇总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小区公共充电桩</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31</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40</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50</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62</w:t>
            </w:r>
          </w:p>
        </w:tc>
        <w:tc>
          <w:tcPr>
            <w:tcW w:w="727" w:type="pct"/>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183</w:t>
            </w:r>
          </w:p>
        </w:tc>
      </w:tr>
    </w:tbl>
    <w:p>
      <w:pPr>
        <w:pStyle w:val="5"/>
        <w:adjustRightInd w:val="0"/>
        <w:snapToGrid w:val="0"/>
        <w:spacing w:before="312" w:beforeLines="100"/>
        <w:ind w:firstLine="284"/>
        <w:rPr>
          <w:rFonts w:eastAsia="仿宋_GB2312" w:cs="Times New Roman"/>
        </w:rPr>
      </w:pPr>
      <w:r>
        <w:rPr>
          <w:rFonts w:eastAsia="仿宋_GB2312" w:cs="Times New Roman"/>
        </w:rPr>
        <w:t>自用充电设施</w:t>
      </w:r>
    </w:p>
    <w:p>
      <w:pPr>
        <w:ind w:firstLine="560"/>
        <w:rPr>
          <w:rFonts w:eastAsia="仿宋_GB2312" w:cs="Times New Roman"/>
          <w:szCs w:val="21"/>
        </w:rPr>
      </w:pPr>
      <w:r>
        <w:rPr>
          <w:rFonts w:eastAsia="仿宋_GB2312" w:cs="Times New Roman"/>
        </w:rPr>
        <w:t>“十四五”期间，根据对小区充电设施的预测，结合新建居民住宅小区</w:t>
      </w:r>
      <w:r>
        <w:rPr>
          <w:rFonts w:eastAsia="仿宋_GB2312" w:cs="Times New Roman"/>
          <w:szCs w:val="21"/>
        </w:rPr>
        <w:t>建设情况和现有小区私人停车位改造情况进行规划布点，至2025年，新建小区自用充电桩731个。通城县小区自用充电桩规划如</w:t>
      </w:r>
      <w:r>
        <w:rPr>
          <w:rFonts w:eastAsia="仿宋_GB2312" w:cs="Times New Roman"/>
          <w:szCs w:val="21"/>
        </w:rPr>
        <w:fldChar w:fldCharType="begin"/>
      </w:r>
      <w:r>
        <w:rPr>
          <w:rFonts w:eastAsia="仿宋_GB2312" w:cs="Times New Roman"/>
          <w:szCs w:val="21"/>
        </w:rPr>
        <w:instrText xml:space="preserve"> REF _Ref112164039 \h  \* MERGEFORMAT </w:instrText>
      </w:r>
      <w:r>
        <w:rPr>
          <w:rFonts w:eastAsia="仿宋_GB2312" w:cs="Times New Roman"/>
          <w:szCs w:val="21"/>
        </w:rPr>
        <w:fldChar w:fldCharType="separate"/>
      </w:r>
      <w:r>
        <w:rPr>
          <w:rFonts w:eastAsia="仿宋_GB2312" w:cs="Times New Roman"/>
        </w:rPr>
        <w:t>表4</w:t>
      </w:r>
      <w:r>
        <w:rPr>
          <w:rFonts w:eastAsia="仿宋_GB2312" w:cs="Times New Roman"/>
        </w:rPr>
        <w:noBreakHyphen/>
      </w:r>
      <w:r>
        <w:rPr>
          <w:rFonts w:eastAsia="仿宋_GB2312" w:cs="Times New Roman"/>
        </w:rPr>
        <w:t>27</w:t>
      </w:r>
      <w:r>
        <w:rPr>
          <w:rFonts w:eastAsia="仿宋_GB2312" w:cs="Times New Roman"/>
          <w:szCs w:val="21"/>
        </w:rPr>
        <w:fldChar w:fldCharType="end"/>
      </w:r>
      <w:r>
        <w:rPr>
          <w:rFonts w:eastAsia="仿宋_GB2312" w:cs="Times New Roman"/>
          <w:szCs w:val="21"/>
        </w:rPr>
        <w:t>所示。</w:t>
      </w:r>
    </w:p>
    <w:p>
      <w:pPr>
        <w:pStyle w:val="19"/>
        <w:ind w:firstLine="560"/>
        <w:rPr>
          <w:rFonts w:eastAsia="仿宋_GB2312" w:cs="Times New Roman"/>
          <w:szCs w:val="24"/>
        </w:rPr>
      </w:pPr>
      <w:bookmarkStart w:id="206" w:name="_Ref112164039"/>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27</w:t>
      </w:r>
      <w:r>
        <w:rPr>
          <w:rFonts w:eastAsia="仿宋_GB2312" w:cs="Times New Roman"/>
        </w:rPr>
        <w:fldChar w:fldCharType="end"/>
      </w:r>
      <w:bookmarkEnd w:id="206"/>
      <w:r>
        <w:rPr>
          <w:rFonts w:eastAsia="仿宋_GB2312" w:cs="Times New Roman"/>
        </w:rPr>
        <w:t>通城县私人充电桩规划统计表</w:t>
      </w:r>
    </w:p>
    <w:tbl>
      <w:tblPr>
        <w:tblStyle w:val="76"/>
        <w:tblW w:w="508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308"/>
        <w:gridCol w:w="1229"/>
        <w:gridCol w:w="1229"/>
        <w:gridCol w:w="1229"/>
        <w:gridCol w:w="1229"/>
        <w:gridCol w:w="12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8" w:hRule="atLeast"/>
          <w:tblHeader/>
          <w:jc w:val="center"/>
        </w:trPr>
        <w:tc>
          <w:tcPr>
            <w:tcW w:w="1365"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2022</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2023</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2024</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2025</w:t>
            </w:r>
          </w:p>
        </w:tc>
        <w:tc>
          <w:tcPr>
            <w:tcW w:w="727" w:type="pct"/>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十四五汇总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8" w:hRule="atLeast"/>
          <w:jc w:val="center"/>
        </w:trPr>
        <w:tc>
          <w:tcPr>
            <w:tcW w:w="1365"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小区自用充电桩（7kW）</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122</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161</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198</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等线" w:cs="Times New Roman"/>
                <w:color w:val="000000"/>
                <w:sz w:val="22"/>
                <w:szCs w:val="22"/>
              </w:rPr>
              <w:t>250</w:t>
            </w:r>
          </w:p>
        </w:tc>
        <w:tc>
          <w:tcPr>
            <w:tcW w:w="727" w:type="pct"/>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731</w:t>
            </w:r>
          </w:p>
        </w:tc>
      </w:tr>
    </w:tbl>
    <w:p>
      <w:pPr>
        <w:pStyle w:val="4"/>
        <w:spacing w:before="312" w:beforeLines="100"/>
        <w:rPr>
          <w:rFonts w:eastAsia="仿宋_GB2312"/>
        </w:rPr>
      </w:pPr>
      <w:bookmarkStart w:id="207" w:name="_Toc117243226"/>
      <w:r>
        <w:rPr>
          <w:rFonts w:eastAsia="仿宋_GB2312"/>
        </w:rPr>
        <w:t>崇阳县充电设施布局</w:t>
      </w:r>
      <w:bookmarkEnd w:id="207"/>
    </w:p>
    <w:p>
      <w:pPr>
        <w:adjustRightInd w:val="0"/>
        <w:snapToGrid w:val="0"/>
        <w:ind w:firstLine="560"/>
        <w:rPr>
          <w:rFonts w:eastAsia="仿宋_GB2312" w:cs="Times New Roman"/>
        </w:rPr>
      </w:pPr>
      <w:r>
        <w:rPr>
          <w:rFonts w:eastAsia="仿宋_GB2312" w:cs="Times New Roman"/>
        </w:rPr>
        <w:t>本次规划，十四五期间崇阳县共规划建设外部公共充电桩264个，小区公用充电桩187个；物流充电桩20个，环卫充电桩20个，公交充电桩20个，公务车充电桩32个；小区自用充电桩734个。</w:t>
      </w:r>
    </w:p>
    <w:p>
      <w:pPr>
        <w:pStyle w:val="5"/>
        <w:adjustRightInd w:val="0"/>
        <w:snapToGrid w:val="0"/>
        <w:spacing w:before="156" w:beforeLines="50"/>
        <w:ind w:firstLine="284"/>
        <w:rPr>
          <w:rFonts w:eastAsia="仿宋_GB2312" w:cs="Times New Roman"/>
        </w:rPr>
      </w:pPr>
      <w:r>
        <w:rPr>
          <w:rFonts w:eastAsia="仿宋_GB2312" w:cs="Times New Roman"/>
        </w:rPr>
        <w:t>专用充电设施</w:t>
      </w:r>
    </w:p>
    <w:p>
      <w:pPr>
        <w:adjustRightInd w:val="0"/>
        <w:snapToGrid w:val="0"/>
        <w:ind w:firstLine="562"/>
        <w:rPr>
          <w:rFonts w:eastAsia="仿宋_GB2312" w:cs="Times New Roman"/>
          <w:b/>
          <w:bCs/>
        </w:rPr>
      </w:pPr>
      <w:r>
        <w:rPr>
          <w:rFonts w:eastAsia="仿宋_GB2312" w:cs="Times New Roman"/>
          <w:b/>
          <w:bCs/>
        </w:rPr>
        <w:t>1.物流专用网络</w:t>
      </w:r>
    </w:p>
    <w:p>
      <w:pPr>
        <w:adjustRightInd w:val="0"/>
        <w:snapToGrid w:val="0"/>
        <w:ind w:firstLine="560"/>
        <w:rPr>
          <w:rFonts w:eastAsia="仿宋_GB2312" w:cs="Times New Roman"/>
        </w:rPr>
      </w:pPr>
      <w:r>
        <w:rPr>
          <w:rFonts w:eastAsia="仿宋_GB2312" w:cs="Times New Roman"/>
        </w:rPr>
        <w:t>十四五期间，为满足城市物流专用车辆的专用充电需求，选址各物流中心、物流有限公司等适宜地点规划新建物流车专用充电站。崇阳县物流车充电站布局情况如</w:t>
      </w:r>
      <w:r>
        <w:rPr>
          <w:rFonts w:eastAsia="仿宋_GB2312" w:cs="Times New Roman"/>
        </w:rPr>
        <w:fldChar w:fldCharType="begin"/>
      </w:r>
      <w:r>
        <w:rPr>
          <w:rFonts w:eastAsia="仿宋_GB2312" w:cs="Times New Roman"/>
        </w:rPr>
        <w:instrText xml:space="preserve"> REF _Ref112164965 \h  \* MERGEFORMAT </w:instrText>
      </w:r>
      <w:r>
        <w:rPr>
          <w:rFonts w:eastAsia="仿宋_GB2312" w:cs="Times New Roman"/>
        </w:rPr>
        <w:fldChar w:fldCharType="separate"/>
      </w:r>
      <w:r>
        <w:rPr>
          <w:rFonts w:eastAsia="仿宋_GB2312" w:cs="Times New Roman"/>
        </w:rPr>
        <w:t>图4</w:t>
      </w:r>
      <w:r>
        <w:rPr>
          <w:rFonts w:eastAsia="仿宋_GB2312" w:cs="Times New Roman"/>
        </w:rPr>
        <w:noBreakHyphen/>
      </w:r>
      <w:r>
        <w:rPr>
          <w:rFonts w:eastAsia="仿宋_GB2312" w:cs="Times New Roman"/>
        </w:rPr>
        <w:t>98</w:t>
      </w:r>
      <w:r>
        <w:rPr>
          <w:rFonts w:eastAsia="仿宋_GB2312" w:cs="Times New Roman"/>
        </w:rPr>
        <w:fldChar w:fldCharType="end"/>
      </w:r>
      <w:r>
        <w:rPr>
          <w:rFonts w:eastAsia="仿宋_GB2312" w:cs="Times New Roman"/>
        </w:rPr>
        <w:t>所示，至2025年，崇阳县共新建物流车专用充电站1座，20个充电桩。</w:t>
      </w:r>
    </w:p>
    <w:p>
      <w:pPr>
        <w:adjustRightInd w:val="0"/>
        <w:snapToGrid w:val="0"/>
        <w:ind w:firstLine="560"/>
        <w:rPr>
          <w:rFonts w:eastAsia="仿宋_GB2312" w:cs="Times New Roman"/>
        </w:rPr>
      </w:pPr>
      <w:r>
        <w:rPr>
          <w:rFonts w:eastAsia="仿宋_GB2312" w:cs="Times New Roman"/>
        </w:rPr>
        <w:t>（1）崇阳县花山充电站，位于崇阳县下津大道河水幼儿园西南侧约190米，新建10台120kW一机两枪直流充电桩。</w:t>
      </w:r>
    </w:p>
    <w:p>
      <w:pPr>
        <w:pStyle w:val="19"/>
        <w:ind w:firstLine="560"/>
        <w:rPr>
          <w:rFonts w:eastAsia="仿宋_GB2312" w:cs="Times New Roman"/>
        </w:rPr>
      </w:pPr>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28</w:t>
      </w:r>
      <w:r>
        <w:rPr>
          <w:rFonts w:eastAsia="仿宋_GB2312" w:cs="Times New Roman"/>
        </w:rPr>
        <w:fldChar w:fldCharType="end"/>
      </w:r>
      <w:r>
        <w:rPr>
          <w:rFonts w:eastAsia="仿宋_GB2312" w:cs="Times New Roman"/>
        </w:rPr>
        <w:t>崇阳县物流充电站布局规划表</w:t>
      </w:r>
    </w:p>
    <w:tbl>
      <w:tblPr>
        <w:tblStyle w:val="76"/>
        <w:tblW w:w="83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39"/>
        <w:gridCol w:w="1956"/>
        <w:gridCol w:w="1936"/>
        <w:gridCol w:w="1337"/>
        <w:gridCol w:w="1146"/>
        <w:gridCol w:w="10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939"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956"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936"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地理位置</w:t>
            </w:r>
          </w:p>
        </w:tc>
        <w:tc>
          <w:tcPr>
            <w:tcW w:w="1337"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实施类型</w:t>
            </w:r>
          </w:p>
        </w:tc>
        <w:tc>
          <w:tcPr>
            <w:tcW w:w="1146"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充电桩数</w:t>
            </w:r>
          </w:p>
        </w:tc>
        <w:tc>
          <w:tcPr>
            <w:tcW w:w="1049"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kern w:val="0"/>
                <w:sz w:val="21"/>
                <w:szCs w:val="21"/>
              </w:rPr>
              <w:t>规划</w:t>
            </w:r>
            <w:r>
              <w:rPr>
                <w:rFonts w:eastAsia="仿宋_GB2312" w:cs="Times New Roman"/>
                <w:b/>
                <w:bCs/>
                <w:color w:val="000000" w:themeColor="text1"/>
                <w:kern w:val="0"/>
                <w:sz w:val="21"/>
                <w14:textFill>
                  <w14:solidFill>
                    <w14:schemeClr w14:val="tx1"/>
                  </w14:solidFill>
                </w14:textFill>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956"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崇阳县花山充电站</w:t>
            </w:r>
          </w:p>
        </w:tc>
        <w:tc>
          <w:tcPr>
            <w:tcW w:w="1936" w:type="dxa"/>
            <w:shd w:val="clear" w:color="auto" w:fill="auto"/>
            <w:vAlign w:val="bottom"/>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崇阳县下津大道河水幼儿园西南侧约190米</w:t>
            </w:r>
          </w:p>
        </w:tc>
        <w:tc>
          <w:tcPr>
            <w:tcW w:w="1337"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规划</w:t>
            </w:r>
          </w:p>
        </w:tc>
        <w:tc>
          <w:tcPr>
            <w:tcW w:w="1146"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20</w:t>
            </w:r>
          </w:p>
        </w:tc>
        <w:tc>
          <w:tcPr>
            <w:tcW w:w="1049"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956"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936"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w:t>
            </w:r>
          </w:p>
        </w:tc>
        <w:tc>
          <w:tcPr>
            <w:tcW w:w="1337"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w:t>
            </w:r>
          </w:p>
        </w:tc>
        <w:tc>
          <w:tcPr>
            <w:tcW w:w="1146"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20</w:t>
            </w:r>
          </w:p>
        </w:tc>
        <w:tc>
          <w:tcPr>
            <w:tcW w:w="1049"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ind w:firstLine="0" w:firstLineChars="0"/>
        <w:rPr>
          <w:rFonts w:eastAsia="仿宋_GB2312" w:cs="Times New Roman"/>
        </w:rPr>
      </w:pPr>
      <w:r>
        <w:rPr>
          <w:rFonts w:eastAsia="仿宋_GB2312" w:cs="Times New Roman"/>
        </w:rPr>
        <w:drawing>
          <wp:inline distT="0" distB="0" distL="0" distR="0">
            <wp:extent cx="5274310" cy="3229610"/>
            <wp:effectExtent l="0" t="0" r="2540" b="8890"/>
            <wp:docPr id="160" name="图片 1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true"/>
                    </pic:cNvPicPr>
                  </pic:nvPicPr>
                  <pic:blipFill>
                    <a:blip r:embed="rId210"/>
                    <a:stretch>
                      <a:fillRect/>
                    </a:stretch>
                  </pic:blipFill>
                  <pic:spPr>
                    <a:xfrm>
                      <a:off x="0" y="0"/>
                      <a:ext cx="5274310" cy="3229610"/>
                    </a:xfrm>
                    <a:prstGeom prst="rect">
                      <a:avLst/>
                    </a:prstGeom>
                  </pic:spPr>
                </pic:pic>
              </a:graphicData>
            </a:graphic>
          </wp:inline>
        </w:drawing>
      </w:r>
    </w:p>
    <w:p>
      <w:pPr>
        <w:pStyle w:val="19"/>
        <w:rPr>
          <w:rFonts w:eastAsia="仿宋_GB2312" w:cs="Times New Roman"/>
        </w:rPr>
      </w:pPr>
      <w:bookmarkStart w:id="208" w:name="_Ref112164965"/>
      <w:bookmarkStart w:id="209" w:name="_Ref112164938"/>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98</w:t>
      </w:r>
      <w:r>
        <w:rPr>
          <w:rFonts w:eastAsia="仿宋_GB2312" w:cs="Times New Roman"/>
        </w:rPr>
        <w:fldChar w:fldCharType="end"/>
      </w:r>
      <w:bookmarkEnd w:id="208"/>
      <w:r>
        <w:rPr>
          <w:rFonts w:eastAsia="仿宋_GB2312" w:cs="Times New Roman"/>
        </w:rPr>
        <w:t>崇阳县物流充电站布点图</w:t>
      </w:r>
      <w:bookmarkEnd w:id="209"/>
    </w:p>
    <w:p>
      <w:pPr>
        <w:pStyle w:val="173"/>
        <w:spacing w:before="156" w:beforeLines="50"/>
        <w:ind w:firstLine="562"/>
        <w:rPr>
          <w:rFonts w:ascii="Times New Roman" w:hAnsi="Times New Roman" w:cs="Times New Roman"/>
          <w:b/>
          <w:bCs/>
          <w:color w:val="auto"/>
        </w:rPr>
      </w:pPr>
      <w:r>
        <w:rPr>
          <w:rFonts w:ascii="Times New Roman" w:hAnsi="Times New Roman" w:cs="Times New Roman"/>
          <w:b/>
          <w:bCs/>
          <w:color w:val="auto"/>
        </w:rPr>
        <w:t>（2）环卫专用网络</w:t>
      </w:r>
    </w:p>
    <w:p>
      <w:pPr>
        <w:adjustRightInd w:val="0"/>
        <w:snapToGrid w:val="0"/>
        <w:ind w:firstLine="560"/>
        <w:rPr>
          <w:rFonts w:eastAsia="仿宋_GB2312" w:cs="Times New Roman"/>
        </w:rPr>
      </w:pPr>
      <w:r>
        <w:rPr>
          <w:rFonts w:eastAsia="仿宋_GB2312" w:cs="Times New Roman"/>
        </w:rPr>
        <w:t>十四五期间，崇阳县环卫车充电站布局情况如下表所示，至2025年，崇阳县共有环卫车专用充电站1座，20个充电桩。</w:t>
      </w:r>
    </w:p>
    <w:p>
      <w:pPr>
        <w:adjustRightInd w:val="0"/>
        <w:snapToGrid w:val="0"/>
        <w:ind w:firstLine="560"/>
        <w:rPr>
          <w:rFonts w:eastAsia="仿宋_GB2312" w:cs="Times New Roman"/>
        </w:rPr>
      </w:pPr>
      <w:r>
        <w:rPr>
          <w:rFonts w:eastAsia="仿宋_GB2312" w:cs="Times New Roman"/>
        </w:rPr>
        <w:t>（1）崇阳县环卫充电站，位于崇阳县实验小学西(桃溪大道西)，新建10台120kW一机两枪直流充电桩。</w:t>
      </w:r>
    </w:p>
    <w:p>
      <w:pPr>
        <w:pStyle w:val="19"/>
        <w:ind w:firstLine="560"/>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29</w:t>
      </w:r>
      <w:r>
        <w:rPr>
          <w:rFonts w:eastAsia="仿宋_GB2312" w:cs="Times New Roman"/>
        </w:rPr>
        <w:fldChar w:fldCharType="end"/>
      </w:r>
      <w:r>
        <w:rPr>
          <w:rFonts w:eastAsia="仿宋_GB2312" w:cs="Times New Roman"/>
        </w:rPr>
        <w:t>崇阳县环卫充电站布局规划表</w:t>
      </w:r>
    </w:p>
    <w:tbl>
      <w:tblPr>
        <w:tblStyle w:val="76"/>
        <w:tblW w:w="83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39"/>
        <w:gridCol w:w="2075"/>
        <w:gridCol w:w="1818"/>
        <w:gridCol w:w="1337"/>
        <w:gridCol w:w="1146"/>
        <w:gridCol w:w="1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939"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2075"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818"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1337"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1146"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1048"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崇阳县环卫充电站</w:t>
            </w:r>
          </w:p>
        </w:tc>
        <w:tc>
          <w:tcPr>
            <w:tcW w:w="181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崇阳县实验小学西(桃溪大道西)</w:t>
            </w:r>
          </w:p>
        </w:tc>
        <w:tc>
          <w:tcPr>
            <w:tcW w:w="133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1146"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81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33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146"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114300" distR="114300">
            <wp:extent cx="5271135" cy="3309620"/>
            <wp:effectExtent l="0" t="0" r="5715" b="5080"/>
            <wp:docPr id="7186"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86" name="图片 2"/>
                    <pic:cNvPicPr>
                      <a:picLocks noChangeAspect="true"/>
                    </pic:cNvPicPr>
                  </pic:nvPicPr>
                  <pic:blipFill>
                    <a:blip r:embed="rId211"/>
                    <a:stretch>
                      <a:fillRect/>
                    </a:stretch>
                  </pic:blipFill>
                  <pic:spPr>
                    <a:xfrm>
                      <a:off x="0" y="0"/>
                      <a:ext cx="5271135" cy="3309620"/>
                    </a:xfrm>
                    <a:prstGeom prst="rect">
                      <a:avLst/>
                    </a:prstGeom>
                    <a:noFill/>
                    <a:ln>
                      <a:noFill/>
                    </a:ln>
                  </pic:spPr>
                </pic:pic>
              </a:graphicData>
            </a:graphic>
          </wp:inline>
        </w:drawing>
      </w:r>
    </w:p>
    <w:p>
      <w:pPr>
        <w:pStyle w:val="19"/>
        <w:rPr>
          <w:rFonts w:eastAsia="仿宋_GB2312" w:cs="Times New Roman"/>
          <w:bCs/>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图</w:t>
      </w:r>
      <w:r>
        <w:rPr>
          <w:rFonts w:eastAsia="仿宋_GB2312" w:cs="Times New Roman"/>
          <w:color w:val="000000" w:themeColor="text1"/>
          <w14:textFill>
            <w14:solidFill>
              <w14:schemeClr w14:val="tx1"/>
            </w14:solidFill>
          </w14:textFill>
        </w:rPr>
        <w:fldChar w:fldCharType="begin"/>
      </w:r>
      <w:r>
        <w:rPr>
          <w:rFonts w:eastAsia="仿宋_GB2312" w:cs="Times New Roman"/>
          <w:color w:val="000000" w:themeColor="text1"/>
          <w14:textFill>
            <w14:solidFill>
              <w14:schemeClr w14:val="tx1"/>
            </w14:solidFill>
          </w14:textFill>
        </w:rPr>
        <w:instrText xml:space="preserve"> STYLEREF 1 \s </w:instrText>
      </w:r>
      <w:r>
        <w:rPr>
          <w:rFonts w:eastAsia="仿宋_GB2312" w:cs="Times New Roman"/>
          <w:color w:val="000000" w:themeColor="text1"/>
          <w14:textFill>
            <w14:solidFill>
              <w14:schemeClr w14:val="tx1"/>
            </w14:solidFill>
          </w14:textFill>
        </w:rPr>
        <w:fldChar w:fldCharType="separate"/>
      </w:r>
      <w:r>
        <w:rPr>
          <w:rFonts w:eastAsia="仿宋_GB2312" w:cs="Times New Roman"/>
          <w:color w:val="000000" w:themeColor="text1"/>
          <w14:textFill>
            <w14:solidFill>
              <w14:schemeClr w14:val="tx1"/>
            </w14:solidFill>
          </w14:textFill>
        </w:rPr>
        <w:t>4</w:t>
      </w:r>
      <w:r>
        <w:rPr>
          <w:rFonts w:eastAsia="仿宋_GB2312" w:cs="Times New Roman"/>
          <w:color w:val="000000" w:themeColor="text1"/>
          <w14:textFill>
            <w14:solidFill>
              <w14:schemeClr w14:val="tx1"/>
            </w14:solidFill>
          </w14:textFill>
        </w:rPr>
        <w:fldChar w:fldCharType="end"/>
      </w:r>
      <w:r>
        <w:rPr>
          <w:rFonts w:eastAsia="仿宋_GB2312" w:cs="Times New Roman"/>
          <w:color w:val="000000" w:themeColor="text1"/>
          <w14:textFill>
            <w14:solidFill>
              <w14:schemeClr w14:val="tx1"/>
            </w14:solidFill>
          </w14:textFill>
        </w:rPr>
        <w:noBreakHyphen/>
      </w:r>
      <w:r>
        <w:rPr>
          <w:rFonts w:eastAsia="仿宋_GB2312" w:cs="Times New Roman"/>
          <w:color w:val="000000" w:themeColor="text1"/>
          <w14:textFill>
            <w14:solidFill>
              <w14:schemeClr w14:val="tx1"/>
            </w14:solidFill>
          </w14:textFill>
        </w:rPr>
        <w:fldChar w:fldCharType="begin"/>
      </w:r>
      <w:r>
        <w:rPr>
          <w:rFonts w:eastAsia="仿宋_GB2312" w:cs="Times New Roman"/>
          <w:color w:val="000000" w:themeColor="text1"/>
          <w14:textFill>
            <w14:solidFill>
              <w14:schemeClr w14:val="tx1"/>
            </w14:solidFill>
          </w14:textFill>
        </w:rPr>
        <w:instrText xml:space="preserve"> SEQ 图 \* ARABIC \s 1 </w:instrText>
      </w:r>
      <w:r>
        <w:rPr>
          <w:rFonts w:eastAsia="仿宋_GB2312" w:cs="Times New Roman"/>
          <w:color w:val="000000" w:themeColor="text1"/>
          <w14:textFill>
            <w14:solidFill>
              <w14:schemeClr w14:val="tx1"/>
            </w14:solidFill>
          </w14:textFill>
        </w:rPr>
        <w:fldChar w:fldCharType="separate"/>
      </w:r>
      <w:r>
        <w:rPr>
          <w:rFonts w:eastAsia="仿宋_GB2312" w:cs="Times New Roman"/>
          <w:color w:val="000000" w:themeColor="text1"/>
          <w14:textFill>
            <w14:solidFill>
              <w14:schemeClr w14:val="tx1"/>
            </w14:solidFill>
          </w14:textFill>
        </w:rPr>
        <w:t>99</w:t>
      </w:r>
      <w:r>
        <w:rPr>
          <w:rFonts w:eastAsia="仿宋_GB2312" w:cs="Times New Roman"/>
          <w:color w:val="000000" w:themeColor="text1"/>
          <w14:textFill>
            <w14:solidFill>
              <w14:schemeClr w14:val="tx1"/>
            </w14:solidFill>
          </w14:textFill>
        </w:rPr>
        <w:fldChar w:fldCharType="end"/>
      </w:r>
      <w:r>
        <w:rPr>
          <w:rFonts w:eastAsia="仿宋_GB2312" w:cs="Times New Roman"/>
          <w:color w:val="000000" w:themeColor="text1"/>
          <w14:textFill>
            <w14:solidFill>
              <w14:schemeClr w14:val="tx1"/>
            </w14:solidFill>
          </w14:textFill>
        </w:rPr>
        <w:t>崇阳县环卫充电站布点图</w:t>
      </w:r>
    </w:p>
    <w:p>
      <w:pPr>
        <w:ind w:firstLine="562"/>
        <w:rPr>
          <w:rFonts w:eastAsia="仿宋_GB2312" w:cs="Times New Roman"/>
          <w:color w:val="000000" w:themeColor="text1"/>
          <w14:textFill>
            <w14:solidFill>
              <w14:schemeClr w14:val="tx1"/>
            </w14:solidFill>
          </w14:textFill>
        </w:rPr>
      </w:pPr>
      <w:r>
        <w:rPr>
          <w:rFonts w:eastAsia="仿宋_GB2312" w:cs="Times New Roman"/>
          <w:b/>
          <w:bCs/>
          <w:color w:val="000000" w:themeColor="text1"/>
          <w14:textFill>
            <w14:solidFill>
              <w14:schemeClr w14:val="tx1"/>
            </w14:solidFill>
          </w14:textFill>
        </w:rPr>
        <w:t>3.公交专用网络</w:t>
      </w:r>
    </w:p>
    <w:p>
      <w:pPr>
        <w:adjustRightInd w:val="0"/>
        <w:snapToGrid w:val="0"/>
        <w:ind w:firstLine="560"/>
        <w:rPr>
          <w:rFonts w:eastAsia="仿宋_GB2312" w:cs="Times New Roman"/>
        </w:rPr>
      </w:pPr>
      <w:r>
        <w:rPr>
          <w:rFonts w:eastAsia="仿宋_GB2312" w:cs="Times New Roman"/>
        </w:rPr>
        <w:t>至2025年，规划新建20个充电桩。崇阳县公务车充电桩规划如</w:t>
      </w:r>
      <w:r>
        <w:rPr>
          <w:rFonts w:eastAsia="仿宋_GB2312" w:cs="Times New Roman"/>
        </w:rPr>
        <w:fldChar w:fldCharType="begin"/>
      </w:r>
      <w:r>
        <w:rPr>
          <w:rFonts w:eastAsia="仿宋_GB2312" w:cs="Times New Roman"/>
        </w:rPr>
        <w:instrText xml:space="preserve"> REF _Ref112165222 \h  \* MERGEFORMAT </w:instrText>
      </w:r>
      <w:r>
        <w:rPr>
          <w:rFonts w:eastAsia="仿宋_GB2312" w:cs="Times New Roman"/>
        </w:rPr>
        <w:fldChar w:fldCharType="separate"/>
      </w:r>
      <w:r>
        <w:rPr>
          <w:rFonts w:eastAsia="仿宋_GB2312" w:cs="Times New Roman"/>
        </w:rPr>
        <w:t>表4</w:t>
      </w:r>
      <w:r>
        <w:rPr>
          <w:rFonts w:eastAsia="仿宋_GB2312" w:cs="Times New Roman"/>
        </w:rPr>
        <w:noBreakHyphen/>
      </w:r>
      <w:r>
        <w:rPr>
          <w:rFonts w:eastAsia="仿宋_GB2312" w:cs="Times New Roman"/>
        </w:rPr>
        <w:t>30</w:t>
      </w:r>
      <w:r>
        <w:rPr>
          <w:rFonts w:eastAsia="仿宋_GB2312" w:cs="Times New Roman"/>
        </w:rPr>
        <w:fldChar w:fldCharType="end"/>
      </w:r>
      <w:r>
        <w:rPr>
          <w:rFonts w:eastAsia="仿宋_GB2312" w:cs="Times New Roman"/>
        </w:rPr>
        <w:t>所示。</w:t>
      </w:r>
    </w:p>
    <w:p>
      <w:pPr>
        <w:numPr>
          <w:ilvl w:val="0"/>
          <w:numId w:val="16"/>
        </w:numPr>
        <w:adjustRightInd w:val="0"/>
        <w:snapToGrid w:val="0"/>
        <w:ind w:firstLineChars="0"/>
        <w:rPr>
          <w:rFonts w:eastAsia="仿宋_GB2312" w:cs="Times New Roman"/>
        </w:rPr>
      </w:pPr>
      <w:r>
        <w:rPr>
          <w:rFonts w:eastAsia="仿宋_GB2312" w:cs="Times New Roman"/>
        </w:rPr>
        <w:t>崇阳县客运总站充电站，位于崇阳县沿河大道165东南方向90米，新建10台120kW一机两枪直流充电桩。</w:t>
      </w:r>
    </w:p>
    <w:p>
      <w:pPr>
        <w:pStyle w:val="19"/>
        <w:rPr>
          <w:rFonts w:eastAsia="仿宋_GB2312" w:cs="Times New Roman"/>
        </w:rPr>
      </w:pPr>
      <w:bookmarkStart w:id="210" w:name="_Ref112165222"/>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30</w:t>
      </w:r>
      <w:r>
        <w:rPr>
          <w:rFonts w:eastAsia="仿宋_GB2312" w:cs="Times New Roman"/>
        </w:rPr>
        <w:fldChar w:fldCharType="end"/>
      </w:r>
      <w:bookmarkEnd w:id="210"/>
      <w:r>
        <w:rPr>
          <w:rFonts w:eastAsia="仿宋_GB2312" w:cs="Times New Roman"/>
        </w:rPr>
        <w:t>崇阳县公交充电站布局规划表</w:t>
      </w:r>
    </w:p>
    <w:tbl>
      <w:tblPr>
        <w:tblStyle w:val="76"/>
        <w:tblW w:w="83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39"/>
        <w:gridCol w:w="2075"/>
        <w:gridCol w:w="2373"/>
        <w:gridCol w:w="1031"/>
        <w:gridCol w:w="897"/>
        <w:gridCol w:w="1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939"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2075"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2373"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1031"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897"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1048"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客运总站充电站</w:t>
            </w:r>
          </w:p>
        </w:tc>
        <w:tc>
          <w:tcPr>
            <w:tcW w:w="2373"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崇阳县沿河大道165东南方向90米</w:t>
            </w:r>
          </w:p>
        </w:tc>
        <w:tc>
          <w:tcPr>
            <w:tcW w:w="1031"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89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2373"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031"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89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550285"/>
            <wp:effectExtent l="0" t="0" r="2540" b="0"/>
            <wp:docPr id="167" name="图片 1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true"/>
                    </pic:cNvPicPr>
                  </pic:nvPicPr>
                  <pic:blipFill>
                    <a:blip r:embed="rId212"/>
                    <a:stretch>
                      <a:fillRect/>
                    </a:stretch>
                  </pic:blipFill>
                  <pic:spPr>
                    <a:xfrm>
                      <a:off x="0" y="0"/>
                      <a:ext cx="5274310" cy="3550285"/>
                    </a:xfrm>
                    <a:prstGeom prst="rect">
                      <a:avLst/>
                    </a:prstGeom>
                  </pic:spPr>
                </pic:pic>
              </a:graphicData>
            </a:graphic>
          </wp:inline>
        </w:drawing>
      </w:r>
    </w:p>
    <w:p>
      <w:pPr>
        <w:pStyle w:val="19"/>
        <w:rPr>
          <w:rFonts w:eastAsia="仿宋_GB2312" w:cs="Times New Roman"/>
        </w:rPr>
      </w:pPr>
      <w:r>
        <w:rPr>
          <w:rFonts w:eastAsia="仿宋_GB2312" w:cs="Times New Roman"/>
          <w:szCs w:val="16"/>
        </w:rPr>
        <w:t xml:space="preserve">图 </w:t>
      </w:r>
      <w:r>
        <w:rPr>
          <w:rFonts w:eastAsia="仿宋_GB2312" w:cs="Times New Roman"/>
          <w:szCs w:val="16"/>
        </w:rPr>
        <w:fldChar w:fldCharType="begin"/>
      </w:r>
      <w:r>
        <w:rPr>
          <w:rFonts w:eastAsia="仿宋_GB2312" w:cs="Times New Roman"/>
          <w:szCs w:val="16"/>
        </w:rPr>
        <w:instrText xml:space="preserve"> STYLEREF 1 \s </w:instrText>
      </w:r>
      <w:r>
        <w:rPr>
          <w:rFonts w:eastAsia="仿宋_GB2312" w:cs="Times New Roman"/>
          <w:szCs w:val="16"/>
        </w:rPr>
        <w:fldChar w:fldCharType="separate"/>
      </w:r>
      <w:r>
        <w:rPr>
          <w:rFonts w:eastAsia="仿宋_GB2312" w:cs="Times New Roman"/>
          <w:szCs w:val="16"/>
        </w:rPr>
        <w:t>4</w:t>
      </w:r>
      <w:r>
        <w:rPr>
          <w:rFonts w:eastAsia="仿宋_GB2312" w:cs="Times New Roman"/>
          <w:szCs w:val="16"/>
        </w:rPr>
        <w:fldChar w:fldCharType="end"/>
      </w:r>
      <w:r>
        <w:rPr>
          <w:rFonts w:eastAsia="仿宋_GB2312" w:cs="Times New Roman"/>
          <w:szCs w:val="16"/>
        </w:rPr>
        <w:noBreakHyphen/>
      </w:r>
      <w:r>
        <w:rPr>
          <w:rFonts w:eastAsia="仿宋_GB2312" w:cs="Times New Roman"/>
          <w:szCs w:val="16"/>
        </w:rPr>
        <w:fldChar w:fldCharType="begin"/>
      </w:r>
      <w:r>
        <w:rPr>
          <w:rFonts w:eastAsia="仿宋_GB2312" w:cs="Times New Roman"/>
          <w:szCs w:val="16"/>
        </w:rPr>
        <w:instrText xml:space="preserve"> SEQ 图 \* ARABIC \s 1 </w:instrText>
      </w:r>
      <w:r>
        <w:rPr>
          <w:rFonts w:eastAsia="仿宋_GB2312" w:cs="Times New Roman"/>
          <w:szCs w:val="16"/>
        </w:rPr>
        <w:fldChar w:fldCharType="separate"/>
      </w:r>
      <w:r>
        <w:rPr>
          <w:rFonts w:eastAsia="仿宋_GB2312" w:cs="Times New Roman"/>
          <w:szCs w:val="16"/>
        </w:rPr>
        <w:t>100</w:t>
      </w:r>
      <w:r>
        <w:rPr>
          <w:rFonts w:eastAsia="仿宋_GB2312" w:cs="Times New Roman"/>
          <w:szCs w:val="16"/>
        </w:rPr>
        <w:fldChar w:fldCharType="end"/>
      </w:r>
      <w:r>
        <w:rPr>
          <w:rFonts w:eastAsia="仿宋_GB2312" w:cs="Times New Roman"/>
          <w:bCs/>
          <w:szCs w:val="21"/>
        </w:rPr>
        <w:t>崇阳县公交充电站布局规划图</w:t>
      </w:r>
    </w:p>
    <w:p>
      <w:pPr>
        <w:ind w:firstLine="562"/>
        <w:rPr>
          <w:rFonts w:eastAsia="仿宋_GB2312" w:cs="Times New Roman"/>
          <w:b/>
          <w:bCs/>
        </w:rPr>
      </w:pPr>
      <w:r>
        <w:rPr>
          <w:rFonts w:eastAsia="仿宋_GB2312" w:cs="Times New Roman"/>
          <w:b/>
          <w:bCs/>
        </w:rPr>
        <w:t>4公务专用网络</w:t>
      </w:r>
    </w:p>
    <w:p>
      <w:pPr>
        <w:pStyle w:val="19"/>
        <w:adjustRightInd w:val="0"/>
        <w:snapToGrid w:val="0"/>
        <w:spacing w:line="360" w:lineRule="auto"/>
        <w:ind w:firstLine="560" w:firstLineChars="200"/>
        <w:jc w:val="both"/>
        <w:rPr>
          <w:rFonts w:eastAsia="仿宋_GB2312" w:cs="Times New Roman"/>
        </w:rPr>
      </w:pPr>
      <w:r>
        <w:rPr>
          <w:rFonts w:eastAsia="仿宋_GB2312" w:cs="Times New Roman"/>
          <w:b w:val="0"/>
          <w:sz w:val="28"/>
          <w:szCs w:val="28"/>
        </w:rPr>
        <w:t>崇阳县公务车充电站规划建设在政府部门及事业单位内部停车场内，至2025年，规划新建32个充电桩。崇阳县公务车充电桩规划如</w:t>
      </w:r>
      <w:r>
        <w:rPr>
          <w:rFonts w:eastAsia="仿宋_GB2312" w:cs="Times New Roman"/>
          <w:b w:val="0"/>
          <w:sz w:val="28"/>
          <w:szCs w:val="28"/>
        </w:rPr>
        <w:fldChar w:fldCharType="begin"/>
      </w:r>
      <w:r>
        <w:rPr>
          <w:rFonts w:eastAsia="仿宋_GB2312" w:cs="Times New Roman"/>
          <w:b w:val="0"/>
          <w:sz w:val="28"/>
          <w:szCs w:val="28"/>
        </w:rPr>
        <w:instrText xml:space="preserve"> REF _Ref116802216 \h  \* MERGEFORMAT </w:instrText>
      </w:r>
      <w:r>
        <w:rPr>
          <w:rFonts w:eastAsia="仿宋_GB2312" w:cs="Times New Roman"/>
          <w:b w:val="0"/>
          <w:sz w:val="28"/>
          <w:szCs w:val="28"/>
        </w:rPr>
        <w:fldChar w:fldCharType="separate"/>
      </w:r>
      <w:r>
        <w:rPr>
          <w:rFonts w:eastAsia="仿宋_GB2312" w:cs="Times New Roman"/>
          <w:b w:val="0"/>
          <w:sz w:val="28"/>
          <w:szCs w:val="28"/>
        </w:rPr>
        <w:t>表4</w:t>
      </w:r>
      <w:r>
        <w:rPr>
          <w:rFonts w:eastAsia="仿宋_GB2312" w:cs="Times New Roman"/>
          <w:b w:val="0"/>
          <w:sz w:val="28"/>
          <w:szCs w:val="28"/>
        </w:rPr>
        <w:noBreakHyphen/>
      </w:r>
      <w:r>
        <w:rPr>
          <w:rFonts w:eastAsia="仿宋_GB2312" w:cs="Times New Roman"/>
          <w:b w:val="0"/>
          <w:sz w:val="28"/>
          <w:szCs w:val="28"/>
        </w:rPr>
        <w:t>31</w:t>
      </w:r>
      <w:r>
        <w:rPr>
          <w:rFonts w:eastAsia="仿宋_GB2312" w:cs="Times New Roman"/>
          <w:b w:val="0"/>
          <w:sz w:val="28"/>
          <w:szCs w:val="28"/>
        </w:rPr>
        <w:fldChar w:fldCharType="end"/>
      </w:r>
      <w:r>
        <w:rPr>
          <w:rFonts w:eastAsia="仿宋_GB2312" w:cs="Times New Roman"/>
          <w:b w:val="0"/>
          <w:sz w:val="28"/>
          <w:szCs w:val="28"/>
        </w:rPr>
        <w:t>所示。</w:t>
      </w:r>
    </w:p>
    <w:p>
      <w:pPr>
        <w:adjustRightInd w:val="0"/>
        <w:snapToGrid w:val="0"/>
        <w:ind w:firstLine="560"/>
        <w:rPr>
          <w:rFonts w:eastAsia="仿宋_GB2312" w:cs="Times New Roman"/>
        </w:rPr>
      </w:pPr>
      <w:r>
        <w:rPr>
          <w:rFonts w:eastAsia="仿宋_GB2312" w:cs="Times New Roman"/>
        </w:rPr>
        <w:t>（1）崇阳县人力资源和社会保障局充电站，位于崇阳县崇阳大道人力资源和社会保障局，新建4台120kW一机两枪直流充电桩。</w:t>
      </w:r>
    </w:p>
    <w:p>
      <w:pPr>
        <w:adjustRightInd w:val="0"/>
        <w:snapToGrid w:val="0"/>
        <w:ind w:firstLine="560"/>
        <w:rPr>
          <w:rFonts w:eastAsia="仿宋_GB2312" w:cs="Times New Roman"/>
        </w:rPr>
      </w:pPr>
      <w:r>
        <w:rPr>
          <w:rFonts w:eastAsia="仿宋_GB2312" w:cs="Times New Roman"/>
        </w:rPr>
        <w:t>（2）崇阳县道路运输管理所充电站，位于崇阳县桃溪大道180号，新建4台120kW一机两枪直流充电桩。</w:t>
      </w:r>
    </w:p>
    <w:p>
      <w:pPr>
        <w:adjustRightInd w:val="0"/>
        <w:snapToGrid w:val="0"/>
        <w:ind w:firstLine="560"/>
        <w:rPr>
          <w:rFonts w:eastAsia="仿宋_GB2312" w:cs="Times New Roman"/>
        </w:rPr>
      </w:pPr>
      <w:r>
        <w:rPr>
          <w:rFonts w:eastAsia="仿宋_GB2312" w:cs="Times New Roman"/>
        </w:rPr>
        <w:t>（3）崇阳县交警大队充电站，位于崇阳县隽北大道交警队，新建4台120kW一机两枪直流充电桩。</w:t>
      </w:r>
    </w:p>
    <w:p>
      <w:pPr>
        <w:adjustRightInd w:val="0"/>
        <w:snapToGrid w:val="0"/>
        <w:ind w:firstLine="560"/>
        <w:rPr>
          <w:rFonts w:eastAsia="仿宋_GB2312" w:cs="Times New Roman"/>
        </w:rPr>
      </w:pPr>
      <w:r>
        <w:rPr>
          <w:rFonts w:eastAsia="仿宋_GB2312" w:cs="Times New Roman"/>
        </w:rPr>
        <w:t>（4）崇阳县人民法院充电站，位于崇阳县文昌大道与星斗路交口东北100米，新建4台120kW一机两枪直流充电桩。</w:t>
      </w:r>
      <w:bookmarkStart w:id="211" w:name="_Ref112165578"/>
      <w:bookmarkStart w:id="212" w:name="_Ref116722903"/>
    </w:p>
    <w:p>
      <w:pPr>
        <w:pStyle w:val="19"/>
        <w:rPr>
          <w:rFonts w:eastAsia="仿宋_GB2312" w:cs="Times New Roman"/>
        </w:rPr>
      </w:pPr>
      <w:bookmarkStart w:id="213" w:name="_Ref116722999"/>
    </w:p>
    <w:p>
      <w:pPr>
        <w:pStyle w:val="19"/>
        <w:rPr>
          <w:rFonts w:eastAsia="仿宋_GB2312" w:cs="Times New Roman"/>
        </w:rPr>
      </w:pPr>
    </w:p>
    <w:p>
      <w:pPr>
        <w:pStyle w:val="19"/>
        <w:rPr>
          <w:rFonts w:eastAsia="仿宋_GB2312" w:cs="Times New Roman"/>
        </w:rPr>
      </w:pPr>
    </w:p>
    <w:p>
      <w:pPr>
        <w:pStyle w:val="19"/>
        <w:rPr>
          <w:rFonts w:eastAsia="仿宋_GB2312" w:cs="Times New Roman"/>
        </w:rPr>
      </w:pPr>
    </w:p>
    <w:p>
      <w:pPr>
        <w:pStyle w:val="19"/>
        <w:rPr>
          <w:rFonts w:eastAsia="仿宋_GB2312" w:cs="Times New Roman"/>
        </w:rPr>
      </w:pPr>
      <w:bookmarkStart w:id="214" w:name="_Ref116802216"/>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31</w:t>
      </w:r>
      <w:r>
        <w:rPr>
          <w:rFonts w:eastAsia="仿宋_GB2312" w:cs="Times New Roman"/>
        </w:rPr>
        <w:fldChar w:fldCharType="end"/>
      </w:r>
      <w:bookmarkEnd w:id="211"/>
      <w:bookmarkEnd w:id="212"/>
      <w:bookmarkEnd w:id="213"/>
      <w:bookmarkEnd w:id="214"/>
      <w:r>
        <w:rPr>
          <w:rFonts w:eastAsia="仿宋_GB2312" w:cs="Times New Roman"/>
        </w:rPr>
        <w:t>崇阳县公务充电站布局规划表</w:t>
      </w:r>
    </w:p>
    <w:tbl>
      <w:tblPr>
        <w:tblStyle w:val="76"/>
        <w:tblW w:w="83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39"/>
        <w:gridCol w:w="2075"/>
        <w:gridCol w:w="2373"/>
        <w:gridCol w:w="1031"/>
        <w:gridCol w:w="897"/>
        <w:gridCol w:w="1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939"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2075"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2373"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1031"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897"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1048"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崇阳县人力资源和社会保障局充电站</w:t>
            </w:r>
          </w:p>
        </w:tc>
        <w:tc>
          <w:tcPr>
            <w:tcW w:w="2373"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崇阳县崇阳大道人力资源和社会保障局</w:t>
            </w:r>
          </w:p>
        </w:tc>
        <w:tc>
          <w:tcPr>
            <w:tcW w:w="1031"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89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崇阳县道路运输管理所充电站</w:t>
            </w:r>
          </w:p>
        </w:tc>
        <w:tc>
          <w:tcPr>
            <w:tcW w:w="2373"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崇阳县桃溪大道180号</w:t>
            </w:r>
          </w:p>
        </w:tc>
        <w:tc>
          <w:tcPr>
            <w:tcW w:w="1031"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89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崇阳县交警大队充电站</w:t>
            </w:r>
          </w:p>
        </w:tc>
        <w:tc>
          <w:tcPr>
            <w:tcW w:w="2373"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崇阳县隽北大道交警队</w:t>
            </w:r>
          </w:p>
        </w:tc>
        <w:tc>
          <w:tcPr>
            <w:tcW w:w="1031"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89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5"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4</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崇阳县人民法院充电站</w:t>
            </w:r>
          </w:p>
        </w:tc>
        <w:tc>
          <w:tcPr>
            <w:tcW w:w="2373"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崇阳县文昌大道与星斗路交口东北100米</w:t>
            </w:r>
          </w:p>
        </w:tc>
        <w:tc>
          <w:tcPr>
            <w:tcW w:w="1031"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89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2373"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031"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89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32</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163570"/>
            <wp:effectExtent l="0" t="0" r="2540" b="0"/>
            <wp:docPr id="187" name="图片 18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true"/>
                    </pic:cNvPicPr>
                  </pic:nvPicPr>
                  <pic:blipFill>
                    <a:blip r:embed="rId213"/>
                    <a:stretch>
                      <a:fillRect/>
                    </a:stretch>
                  </pic:blipFill>
                  <pic:spPr>
                    <a:xfrm>
                      <a:off x="0" y="0"/>
                      <a:ext cx="5274310" cy="3163570"/>
                    </a:xfrm>
                    <a:prstGeom prst="rect">
                      <a:avLst/>
                    </a:prstGeom>
                  </pic:spPr>
                </pic:pic>
              </a:graphicData>
            </a:graphic>
          </wp:inline>
        </w:drawing>
      </w:r>
    </w:p>
    <w:p>
      <w:pPr>
        <w:pStyle w:val="19"/>
        <w:rPr>
          <w:rFonts w:eastAsia="仿宋_GB2312" w:cs="Times New Roman"/>
        </w:rPr>
      </w:pPr>
      <w:r>
        <w:rPr>
          <w:rFonts w:eastAsia="仿宋_GB2312" w:cs="Times New Roman"/>
          <w:szCs w:val="16"/>
        </w:rPr>
        <w:t xml:space="preserve">图 </w:t>
      </w:r>
      <w:r>
        <w:rPr>
          <w:rFonts w:eastAsia="仿宋_GB2312" w:cs="Times New Roman"/>
          <w:szCs w:val="16"/>
        </w:rPr>
        <w:fldChar w:fldCharType="begin"/>
      </w:r>
      <w:r>
        <w:rPr>
          <w:rFonts w:eastAsia="仿宋_GB2312" w:cs="Times New Roman"/>
          <w:szCs w:val="16"/>
        </w:rPr>
        <w:instrText xml:space="preserve"> STYLEREF 1 \s </w:instrText>
      </w:r>
      <w:r>
        <w:rPr>
          <w:rFonts w:eastAsia="仿宋_GB2312" w:cs="Times New Roman"/>
          <w:szCs w:val="16"/>
        </w:rPr>
        <w:fldChar w:fldCharType="separate"/>
      </w:r>
      <w:r>
        <w:rPr>
          <w:rFonts w:eastAsia="仿宋_GB2312" w:cs="Times New Roman"/>
          <w:szCs w:val="16"/>
        </w:rPr>
        <w:t>4</w:t>
      </w:r>
      <w:r>
        <w:rPr>
          <w:rFonts w:eastAsia="仿宋_GB2312" w:cs="Times New Roman"/>
          <w:szCs w:val="16"/>
        </w:rPr>
        <w:fldChar w:fldCharType="end"/>
      </w:r>
      <w:r>
        <w:rPr>
          <w:rFonts w:eastAsia="仿宋_GB2312" w:cs="Times New Roman"/>
          <w:szCs w:val="16"/>
        </w:rPr>
        <w:noBreakHyphen/>
      </w:r>
      <w:r>
        <w:rPr>
          <w:rFonts w:eastAsia="仿宋_GB2312" w:cs="Times New Roman"/>
          <w:szCs w:val="16"/>
        </w:rPr>
        <w:fldChar w:fldCharType="begin"/>
      </w:r>
      <w:r>
        <w:rPr>
          <w:rFonts w:eastAsia="仿宋_GB2312" w:cs="Times New Roman"/>
          <w:szCs w:val="16"/>
        </w:rPr>
        <w:instrText xml:space="preserve"> SEQ 图 \* ARABIC \s 1 </w:instrText>
      </w:r>
      <w:r>
        <w:rPr>
          <w:rFonts w:eastAsia="仿宋_GB2312" w:cs="Times New Roman"/>
          <w:szCs w:val="16"/>
        </w:rPr>
        <w:fldChar w:fldCharType="separate"/>
      </w:r>
      <w:r>
        <w:rPr>
          <w:rFonts w:eastAsia="仿宋_GB2312" w:cs="Times New Roman"/>
          <w:szCs w:val="16"/>
        </w:rPr>
        <w:t>101</w:t>
      </w:r>
      <w:r>
        <w:rPr>
          <w:rFonts w:eastAsia="仿宋_GB2312" w:cs="Times New Roman"/>
          <w:szCs w:val="16"/>
        </w:rPr>
        <w:fldChar w:fldCharType="end"/>
      </w:r>
      <w:r>
        <w:rPr>
          <w:rFonts w:eastAsia="仿宋_GB2312" w:cs="Times New Roman"/>
          <w:bCs/>
          <w:szCs w:val="21"/>
        </w:rPr>
        <w:t>崇阳县公务充电站布局规划图</w:t>
      </w:r>
    </w:p>
    <w:p>
      <w:pPr>
        <w:pStyle w:val="5"/>
        <w:adjustRightInd w:val="0"/>
        <w:snapToGrid w:val="0"/>
        <w:spacing w:before="156" w:beforeLines="50"/>
        <w:ind w:firstLine="283"/>
        <w:rPr>
          <w:rFonts w:eastAsia="仿宋_GB2312" w:cs="Times New Roman"/>
        </w:rPr>
      </w:pPr>
      <w:r>
        <w:rPr>
          <w:rFonts w:eastAsia="仿宋_GB2312" w:cs="Times New Roman"/>
        </w:rPr>
        <w:t>公用充电设施</w:t>
      </w:r>
    </w:p>
    <w:p>
      <w:pPr>
        <w:ind w:firstLine="562"/>
        <w:rPr>
          <w:rFonts w:eastAsia="仿宋_GB2312" w:cs="Times New Roman"/>
          <w:b/>
          <w:bCs/>
        </w:rPr>
      </w:pPr>
      <w:r>
        <w:rPr>
          <w:rFonts w:eastAsia="仿宋_GB2312" w:cs="Times New Roman"/>
          <w:b/>
          <w:bCs/>
        </w:rPr>
        <w:t>1.外部公共充电设施</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至2025年新建外部公共充电站32座，充电桩共264台。十四五期间规划新建公共充电桩明细如</w:t>
      </w:r>
      <w:r>
        <w:rPr>
          <w:rFonts w:eastAsia="仿宋_GB2312" w:cs="Times New Roman"/>
          <w:color w:val="000000" w:themeColor="text1"/>
          <w14:textFill>
            <w14:solidFill>
              <w14:schemeClr w14:val="tx1"/>
            </w14:solidFill>
          </w14:textFill>
        </w:rPr>
        <w:fldChar w:fldCharType="begin"/>
      </w:r>
      <w:r>
        <w:rPr>
          <w:rFonts w:eastAsia="仿宋_GB2312" w:cs="Times New Roman"/>
          <w:color w:val="000000" w:themeColor="text1"/>
          <w14:textFill>
            <w14:solidFill>
              <w14:schemeClr w14:val="tx1"/>
            </w14:solidFill>
          </w14:textFill>
        </w:rPr>
        <w:instrText xml:space="preserve"> REF _Ref115442576 \h  \* MERGEFORMAT </w:instrText>
      </w:r>
      <w:r>
        <w:rPr>
          <w:rFonts w:eastAsia="仿宋_GB2312" w:cs="Times New Roman"/>
          <w:color w:val="000000" w:themeColor="text1"/>
          <w14:textFill>
            <w14:solidFill>
              <w14:schemeClr w14:val="tx1"/>
            </w14:solidFill>
          </w14:textFill>
        </w:rPr>
        <w:fldChar w:fldCharType="separate"/>
      </w:r>
      <w:r>
        <w:rPr>
          <w:rFonts w:eastAsia="仿宋_GB2312" w:cs="Times New Roman"/>
        </w:rPr>
        <w:t>表4</w:t>
      </w:r>
      <w:r>
        <w:rPr>
          <w:rFonts w:eastAsia="仿宋_GB2312" w:cs="Times New Roman"/>
        </w:rPr>
        <w:noBreakHyphen/>
      </w:r>
      <w:r>
        <w:rPr>
          <w:rFonts w:eastAsia="仿宋_GB2312" w:cs="Times New Roman"/>
        </w:rPr>
        <w:t>32</w:t>
      </w:r>
      <w:r>
        <w:rPr>
          <w:rFonts w:eastAsia="仿宋_GB2312" w:cs="Times New Roman"/>
          <w:color w:val="000000" w:themeColor="text1"/>
          <w14:textFill>
            <w14:solidFill>
              <w14:schemeClr w14:val="tx1"/>
            </w14:solidFill>
          </w14:textFill>
        </w:rPr>
        <w:fldChar w:fldCharType="end"/>
      </w:r>
      <w:r>
        <w:rPr>
          <w:rFonts w:eastAsia="仿宋_GB2312" w:cs="Times New Roman"/>
          <w:color w:val="000000" w:themeColor="text1"/>
          <w14:textFill>
            <w14:solidFill>
              <w14:schemeClr w14:val="tx1"/>
            </w14:solidFill>
          </w14:textFill>
        </w:rPr>
        <w:t>所示。</w:t>
      </w:r>
    </w:p>
    <w:p>
      <w:pPr>
        <w:adjustRightInd w:val="0"/>
        <w:snapToGrid w:val="0"/>
        <w:ind w:firstLine="560"/>
        <w:rPr>
          <w:rFonts w:eastAsia="仿宋_GB2312" w:cs="Times New Roman"/>
        </w:rPr>
      </w:pPr>
      <w:r>
        <w:rPr>
          <w:rFonts w:eastAsia="仿宋_GB2312" w:cs="Times New Roman"/>
        </w:rPr>
        <w:t>（1）白鹭广场充电站，位于崇阳县仪表路白鹭广场南侧，新建4台120kW一机两枪直流充电桩。</w:t>
      </w:r>
    </w:p>
    <w:p>
      <w:pPr>
        <w:adjustRightInd w:val="0"/>
        <w:snapToGrid w:val="0"/>
        <w:ind w:firstLine="560"/>
        <w:rPr>
          <w:rFonts w:eastAsia="仿宋_GB2312" w:cs="Times New Roman"/>
        </w:rPr>
      </w:pPr>
      <w:r>
        <w:rPr>
          <w:rFonts w:eastAsia="仿宋_GB2312" w:cs="Times New Roman"/>
        </w:rPr>
        <w:t>（2）崇阳县人民医院充电站，位于崇阳县人民大道与天城大道交叉口东北160米，新建4台120kW一机两枪直流充电桩。</w:t>
      </w:r>
    </w:p>
    <w:p>
      <w:pPr>
        <w:adjustRightInd w:val="0"/>
        <w:snapToGrid w:val="0"/>
        <w:ind w:firstLine="560"/>
        <w:rPr>
          <w:rFonts w:eastAsia="仿宋_GB2312" w:cs="Times New Roman"/>
        </w:rPr>
      </w:pPr>
      <w:r>
        <w:rPr>
          <w:rFonts w:eastAsia="仿宋_GB2312" w:cs="Times New Roman"/>
        </w:rPr>
        <w:t>（3）崇阳县中医院充电站，位于崇阳县程家巷与中医巷交叉口西北约60米，新建4台120kW一机两枪直流充电桩。</w:t>
      </w:r>
    </w:p>
    <w:p>
      <w:pPr>
        <w:adjustRightInd w:val="0"/>
        <w:snapToGrid w:val="0"/>
        <w:ind w:firstLine="560"/>
        <w:rPr>
          <w:rFonts w:eastAsia="仿宋_GB2312" w:cs="Times New Roman"/>
        </w:rPr>
      </w:pPr>
      <w:r>
        <w:rPr>
          <w:rFonts w:eastAsia="仿宋_GB2312" w:cs="Times New Roman"/>
        </w:rPr>
        <w:t>（4）崇阳县桂花森林公园充电站，位于崇阳县桂花泉镇境内，新建5台120kW一机两枪直流充电桩。</w:t>
      </w:r>
    </w:p>
    <w:p>
      <w:pPr>
        <w:adjustRightInd w:val="0"/>
        <w:snapToGrid w:val="0"/>
        <w:ind w:firstLine="560"/>
        <w:rPr>
          <w:rFonts w:eastAsia="仿宋_GB2312" w:cs="Times New Roman"/>
        </w:rPr>
      </w:pPr>
      <w:r>
        <w:rPr>
          <w:rFonts w:eastAsia="仿宋_GB2312" w:cs="Times New Roman"/>
        </w:rPr>
        <w:t>（5）崇阳县浪口充电站，位于崇阳县新河村浪口温泉养生休闲度假区，新建5台120kW一机两枪直流充电桩。</w:t>
      </w:r>
    </w:p>
    <w:p>
      <w:pPr>
        <w:adjustRightInd w:val="0"/>
        <w:snapToGrid w:val="0"/>
        <w:ind w:firstLine="560"/>
        <w:rPr>
          <w:rFonts w:eastAsia="仿宋_GB2312" w:cs="Times New Roman"/>
        </w:rPr>
      </w:pPr>
      <w:r>
        <w:rPr>
          <w:rFonts w:eastAsia="仿宋_GB2312" w:cs="Times New Roman"/>
        </w:rPr>
        <w:t>（6）崇阳县青山大泉洞充电站，位于崇阳县百泉地质博物馆东侧，新建4台120kW一机两枪直流充电桩。</w:t>
      </w:r>
    </w:p>
    <w:p>
      <w:pPr>
        <w:adjustRightInd w:val="0"/>
        <w:snapToGrid w:val="0"/>
        <w:ind w:firstLine="560"/>
        <w:rPr>
          <w:rFonts w:eastAsia="仿宋_GB2312" w:cs="Times New Roman"/>
        </w:rPr>
      </w:pPr>
      <w:r>
        <w:rPr>
          <w:rFonts w:eastAsia="仿宋_GB2312" w:cs="Times New Roman"/>
        </w:rPr>
        <w:t>（7）崇阳大道停车场充电站，位于崇阳县崇阳大道与崇阳大道四巷交叉口北80米，新建4台120kW一机两枪直流充电桩。</w:t>
      </w:r>
    </w:p>
    <w:p>
      <w:pPr>
        <w:adjustRightInd w:val="0"/>
        <w:snapToGrid w:val="0"/>
        <w:ind w:firstLine="560"/>
        <w:rPr>
          <w:rFonts w:eastAsia="仿宋_GB2312" w:cs="Times New Roman"/>
        </w:rPr>
      </w:pPr>
      <w:r>
        <w:rPr>
          <w:rFonts w:eastAsia="仿宋_GB2312" w:cs="Times New Roman"/>
        </w:rPr>
        <w:t>（8）天府城市广场充电站，位于崇阳县民主路与前进路交叉路口往北约110米，新建4台120kW一机两枪直流充电桩。</w:t>
      </w:r>
    </w:p>
    <w:p>
      <w:pPr>
        <w:adjustRightInd w:val="0"/>
        <w:snapToGrid w:val="0"/>
        <w:ind w:firstLine="560"/>
        <w:rPr>
          <w:rFonts w:eastAsia="仿宋_GB2312" w:cs="Times New Roman"/>
        </w:rPr>
      </w:pPr>
      <w:r>
        <w:rPr>
          <w:rFonts w:eastAsia="仿宋_GB2312" w:cs="Times New Roman"/>
        </w:rPr>
        <w:t>（9）金泰广场充电站，位于崇阳县新建路19号，新建2台120kW一机两枪直流充电桩。</w:t>
      </w:r>
    </w:p>
    <w:p>
      <w:pPr>
        <w:adjustRightInd w:val="0"/>
        <w:snapToGrid w:val="0"/>
        <w:ind w:firstLine="560"/>
        <w:rPr>
          <w:rFonts w:eastAsia="仿宋_GB2312" w:cs="Times New Roman"/>
        </w:rPr>
      </w:pPr>
      <w:r>
        <w:rPr>
          <w:rFonts w:eastAsia="仿宋_GB2312" w:cs="Times New Roman"/>
        </w:rPr>
        <w:t>（10）崇阳新北门菜市场充电站，位于崇阳县天城大道国际商贸城，新建4台120kW一机两枪直流充电桩。</w:t>
      </w:r>
    </w:p>
    <w:p>
      <w:pPr>
        <w:ind w:firstLine="0" w:firstLineChars="0"/>
        <w:rPr>
          <w:rFonts w:eastAsia="仿宋_GB2312" w:cs="Times New Roman"/>
        </w:rPr>
      </w:pPr>
      <w:r>
        <w:rPr>
          <w:rFonts w:eastAsia="仿宋_GB2312" w:cs="Times New Roman"/>
        </w:rPr>
        <w:drawing>
          <wp:inline distT="0" distB="0" distL="114300" distR="114300">
            <wp:extent cx="2544445" cy="2129155"/>
            <wp:effectExtent l="0" t="0" r="8255" b="4445"/>
            <wp:docPr id="229" name="图片 229" descr="deb756deb69e9d8d72b20cc37cb696b"/>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9" name="图片 229" descr="deb756deb69e9d8d72b20cc37cb696b"/>
                    <pic:cNvPicPr>
                      <a:picLocks noChangeAspect="true"/>
                    </pic:cNvPicPr>
                  </pic:nvPicPr>
                  <pic:blipFill>
                    <a:blip r:embed="rId214"/>
                    <a:stretch>
                      <a:fillRect/>
                    </a:stretch>
                  </pic:blipFill>
                  <pic:spPr>
                    <a:xfrm>
                      <a:off x="0" y="0"/>
                      <a:ext cx="2544445" cy="2129155"/>
                    </a:xfrm>
                    <a:prstGeom prst="rect">
                      <a:avLst/>
                    </a:prstGeom>
                  </pic:spPr>
                </pic:pic>
              </a:graphicData>
            </a:graphic>
          </wp:inline>
        </w:drawing>
      </w:r>
      <w:r>
        <w:rPr>
          <w:rFonts w:eastAsia="仿宋_GB2312" w:cs="Times New Roman"/>
        </w:rPr>
        <w:drawing>
          <wp:inline distT="0" distB="0" distL="114300" distR="114300">
            <wp:extent cx="2560320" cy="2121535"/>
            <wp:effectExtent l="0" t="0" r="11430" b="12065"/>
            <wp:docPr id="7189" name="图片 7189" descr="3b706edddbab079f015c48f99e30d3d"/>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89" name="图片 7189" descr="3b706edddbab079f015c48f99e30d3d"/>
                    <pic:cNvPicPr>
                      <a:picLocks noChangeAspect="true"/>
                    </pic:cNvPicPr>
                  </pic:nvPicPr>
                  <pic:blipFill>
                    <a:blip r:embed="rId215"/>
                    <a:stretch>
                      <a:fillRect/>
                    </a:stretch>
                  </pic:blipFill>
                  <pic:spPr>
                    <a:xfrm>
                      <a:off x="0" y="0"/>
                      <a:ext cx="2560320" cy="212153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102</w:t>
      </w:r>
      <w:r>
        <w:rPr>
          <w:rFonts w:eastAsia="仿宋_GB2312" w:cs="Times New Roman"/>
        </w:rPr>
        <w:fldChar w:fldCharType="end"/>
      </w:r>
      <w:r>
        <w:rPr>
          <w:rFonts w:eastAsia="仿宋_GB2312" w:cs="Times New Roman"/>
        </w:rPr>
        <w:t>崇阳新北门菜市场充电站</w:t>
      </w:r>
    </w:p>
    <w:p>
      <w:pPr>
        <w:adjustRightInd w:val="0"/>
        <w:snapToGrid w:val="0"/>
        <w:ind w:firstLine="280" w:firstLineChars="100"/>
        <w:rPr>
          <w:rFonts w:eastAsia="仿宋_GB2312" w:cs="Times New Roman"/>
        </w:rPr>
      </w:pPr>
      <w:r>
        <w:rPr>
          <w:rFonts w:eastAsia="仿宋_GB2312" w:cs="Times New Roman"/>
        </w:rPr>
        <w:t>（11）崇阳天城公园充电站，位于崇阳大道与人民大道交叉路口往西约90米，新建4台120kW一机两枪直流充电桩。</w:t>
      </w:r>
    </w:p>
    <w:p>
      <w:pPr>
        <w:ind w:firstLine="0" w:firstLineChars="0"/>
        <w:rPr>
          <w:rFonts w:eastAsia="仿宋_GB2312" w:cs="Times New Roman"/>
        </w:rPr>
      </w:pPr>
      <w:r>
        <w:rPr>
          <w:rFonts w:eastAsia="仿宋_GB2312" w:cs="Times New Roman"/>
        </w:rPr>
        <w:drawing>
          <wp:inline distT="0" distB="0" distL="114300" distR="114300">
            <wp:extent cx="2590800" cy="2057400"/>
            <wp:effectExtent l="0" t="0" r="0" b="0"/>
            <wp:docPr id="7190" name="图片 7190" descr="d171a007f260afb86721959193354a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90" name="图片 7190" descr="d171a007f260afb86721959193354a0"/>
                    <pic:cNvPicPr>
                      <a:picLocks noChangeAspect="true"/>
                    </pic:cNvPicPr>
                  </pic:nvPicPr>
                  <pic:blipFill>
                    <a:blip r:embed="rId216"/>
                    <a:stretch>
                      <a:fillRect/>
                    </a:stretch>
                  </pic:blipFill>
                  <pic:spPr>
                    <a:xfrm>
                      <a:off x="0" y="0"/>
                      <a:ext cx="2590800" cy="2057400"/>
                    </a:xfrm>
                    <a:prstGeom prst="rect">
                      <a:avLst/>
                    </a:prstGeom>
                  </pic:spPr>
                </pic:pic>
              </a:graphicData>
            </a:graphic>
          </wp:inline>
        </w:drawing>
      </w:r>
      <w:r>
        <w:rPr>
          <w:rFonts w:eastAsia="仿宋_GB2312" w:cs="Times New Roman"/>
        </w:rPr>
        <w:drawing>
          <wp:inline distT="0" distB="0" distL="114300" distR="114300">
            <wp:extent cx="2567940" cy="2026285"/>
            <wp:effectExtent l="0" t="0" r="3810" b="12065"/>
            <wp:docPr id="7191" name="图片 7191" descr="5e04202149731a131a81ceddd7cb6a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91" name="图片 7191" descr="5e04202149731a131a81ceddd7cb6a0"/>
                    <pic:cNvPicPr>
                      <a:picLocks noChangeAspect="true"/>
                    </pic:cNvPicPr>
                  </pic:nvPicPr>
                  <pic:blipFill>
                    <a:blip r:embed="rId217"/>
                    <a:stretch>
                      <a:fillRect/>
                    </a:stretch>
                  </pic:blipFill>
                  <pic:spPr>
                    <a:xfrm>
                      <a:off x="0" y="0"/>
                      <a:ext cx="2567940" cy="202628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103</w:t>
      </w:r>
      <w:r>
        <w:rPr>
          <w:rFonts w:eastAsia="仿宋_GB2312" w:cs="Times New Roman"/>
        </w:rPr>
        <w:fldChar w:fldCharType="end"/>
      </w:r>
      <w:r>
        <w:rPr>
          <w:rFonts w:eastAsia="仿宋_GB2312" w:cs="Times New Roman"/>
        </w:rPr>
        <w:t>崇阳天城公园充电站</w:t>
      </w:r>
    </w:p>
    <w:p>
      <w:pPr>
        <w:adjustRightInd w:val="0"/>
        <w:snapToGrid w:val="0"/>
        <w:ind w:firstLine="560"/>
        <w:rPr>
          <w:rFonts w:eastAsia="仿宋_GB2312" w:cs="Times New Roman"/>
        </w:rPr>
      </w:pPr>
      <w:r>
        <w:rPr>
          <w:rFonts w:eastAsia="仿宋_GB2312" w:cs="Times New Roman"/>
        </w:rPr>
        <w:t>（12）七星岭充电站，位于崇阳县电力小区，新建2台120kW一机两枪直流充电桩。</w:t>
      </w:r>
    </w:p>
    <w:p>
      <w:pPr>
        <w:adjustRightInd w:val="0"/>
        <w:snapToGrid w:val="0"/>
        <w:ind w:firstLine="560"/>
        <w:rPr>
          <w:rFonts w:eastAsia="仿宋_GB2312" w:cs="Times New Roman"/>
        </w:rPr>
      </w:pPr>
      <w:r>
        <w:rPr>
          <w:rFonts w:eastAsia="仿宋_GB2312" w:cs="Times New Roman"/>
        </w:rPr>
        <w:t>（13）崇阳一中充电站（南大门停车位），位于崇阳县天城镇电力大道，新建4台120kW一机两枪直流充电桩。</w:t>
      </w:r>
    </w:p>
    <w:p>
      <w:pPr>
        <w:adjustRightInd w:val="0"/>
        <w:snapToGrid w:val="0"/>
        <w:ind w:firstLine="560"/>
        <w:rPr>
          <w:rFonts w:eastAsia="仿宋_GB2312" w:cs="Times New Roman"/>
        </w:rPr>
      </w:pPr>
      <w:r>
        <w:rPr>
          <w:rFonts w:eastAsia="仿宋_GB2312" w:cs="Times New Roman"/>
        </w:rPr>
        <w:t>（14）京城大道充电站，位于崇阳县天城镇希望路中国石化新塘加油站，新建4台120kW一机两枪直流充电桩。</w:t>
      </w:r>
    </w:p>
    <w:p>
      <w:pPr>
        <w:adjustRightInd w:val="0"/>
        <w:snapToGrid w:val="0"/>
        <w:ind w:firstLine="560"/>
        <w:rPr>
          <w:rFonts w:eastAsia="仿宋_GB2312" w:cs="Times New Roman"/>
        </w:rPr>
      </w:pPr>
      <w:r>
        <w:rPr>
          <w:rFonts w:eastAsia="仿宋_GB2312" w:cs="Times New Roman"/>
        </w:rPr>
        <w:t>（15）石岭充电站，位于崇阳县沿河大道698号（雷竹山庄），新建4台120kW一机两枪直流充电桩。</w:t>
      </w:r>
    </w:p>
    <w:p>
      <w:pPr>
        <w:adjustRightInd w:val="0"/>
        <w:snapToGrid w:val="0"/>
        <w:ind w:firstLine="560"/>
        <w:rPr>
          <w:rFonts w:eastAsia="仿宋_GB2312" w:cs="Times New Roman"/>
        </w:rPr>
      </w:pPr>
      <w:r>
        <w:rPr>
          <w:rFonts w:eastAsia="仿宋_GB2312" w:cs="Times New Roman"/>
        </w:rPr>
        <w:t>（16）黄家充电站，位于崇阳县黄家小区旁100米，新建4台120kW一机两枪直流充电桩。</w:t>
      </w:r>
    </w:p>
    <w:p>
      <w:pPr>
        <w:adjustRightInd w:val="0"/>
        <w:snapToGrid w:val="0"/>
        <w:ind w:firstLine="560"/>
        <w:rPr>
          <w:rFonts w:eastAsia="仿宋_GB2312" w:cs="Times New Roman"/>
        </w:rPr>
      </w:pPr>
      <w:r>
        <w:rPr>
          <w:rFonts w:eastAsia="仿宋_GB2312" w:cs="Times New Roman"/>
        </w:rPr>
        <w:t>（17）崇阳县石城镇人民政府充电站，位于崇阳县文明路1号，新建4台120kW一机两枪直流充电桩。</w:t>
      </w:r>
    </w:p>
    <w:p>
      <w:pPr>
        <w:adjustRightInd w:val="0"/>
        <w:snapToGrid w:val="0"/>
        <w:ind w:firstLine="560"/>
        <w:rPr>
          <w:rFonts w:eastAsia="仿宋_GB2312" w:cs="Times New Roman"/>
        </w:rPr>
      </w:pPr>
      <w:r>
        <w:rPr>
          <w:rFonts w:eastAsia="仿宋_GB2312" w:cs="Times New Roman"/>
        </w:rPr>
        <w:t>（18）崇阳县白霓镇人民政府充电站，位于崇阳县下新街与沿河路交叉路口往东南约60米，新建4台120kW一机两枪直流充电桩。</w:t>
      </w:r>
    </w:p>
    <w:p>
      <w:pPr>
        <w:adjustRightInd w:val="0"/>
        <w:snapToGrid w:val="0"/>
        <w:ind w:firstLine="560"/>
        <w:rPr>
          <w:rFonts w:eastAsia="仿宋_GB2312" w:cs="Times New Roman"/>
        </w:rPr>
      </w:pPr>
      <w:r>
        <w:rPr>
          <w:rFonts w:eastAsia="仿宋_GB2312" w:cs="Times New Roman"/>
        </w:rPr>
        <w:t>（19）崇阳县青山镇人民政府充电站，位于崇阳县青山街与吴家巷交叉路口往南约100米，新建4台120kW一机两枪直流充电桩。</w:t>
      </w:r>
    </w:p>
    <w:p>
      <w:pPr>
        <w:adjustRightInd w:val="0"/>
        <w:snapToGrid w:val="0"/>
        <w:ind w:firstLine="560"/>
        <w:rPr>
          <w:rFonts w:eastAsia="仿宋_GB2312" w:cs="Times New Roman"/>
        </w:rPr>
      </w:pPr>
      <w:r>
        <w:rPr>
          <w:rFonts w:eastAsia="仿宋_GB2312" w:cs="Times New Roman"/>
        </w:rPr>
        <w:t>（20）崇阳县金塘镇人民政府充电站，位于崇阳县金塘镇寿昌路金龟巷8号，新建4台120kW一机两枪直流充电桩。</w:t>
      </w:r>
    </w:p>
    <w:p>
      <w:pPr>
        <w:adjustRightInd w:val="0"/>
        <w:snapToGrid w:val="0"/>
        <w:ind w:firstLine="560"/>
        <w:rPr>
          <w:rFonts w:eastAsia="仿宋_GB2312" w:cs="Times New Roman"/>
        </w:rPr>
      </w:pPr>
      <w:r>
        <w:rPr>
          <w:rFonts w:eastAsia="仿宋_GB2312" w:cs="Times New Roman"/>
        </w:rPr>
        <w:t>（21）崇阳县路口镇人民政府充电站，位于崇阳县路口镇委(武长街南)，新建4台120kW一机两枪直流充电桩。</w:t>
      </w:r>
    </w:p>
    <w:p>
      <w:pPr>
        <w:adjustRightInd w:val="0"/>
        <w:snapToGrid w:val="0"/>
        <w:ind w:firstLine="560"/>
        <w:rPr>
          <w:rFonts w:eastAsia="仿宋_GB2312" w:cs="Times New Roman"/>
        </w:rPr>
      </w:pPr>
      <w:r>
        <w:rPr>
          <w:rFonts w:eastAsia="仿宋_GB2312" w:cs="Times New Roman"/>
        </w:rPr>
        <w:t>（22）崇阳县铜钟乡人民政府充电站，位于崇阳县铜钟街99号，新建4台120kW一机两枪直流充电桩。</w:t>
      </w:r>
    </w:p>
    <w:p>
      <w:pPr>
        <w:adjustRightInd w:val="0"/>
        <w:snapToGrid w:val="0"/>
        <w:ind w:firstLine="560"/>
        <w:rPr>
          <w:rFonts w:eastAsia="仿宋_GB2312" w:cs="Times New Roman"/>
        </w:rPr>
      </w:pPr>
      <w:r>
        <w:rPr>
          <w:rFonts w:eastAsia="仿宋_GB2312" w:cs="Times New Roman"/>
        </w:rPr>
        <w:t>（23）崇阳县沙坪镇人民政府充电站，位于崇阳县沙坪镇沙坪街人民政府，新建4台120kW一机两枪直流充电桩。</w:t>
      </w:r>
    </w:p>
    <w:p>
      <w:pPr>
        <w:adjustRightInd w:val="0"/>
        <w:snapToGrid w:val="0"/>
        <w:ind w:firstLine="560"/>
        <w:rPr>
          <w:rFonts w:eastAsia="仿宋_GB2312" w:cs="Times New Roman"/>
        </w:rPr>
      </w:pPr>
      <w:r>
        <w:rPr>
          <w:rFonts w:eastAsia="仿宋_GB2312" w:cs="Times New Roman"/>
        </w:rPr>
        <w:t>（24）崇阳县高枧乡人民政府充电站，位于崇阳县甘泉街与中建路交叉路口往西约150米，新建4台120kW一机两枪直流充电桩。</w:t>
      </w:r>
    </w:p>
    <w:p>
      <w:pPr>
        <w:adjustRightInd w:val="0"/>
        <w:snapToGrid w:val="0"/>
        <w:ind w:firstLine="560"/>
        <w:rPr>
          <w:rFonts w:eastAsia="仿宋_GB2312" w:cs="Times New Roman"/>
        </w:rPr>
      </w:pPr>
      <w:r>
        <w:rPr>
          <w:rFonts w:eastAsia="仿宋_GB2312" w:cs="Times New Roman"/>
        </w:rPr>
        <w:t>（25）崇阳县肖岭乡人民政府充电站，位于崇阳县肖岭乡肖岭街道特1号，新建4台120kW一机两枪直流充电桩。</w:t>
      </w:r>
    </w:p>
    <w:p>
      <w:pPr>
        <w:adjustRightInd w:val="0"/>
        <w:snapToGrid w:val="0"/>
        <w:ind w:firstLine="560"/>
        <w:rPr>
          <w:rFonts w:eastAsia="仿宋_GB2312" w:cs="Times New Roman"/>
        </w:rPr>
      </w:pPr>
      <w:r>
        <w:rPr>
          <w:rFonts w:eastAsia="仿宋_GB2312" w:cs="Times New Roman"/>
        </w:rPr>
        <w:t>（26）崇阳县港口乡人民政府充电站，位于崇阳县港口乡港口大道1号，新建4台120kW一机两枪直流充电桩。</w:t>
      </w:r>
    </w:p>
    <w:p>
      <w:pPr>
        <w:adjustRightInd w:val="0"/>
        <w:snapToGrid w:val="0"/>
        <w:ind w:firstLine="560"/>
        <w:rPr>
          <w:rFonts w:eastAsia="仿宋_GB2312" w:cs="Times New Roman"/>
        </w:rPr>
      </w:pPr>
      <w:r>
        <w:rPr>
          <w:rFonts w:eastAsia="仿宋_GB2312" w:cs="Times New Roman"/>
        </w:rPr>
        <w:t>（27）崇阳县三角洲公园充电站，位于崇阳县下津大道537号，新建4台120kW一机两枪直流充电桩。</w:t>
      </w:r>
    </w:p>
    <w:p>
      <w:pPr>
        <w:ind w:firstLine="0" w:firstLineChars="0"/>
        <w:rPr>
          <w:rFonts w:eastAsia="仿宋_GB2312" w:cs="Times New Roman"/>
        </w:rPr>
      </w:pPr>
      <w:r>
        <w:rPr>
          <w:rFonts w:eastAsia="仿宋_GB2312" w:cs="Times New Roman"/>
        </w:rPr>
        <w:drawing>
          <wp:inline distT="0" distB="0" distL="114300" distR="114300">
            <wp:extent cx="5266690" cy="2430780"/>
            <wp:effectExtent l="0" t="0" r="10160" b="7620"/>
            <wp:docPr id="234" name="图片 234" descr="83db1e8f4865edf8d56511343f4fa7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4" name="图片 234" descr="83db1e8f4865edf8d56511343f4fa78"/>
                    <pic:cNvPicPr>
                      <a:picLocks noChangeAspect="true"/>
                    </pic:cNvPicPr>
                  </pic:nvPicPr>
                  <pic:blipFill>
                    <a:blip r:embed="rId218"/>
                    <a:stretch>
                      <a:fillRect/>
                    </a:stretch>
                  </pic:blipFill>
                  <pic:spPr>
                    <a:xfrm>
                      <a:off x="0" y="0"/>
                      <a:ext cx="5266690" cy="2430780"/>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104</w:t>
      </w:r>
      <w:r>
        <w:rPr>
          <w:rFonts w:eastAsia="仿宋_GB2312" w:cs="Times New Roman"/>
        </w:rPr>
        <w:fldChar w:fldCharType="end"/>
      </w:r>
      <w:r>
        <w:rPr>
          <w:rFonts w:eastAsia="仿宋_GB2312" w:cs="Times New Roman"/>
        </w:rPr>
        <w:t>崇阳县三角洲公园充电站</w:t>
      </w:r>
    </w:p>
    <w:p>
      <w:pPr>
        <w:adjustRightInd w:val="0"/>
        <w:snapToGrid w:val="0"/>
        <w:ind w:firstLine="560"/>
        <w:rPr>
          <w:rFonts w:eastAsia="仿宋_GB2312" w:cs="Times New Roman"/>
        </w:rPr>
      </w:pPr>
      <w:r>
        <w:rPr>
          <w:rFonts w:eastAsia="仿宋_GB2312" w:cs="Times New Roman"/>
        </w:rPr>
        <w:t>（28）崇阳经济开发区充电站，位于崇阳县金城大道9号，新建5台120kW一机两枪直流充电桩。</w:t>
      </w:r>
    </w:p>
    <w:p>
      <w:pPr>
        <w:ind w:firstLine="0" w:firstLineChars="0"/>
        <w:rPr>
          <w:rFonts w:eastAsia="仿宋_GB2312" w:cs="Times New Roman"/>
        </w:rPr>
      </w:pPr>
      <w:r>
        <w:rPr>
          <w:rFonts w:eastAsia="仿宋_GB2312" w:cs="Times New Roman"/>
        </w:rPr>
        <w:drawing>
          <wp:inline distT="0" distB="0" distL="114300" distR="114300">
            <wp:extent cx="2519680" cy="2002155"/>
            <wp:effectExtent l="0" t="0" r="13970" b="17145"/>
            <wp:docPr id="235" name="图片 235" descr="f5311c800ea54a83de39015e75e8fdb"/>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5" name="图片 235" descr="f5311c800ea54a83de39015e75e8fdb"/>
                    <pic:cNvPicPr>
                      <a:picLocks noChangeAspect="true"/>
                    </pic:cNvPicPr>
                  </pic:nvPicPr>
                  <pic:blipFill>
                    <a:blip r:embed="rId219"/>
                    <a:stretch>
                      <a:fillRect/>
                    </a:stretch>
                  </pic:blipFill>
                  <pic:spPr>
                    <a:xfrm>
                      <a:off x="0" y="0"/>
                      <a:ext cx="2519680" cy="2002155"/>
                    </a:xfrm>
                    <a:prstGeom prst="rect">
                      <a:avLst/>
                    </a:prstGeom>
                  </pic:spPr>
                </pic:pic>
              </a:graphicData>
            </a:graphic>
          </wp:inline>
        </w:drawing>
      </w:r>
      <w:r>
        <w:rPr>
          <w:rFonts w:eastAsia="仿宋_GB2312" w:cs="Times New Roman"/>
        </w:rPr>
        <w:drawing>
          <wp:inline distT="0" distB="0" distL="114300" distR="114300">
            <wp:extent cx="2589530" cy="2018665"/>
            <wp:effectExtent l="0" t="0" r="1270" b="635"/>
            <wp:docPr id="7192" name="图片 7192" descr="f9e64d6f56bb9abe3234fc3abc58e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92" name="图片 7192" descr="f9e64d6f56bb9abe3234fc3abc58e63"/>
                    <pic:cNvPicPr>
                      <a:picLocks noChangeAspect="true"/>
                    </pic:cNvPicPr>
                  </pic:nvPicPr>
                  <pic:blipFill>
                    <a:blip r:embed="rId220"/>
                    <a:stretch>
                      <a:fillRect/>
                    </a:stretch>
                  </pic:blipFill>
                  <pic:spPr>
                    <a:xfrm>
                      <a:off x="0" y="0"/>
                      <a:ext cx="2589530" cy="2018665"/>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105</w:t>
      </w:r>
      <w:r>
        <w:rPr>
          <w:rFonts w:eastAsia="仿宋_GB2312" w:cs="Times New Roman"/>
        </w:rPr>
        <w:fldChar w:fldCharType="end"/>
      </w:r>
      <w:r>
        <w:rPr>
          <w:rFonts w:eastAsia="仿宋_GB2312" w:cs="Times New Roman"/>
        </w:rPr>
        <w:t>崇阳经济开发区充电站</w:t>
      </w:r>
    </w:p>
    <w:p>
      <w:pPr>
        <w:numPr>
          <w:ilvl w:val="0"/>
          <w:numId w:val="17"/>
        </w:numPr>
        <w:adjustRightInd w:val="0"/>
        <w:snapToGrid w:val="0"/>
        <w:ind w:firstLine="560"/>
        <w:rPr>
          <w:rFonts w:eastAsia="仿宋_GB2312" w:cs="Times New Roman"/>
        </w:rPr>
      </w:pPr>
      <w:r>
        <w:rPr>
          <w:rFonts w:eastAsia="仿宋_GB2312" w:cs="Times New Roman"/>
        </w:rPr>
        <w:t>信达肯德基门口充电站，位于崇阳县信达步行街一二层，新建4台60kW一机一枪直流充电桩。</w:t>
      </w:r>
    </w:p>
    <w:p>
      <w:pPr>
        <w:ind w:firstLine="0" w:firstLineChars="0"/>
        <w:rPr>
          <w:rFonts w:eastAsia="仿宋_GB2312" w:cs="Times New Roman"/>
        </w:rPr>
      </w:pPr>
      <w:r>
        <w:rPr>
          <w:rFonts w:eastAsia="仿宋_GB2312" w:cs="Times New Roman"/>
        </w:rPr>
        <w:drawing>
          <wp:inline distT="0" distB="0" distL="114300" distR="114300">
            <wp:extent cx="5266690" cy="2430780"/>
            <wp:effectExtent l="0" t="0" r="10160" b="7620"/>
            <wp:docPr id="7194" name="图片 7194" descr="8a8bc8a0583a19f833b06b34437086b"/>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94" name="图片 7194" descr="8a8bc8a0583a19f833b06b34437086b"/>
                    <pic:cNvPicPr>
                      <a:picLocks noChangeAspect="true"/>
                    </pic:cNvPicPr>
                  </pic:nvPicPr>
                  <pic:blipFill>
                    <a:blip r:embed="rId221"/>
                    <a:stretch>
                      <a:fillRect/>
                    </a:stretch>
                  </pic:blipFill>
                  <pic:spPr>
                    <a:xfrm>
                      <a:off x="0" y="0"/>
                      <a:ext cx="5266690" cy="2430780"/>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106</w:t>
      </w:r>
      <w:r>
        <w:rPr>
          <w:rFonts w:eastAsia="仿宋_GB2312" w:cs="Times New Roman"/>
        </w:rPr>
        <w:fldChar w:fldCharType="end"/>
      </w:r>
      <w:r>
        <w:rPr>
          <w:rFonts w:eastAsia="仿宋_GB2312" w:cs="Times New Roman"/>
        </w:rPr>
        <w:t>信达肯德基门口充电站</w:t>
      </w:r>
    </w:p>
    <w:p>
      <w:pPr>
        <w:pStyle w:val="106"/>
        <w:numPr>
          <w:ilvl w:val="0"/>
          <w:numId w:val="17"/>
        </w:numPr>
        <w:adjustRightInd w:val="0"/>
        <w:snapToGrid w:val="0"/>
        <w:ind w:firstLineChars="0"/>
        <w:rPr>
          <w:rFonts w:eastAsia="仿宋_GB2312" w:cs="Times New Roman"/>
        </w:rPr>
      </w:pPr>
      <w:r>
        <w:rPr>
          <w:rFonts w:eastAsia="仿宋_GB2312" w:cs="Times New Roman"/>
        </w:rPr>
        <w:t>崇阳县高速出口（铜钟方向），位于崇阳县天城大道高速出口，新建4台120kW一机两枪直流充电桩。</w:t>
      </w:r>
    </w:p>
    <w:p>
      <w:pPr>
        <w:pStyle w:val="106"/>
        <w:numPr>
          <w:ilvl w:val="0"/>
          <w:numId w:val="17"/>
        </w:numPr>
        <w:adjustRightInd w:val="0"/>
        <w:snapToGrid w:val="0"/>
        <w:ind w:firstLineChars="0"/>
        <w:rPr>
          <w:rFonts w:eastAsia="仿宋_GB2312" w:cs="Times New Roman"/>
        </w:rPr>
      </w:pPr>
      <w:r>
        <w:rPr>
          <w:rFonts w:eastAsia="仿宋_GB2312" w:cs="Times New Roman"/>
        </w:rPr>
        <w:t>柃蜜小镇·白崖山景区充电站，位于崇阳县金塘镇畈上村，新建10台120kW一机两枪直流充电桩。</w:t>
      </w:r>
    </w:p>
    <w:p>
      <w:pPr>
        <w:pStyle w:val="106"/>
        <w:numPr>
          <w:ilvl w:val="0"/>
          <w:numId w:val="17"/>
        </w:numPr>
        <w:adjustRightInd w:val="0"/>
        <w:snapToGrid w:val="0"/>
        <w:ind w:firstLineChars="0"/>
        <w:rPr>
          <w:rFonts w:eastAsia="仿宋_GB2312" w:cs="Times New Roman"/>
        </w:rPr>
      </w:pPr>
      <w:r>
        <w:rPr>
          <w:rFonts w:eastAsia="仿宋_GB2312" w:cs="Times New Roman"/>
        </w:rPr>
        <w:t>崇阳县港口乡人民政府充电站，位于崇阳县港口乡港口大道1号，新建4台120kW一机两枪直流充电桩。</w:t>
      </w:r>
    </w:p>
    <w:p>
      <w:pPr>
        <w:adjustRightInd w:val="0"/>
        <w:snapToGrid w:val="0"/>
        <w:ind w:firstLineChars="0"/>
        <w:rPr>
          <w:rFonts w:eastAsia="仿宋_GB2312" w:cs="Times New Roman"/>
        </w:rPr>
      </w:pPr>
    </w:p>
    <w:p>
      <w:pPr>
        <w:adjustRightInd w:val="0"/>
        <w:snapToGrid w:val="0"/>
        <w:ind w:firstLineChars="0"/>
        <w:rPr>
          <w:rFonts w:eastAsia="仿宋_GB2312" w:cs="Times New Roman"/>
        </w:rPr>
      </w:pPr>
    </w:p>
    <w:p>
      <w:pPr>
        <w:adjustRightInd w:val="0"/>
        <w:snapToGrid w:val="0"/>
        <w:ind w:firstLineChars="0"/>
        <w:rPr>
          <w:rFonts w:eastAsia="仿宋_GB2312" w:cs="Times New Roman"/>
        </w:rPr>
      </w:pPr>
    </w:p>
    <w:p>
      <w:pPr>
        <w:pStyle w:val="19"/>
        <w:ind w:firstLine="560"/>
        <w:rPr>
          <w:rFonts w:eastAsia="仿宋_GB2312" w:cs="Times New Roman"/>
        </w:rPr>
      </w:pPr>
      <w:bookmarkStart w:id="215" w:name="_Ref112165986"/>
      <w:r>
        <w:rPr>
          <w:rFonts w:eastAsia="仿宋_GB2312" w:cs="Times New Roman"/>
        </w:rPr>
        <w:t xml:space="preserve">               </w:t>
      </w:r>
      <w:bookmarkStart w:id="216" w:name="_Ref115442576"/>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32</w:t>
      </w:r>
      <w:r>
        <w:rPr>
          <w:rFonts w:eastAsia="仿宋_GB2312" w:cs="Times New Roman"/>
        </w:rPr>
        <w:fldChar w:fldCharType="end"/>
      </w:r>
      <w:bookmarkEnd w:id="215"/>
      <w:bookmarkEnd w:id="216"/>
      <w:r>
        <w:rPr>
          <w:rFonts w:eastAsia="仿宋_GB2312" w:cs="Times New Roman"/>
        </w:rPr>
        <w:t>崇阳县城市公共充电站布局规划表               单位：个、平米、年</w:t>
      </w:r>
    </w:p>
    <w:tbl>
      <w:tblPr>
        <w:tblStyle w:val="7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2193"/>
        <w:gridCol w:w="2569"/>
        <w:gridCol w:w="752"/>
        <w:gridCol w:w="752"/>
        <w:gridCol w:w="752"/>
        <w:gridCol w:w="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blHeader/>
        </w:trPr>
        <w:tc>
          <w:tcPr>
            <w:tcW w:w="44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序号</w:t>
            </w:r>
          </w:p>
        </w:tc>
        <w:tc>
          <w:tcPr>
            <w:tcW w:w="128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名称</w:t>
            </w:r>
          </w:p>
        </w:tc>
        <w:tc>
          <w:tcPr>
            <w:tcW w:w="150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地理位置</w:t>
            </w:r>
          </w:p>
        </w:tc>
        <w:tc>
          <w:tcPr>
            <w:tcW w:w="44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实施类型</w:t>
            </w:r>
          </w:p>
        </w:tc>
        <w:tc>
          <w:tcPr>
            <w:tcW w:w="44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充电桩数</w:t>
            </w:r>
          </w:p>
        </w:tc>
        <w:tc>
          <w:tcPr>
            <w:tcW w:w="44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预留面积</w:t>
            </w:r>
          </w:p>
        </w:tc>
        <w:tc>
          <w:tcPr>
            <w:tcW w:w="441"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规划实施年份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白鹭广场充电站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崇阳县仪表路白鹭广场南侧</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崇阳县人民医院充电站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崇阳县人民大道与天城大道交叉口东北160米</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崇阳县中医院充电站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崇阳县程家巷与中医巷交叉口西北约60米</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崇阳县桂花森林公园充电站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崇阳县桂花泉镇境内</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崇阳县浪口充电站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崇阳县新河村浪口温泉养生休闲度假区</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崇阳县青山大泉洞充电站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崇阳县百泉地质博物馆东侧</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崇阳大道停车场充电站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崇阳县崇阳大道与崇阳大道四巷交叉口北80米</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天府城市广场充电站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阳县民主路与前进路交叉路口往北约110米</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金泰广场充电站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崇阳县新建路19号</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19.2</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崇阳新北门菜市场充电站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崇阳县天城大道国际商贸城</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崇阳天城公园充电站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崇阳大道与人民大道交叉路口往西约90米</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七星岭充电站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崇阳县电力小区</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19.2</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崇阳一中充电站（南大门停车位）</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崇阳县天城镇电力大道</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14</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京城大道充电站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崇阳县天城镇希望路中国石化新塘加油站</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石岭充电站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崇阳县沿河大道698号（雷竹山庄）</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黄家充电站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崇阳县黄家小区旁100米</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17</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崇阳县石城镇人民政府充电站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崇阳县文明路1号</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18</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崇阳县白霓镇人民政府充电站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崇阳县下新街与沿河路交叉路口往东南约60米</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崇阳县青山镇人民政府充电站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崇阳县青山街与吴家巷交叉路口往南约100米</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崇阳县金塘镇人民政府充电站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崇阳县金塘镇寿昌路金龟巷8号</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21</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崇阳县路口镇人民政府充电站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崇阳县路口镇委(武长街南)</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崇阳县铜钟乡人民政府充电站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崇阳县铜钟街99号</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19.2</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23</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崇阳县沙坪镇人民政府充电站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崇阳县沙坪镇沙坪街人民政府</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24</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崇阳县高枧乡人民政府充电站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崇阳县甘泉街与中建路交叉路口往西约150米</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崇阳县肖岭乡人民政府充电站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崇阳县肖岭乡肖岭街道特1号</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崇阳县港口乡人民政府充电站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崇阳县港口乡港口大道1号</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27</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崇阳县三角洲公园充电站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崇阳县下津大道537号</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28</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信达肯德基门口充电站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崇阳县信达步行街一二层</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29</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崇阳经济开发区充电站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崇阳县金城大道9号</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崇阳县高速出口（铜钟方向）充电站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兴地广场</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31</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柃蜜小镇·白崖山景区充电站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崇阳县金塘镇畈上村</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32</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崇阳县港口乡人民政府充电站</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崇阳县港口乡港口大道1号</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4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汇总</w:t>
            </w:r>
          </w:p>
        </w:tc>
        <w:tc>
          <w:tcPr>
            <w:tcW w:w="128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1507"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41"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4978400" cy="3296920"/>
            <wp:effectExtent l="0" t="0" r="0" b="0"/>
            <wp:docPr id="189" name="图片 18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true"/>
                    </pic:cNvPicPr>
                  </pic:nvPicPr>
                  <pic:blipFill>
                    <a:blip r:embed="rId222"/>
                    <a:stretch>
                      <a:fillRect/>
                    </a:stretch>
                  </pic:blipFill>
                  <pic:spPr>
                    <a:xfrm>
                      <a:off x="0" y="0"/>
                      <a:ext cx="4985494" cy="3301854"/>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107</w:t>
      </w:r>
      <w:r>
        <w:rPr>
          <w:rFonts w:eastAsia="仿宋_GB2312" w:cs="Times New Roman"/>
        </w:rPr>
        <w:fldChar w:fldCharType="end"/>
      </w:r>
      <w:r>
        <w:rPr>
          <w:rFonts w:eastAsia="仿宋_GB2312" w:cs="Times New Roman"/>
        </w:rPr>
        <w:t>崇阳县城区外部公共充电站布点图</w:t>
      </w:r>
    </w:p>
    <w:p>
      <w:pPr>
        <w:ind w:firstLine="562"/>
        <w:rPr>
          <w:rFonts w:eastAsia="仿宋_GB2312" w:cs="Times New Roman"/>
          <w:b/>
          <w:bCs/>
        </w:rPr>
      </w:pPr>
      <w:r>
        <w:rPr>
          <w:rFonts w:eastAsia="仿宋_GB2312" w:cs="Times New Roman"/>
          <w:b/>
          <w:bCs/>
        </w:rPr>
        <w:t>2.小区内部公共充电设施</w:t>
      </w:r>
    </w:p>
    <w:p>
      <w:pPr>
        <w:adjustRightInd w:val="0"/>
        <w:snapToGrid w:val="0"/>
        <w:ind w:firstLine="560"/>
        <w:rPr>
          <w:rFonts w:eastAsia="仿宋_GB2312" w:cs="Times New Roman"/>
        </w:rPr>
      </w:pPr>
      <w:r>
        <w:rPr>
          <w:rFonts w:eastAsia="仿宋_GB2312" w:cs="Times New Roman"/>
          <w:szCs w:val="21"/>
        </w:rPr>
        <w:t>至2025年，崇阳县新建小区公共充电桩187个。小区公共充电桩规划如</w:t>
      </w:r>
      <w:r>
        <w:rPr>
          <w:rFonts w:eastAsia="仿宋_GB2312" w:cs="Times New Roman"/>
        </w:rPr>
        <w:fldChar w:fldCharType="begin"/>
      </w:r>
      <w:r>
        <w:rPr>
          <w:rFonts w:eastAsia="仿宋_GB2312" w:cs="Times New Roman"/>
          <w:szCs w:val="21"/>
        </w:rPr>
        <w:instrText xml:space="preserve"> REF _Ref112166391 \h </w:instrText>
      </w:r>
      <w:r>
        <w:rPr>
          <w:rFonts w:eastAsia="仿宋_GB2312" w:cs="Times New Roman"/>
        </w:rPr>
        <w:instrText xml:space="preserve"> \* MERGEFORMAT </w:instrText>
      </w:r>
      <w:r>
        <w:rPr>
          <w:rFonts w:eastAsia="仿宋_GB2312" w:cs="Times New Roman"/>
        </w:rPr>
        <w:fldChar w:fldCharType="separate"/>
      </w:r>
      <w:r>
        <w:rPr>
          <w:rFonts w:eastAsia="仿宋_GB2312" w:cs="Times New Roman"/>
        </w:rPr>
        <w:t>表4</w:t>
      </w:r>
      <w:r>
        <w:rPr>
          <w:rFonts w:eastAsia="仿宋_GB2312" w:cs="Times New Roman"/>
        </w:rPr>
        <w:noBreakHyphen/>
      </w:r>
      <w:r>
        <w:rPr>
          <w:rFonts w:eastAsia="仿宋_GB2312" w:cs="Times New Roman"/>
        </w:rPr>
        <w:t>33</w:t>
      </w:r>
      <w:r>
        <w:rPr>
          <w:rFonts w:eastAsia="仿宋_GB2312" w:cs="Times New Roman"/>
        </w:rPr>
        <w:fldChar w:fldCharType="end"/>
      </w:r>
      <w:r>
        <w:rPr>
          <w:rFonts w:eastAsia="仿宋_GB2312" w:cs="Times New Roman"/>
          <w:szCs w:val="21"/>
        </w:rPr>
        <w:t>所示。</w:t>
      </w:r>
    </w:p>
    <w:p>
      <w:pPr>
        <w:pStyle w:val="19"/>
        <w:ind w:left="1600" w:hanging="480"/>
        <w:rPr>
          <w:rFonts w:eastAsia="仿宋_GB2312" w:cs="Times New Roman"/>
          <w:szCs w:val="24"/>
        </w:rPr>
      </w:pPr>
      <w:bookmarkStart w:id="217" w:name="_Ref112166391"/>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33</w:t>
      </w:r>
      <w:r>
        <w:rPr>
          <w:rFonts w:eastAsia="仿宋_GB2312" w:cs="Times New Roman"/>
        </w:rPr>
        <w:fldChar w:fldCharType="end"/>
      </w:r>
      <w:bookmarkEnd w:id="217"/>
      <w:r>
        <w:rPr>
          <w:rFonts w:eastAsia="仿宋_GB2312" w:cs="Times New Roman"/>
          <w:szCs w:val="21"/>
        </w:rPr>
        <w:t>崇阳县小区公共</w:t>
      </w:r>
      <w:r>
        <w:rPr>
          <w:rFonts w:eastAsia="仿宋_GB2312" w:cs="Times New Roman"/>
        </w:rPr>
        <w:t>充电桩规划统计表</w:t>
      </w:r>
    </w:p>
    <w:tbl>
      <w:tblPr>
        <w:tblStyle w:val="7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67"/>
        <w:gridCol w:w="1208"/>
        <w:gridCol w:w="1209"/>
        <w:gridCol w:w="1209"/>
        <w:gridCol w:w="1209"/>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136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2022</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2023</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2024</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2025</w:t>
            </w:r>
          </w:p>
        </w:tc>
        <w:tc>
          <w:tcPr>
            <w:tcW w:w="727" w:type="pct"/>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十四五汇总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小区公共充电桩</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31</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41</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51</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sz w:val="22"/>
                <w:szCs w:val="22"/>
              </w:rPr>
              <w:t>64</w:t>
            </w:r>
          </w:p>
        </w:tc>
        <w:tc>
          <w:tcPr>
            <w:tcW w:w="727" w:type="pct"/>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187</w:t>
            </w:r>
          </w:p>
        </w:tc>
      </w:tr>
    </w:tbl>
    <w:p>
      <w:pPr>
        <w:pStyle w:val="5"/>
        <w:adjustRightInd w:val="0"/>
        <w:snapToGrid w:val="0"/>
        <w:spacing w:before="156" w:beforeLines="50"/>
        <w:ind w:firstLine="284"/>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自用充电设施</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“十四五”期间，根据对小区四人充电设施预测，结合新建居民住宅小区（</w:t>
      </w:r>
      <w:r>
        <w:rPr>
          <w:rFonts w:eastAsia="仿宋_GB2312" w:cs="Times New Roman"/>
          <w:color w:val="000000" w:themeColor="text1"/>
          <w:szCs w:val="21"/>
          <w14:textFill>
            <w14:solidFill>
              <w14:schemeClr w14:val="tx1"/>
            </w14:solidFill>
          </w14:textFill>
        </w:rPr>
        <w:t>楼宇）建设情况和现有小区（楼宇）停车位改造情况进行规划布点，至2025年，新建小区私人自用充电桩1041个。崇阳县私人充电桩规划如</w:t>
      </w:r>
      <w:r>
        <w:rPr>
          <w:rFonts w:eastAsia="仿宋_GB2312" w:cs="Times New Roman"/>
          <w:color w:val="000000" w:themeColor="text1"/>
          <w:szCs w:val="21"/>
          <w14:textFill>
            <w14:solidFill>
              <w14:schemeClr w14:val="tx1"/>
            </w14:solidFill>
          </w14:textFill>
        </w:rPr>
        <w:fldChar w:fldCharType="begin"/>
      </w:r>
      <w:r>
        <w:rPr>
          <w:rFonts w:eastAsia="仿宋_GB2312" w:cs="Times New Roman"/>
          <w:color w:val="000000" w:themeColor="text1"/>
          <w:szCs w:val="21"/>
          <w14:textFill>
            <w14:solidFill>
              <w14:schemeClr w14:val="tx1"/>
            </w14:solidFill>
          </w14:textFill>
        </w:rPr>
        <w:instrText xml:space="preserve"> REF _Ref112166469 \h  \* MERGEFORMAT </w:instrText>
      </w:r>
      <w:r>
        <w:rPr>
          <w:rFonts w:eastAsia="仿宋_GB2312" w:cs="Times New Roman"/>
          <w:color w:val="000000" w:themeColor="text1"/>
          <w:szCs w:val="21"/>
          <w14:textFill>
            <w14:solidFill>
              <w14:schemeClr w14:val="tx1"/>
            </w14:solidFill>
          </w14:textFill>
        </w:rPr>
        <w:fldChar w:fldCharType="separate"/>
      </w:r>
      <w:r>
        <w:rPr>
          <w:rFonts w:eastAsia="仿宋_GB2312" w:cs="Times New Roman"/>
          <w:color w:val="000000" w:themeColor="text1"/>
          <w14:textFill>
            <w14:solidFill>
              <w14:schemeClr w14:val="tx1"/>
            </w14:solidFill>
          </w14:textFill>
        </w:rPr>
        <w:t>表4</w:t>
      </w:r>
      <w:r>
        <w:rPr>
          <w:rFonts w:eastAsia="仿宋_GB2312" w:cs="Times New Roman"/>
          <w:color w:val="000000" w:themeColor="text1"/>
          <w14:textFill>
            <w14:solidFill>
              <w14:schemeClr w14:val="tx1"/>
            </w14:solidFill>
          </w14:textFill>
        </w:rPr>
        <w:noBreakHyphen/>
      </w:r>
      <w:r>
        <w:rPr>
          <w:rFonts w:eastAsia="仿宋_GB2312" w:cs="Times New Roman"/>
          <w:color w:val="000000" w:themeColor="text1"/>
          <w14:textFill>
            <w14:solidFill>
              <w14:schemeClr w14:val="tx1"/>
            </w14:solidFill>
          </w14:textFill>
        </w:rPr>
        <w:t>34</w:t>
      </w:r>
      <w:r>
        <w:rPr>
          <w:rFonts w:eastAsia="仿宋_GB2312" w:cs="Times New Roman"/>
          <w:color w:val="000000" w:themeColor="text1"/>
          <w:szCs w:val="21"/>
          <w14:textFill>
            <w14:solidFill>
              <w14:schemeClr w14:val="tx1"/>
            </w14:solidFill>
          </w14:textFill>
        </w:rPr>
        <w:fldChar w:fldCharType="end"/>
      </w:r>
      <w:r>
        <w:rPr>
          <w:rFonts w:eastAsia="仿宋_GB2312" w:cs="Times New Roman"/>
          <w:color w:val="000000" w:themeColor="text1"/>
          <w:szCs w:val="21"/>
          <w14:textFill>
            <w14:solidFill>
              <w14:schemeClr w14:val="tx1"/>
            </w14:solidFill>
          </w14:textFill>
        </w:rPr>
        <w:t>所示。</w:t>
      </w:r>
    </w:p>
    <w:p>
      <w:pPr>
        <w:pStyle w:val="19"/>
        <w:ind w:firstLine="560"/>
        <w:rPr>
          <w:rFonts w:eastAsia="仿宋_GB2312" w:cs="Times New Roman"/>
          <w:color w:val="000000" w:themeColor="text1"/>
          <w:szCs w:val="24"/>
          <w14:textFill>
            <w14:solidFill>
              <w14:schemeClr w14:val="tx1"/>
            </w14:solidFill>
          </w14:textFill>
        </w:rPr>
      </w:pPr>
      <w:bookmarkStart w:id="218" w:name="_Ref112166469"/>
      <w:r>
        <w:rPr>
          <w:rFonts w:eastAsia="仿宋_GB2312" w:cs="Times New Roman"/>
          <w:color w:val="000000" w:themeColor="text1"/>
          <w14:textFill>
            <w14:solidFill>
              <w14:schemeClr w14:val="tx1"/>
            </w14:solidFill>
          </w14:textFill>
        </w:rPr>
        <w:t>表</w:t>
      </w:r>
      <w:r>
        <w:rPr>
          <w:rFonts w:eastAsia="仿宋_GB2312" w:cs="Times New Roman"/>
          <w:color w:val="000000" w:themeColor="text1"/>
          <w14:textFill>
            <w14:solidFill>
              <w14:schemeClr w14:val="tx1"/>
            </w14:solidFill>
          </w14:textFill>
        </w:rPr>
        <w:fldChar w:fldCharType="begin"/>
      </w:r>
      <w:r>
        <w:rPr>
          <w:rFonts w:eastAsia="仿宋_GB2312" w:cs="Times New Roman"/>
          <w:color w:val="000000" w:themeColor="text1"/>
          <w14:textFill>
            <w14:solidFill>
              <w14:schemeClr w14:val="tx1"/>
            </w14:solidFill>
          </w14:textFill>
        </w:rPr>
        <w:instrText xml:space="preserve"> STYLEREF 1 \s </w:instrText>
      </w:r>
      <w:r>
        <w:rPr>
          <w:rFonts w:eastAsia="仿宋_GB2312" w:cs="Times New Roman"/>
          <w:color w:val="000000" w:themeColor="text1"/>
          <w14:textFill>
            <w14:solidFill>
              <w14:schemeClr w14:val="tx1"/>
            </w14:solidFill>
          </w14:textFill>
        </w:rPr>
        <w:fldChar w:fldCharType="separate"/>
      </w:r>
      <w:r>
        <w:rPr>
          <w:rFonts w:eastAsia="仿宋_GB2312" w:cs="Times New Roman"/>
          <w:color w:val="000000" w:themeColor="text1"/>
          <w14:textFill>
            <w14:solidFill>
              <w14:schemeClr w14:val="tx1"/>
            </w14:solidFill>
          </w14:textFill>
        </w:rPr>
        <w:t>4</w:t>
      </w:r>
      <w:r>
        <w:rPr>
          <w:rFonts w:eastAsia="仿宋_GB2312" w:cs="Times New Roman"/>
          <w:color w:val="000000" w:themeColor="text1"/>
          <w14:textFill>
            <w14:solidFill>
              <w14:schemeClr w14:val="tx1"/>
            </w14:solidFill>
          </w14:textFill>
        </w:rPr>
        <w:fldChar w:fldCharType="end"/>
      </w:r>
      <w:r>
        <w:rPr>
          <w:rFonts w:eastAsia="仿宋_GB2312" w:cs="Times New Roman"/>
          <w:color w:val="000000" w:themeColor="text1"/>
          <w14:textFill>
            <w14:solidFill>
              <w14:schemeClr w14:val="tx1"/>
            </w14:solidFill>
          </w14:textFill>
        </w:rPr>
        <w:noBreakHyphen/>
      </w:r>
      <w:r>
        <w:rPr>
          <w:rFonts w:eastAsia="仿宋_GB2312" w:cs="Times New Roman"/>
          <w:color w:val="000000" w:themeColor="text1"/>
          <w14:textFill>
            <w14:solidFill>
              <w14:schemeClr w14:val="tx1"/>
            </w14:solidFill>
          </w14:textFill>
        </w:rPr>
        <w:fldChar w:fldCharType="begin"/>
      </w:r>
      <w:r>
        <w:rPr>
          <w:rFonts w:eastAsia="仿宋_GB2312" w:cs="Times New Roman"/>
          <w:color w:val="000000" w:themeColor="text1"/>
          <w14:textFill>
            <w14:solidFill>
              <w14:schemeClr w14:val="tx1"/>
            </w14:solidFill>
          </w14:textFill>
        </w:rPr>
        <w:instrText xml:space="preserve"> SEQ 表 \* ARABIC \s 1 </w:instrText>
      </w:r>
      <w:r>
        <w:rPr>
          <w:rFonts w:eastAsia="仿宋_GB2312" w:cs="Times New Roman"/>
          <w:color w:val="000000" w:themeColor="text1"/>
          <w14:textFill>
            <w14:solidFill>
              <w14:schemeClr w14:val="tx1"/>
            </w14:solidFill>
          </w14:textFill>
        </w:rPr>
        <w:fldChar w:fldCharType="separate"/>
      </w:r>
      <w:r>
        <w:rPr>
          <w:rFonts w:eastAsia="仿宋_GB2312" w:cs="Times New Roman"/>
          <w:color w:val="000000" w:themeColor="text1"/>
          <w14:textFill>
            <w14:solidFill>
              <w14:schemeClr w14:val="tx1"/>
            </w14:solidFill>
          </w14:textFill>
        </w:rPr>
        <w:t>34</w:t>
      </w:r>
      <w:r>
        <w:rPr>
          <w:rFonts w:eastAsia="仿宋_GB2312" w:cs="Times New Roman"/>
          <w:color w:val="000000" w:themeColor="text1"/>
          <w14:textFill>
            <w14:solidFill>
              <w14:schemeClr w14:val="tx1"/>
            </w14:solidFill>
          </w14:textFill>
        </w:rPr>
        <w:fldChar w:fldCharType="end"/>
      </w:r>
      <w:bookmarkEnd w:id="218"/>
      <w:r>
        <w:rPr>
          <w:rFonts w:eastAsia="仿宋_GB2312" w:cs="Times New Roman"/>
          <w:color w:val="000000" w:themeColor="text1"/>
          <w14:textFill>
            <w14:solidFill>
              <w14:schemeClr w14:val="tx1"/>
            </w14:solidFill>
          </w14:textFill>
        </w:rPr>
        <w:t>崇阳县私人充电桩规划统计表</w:t>
      </w:r>
    </w:p>
    <w:tbl>
      <w:tblPr>
        <w:tblStyle w:val="76"/>
        <w:tblW w:w="83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271"/>
        <w:gridCol w:w="1208"/>
        <w:gridCol w:w="1208"/>
        <w:gridCol w:w="1208"/>
        <w:gridCol w:w="1208"/>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2271"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名称</w:t>
            </w:r>
          </w:p>
        </w:tc>
        <w:tc>
          <w:tcPr>
            <w:tcW w:w="1208"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2022</w:t>
            </w:r>
          </w:p>
        </w:tc>
        <w:tc>
          <w:tcPr>
            <w:tcW w:w="1208"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2023</w:t>
            </w:r>
          </w:p>
        </w:tc>
        <w:tc>
          <w:tcPr>
            <w:tcW w:w="1208"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2024</w:t>
            </w:r>
          </w:p>
        </w:tc>
        <w:tc>
          <w:tcPr>
            <w:tcW w:w="1208"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2025</w:t>
            </w:r>
          </w:p>
        </w:tc>
        <w:tc>
          <w:tcPr>
            <w:tcW w:w="1208" w:type="dxa"/>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十四五汇总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271"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小区自用桩（7kW）</w:t>
            </w:r>
          </w:p>
        </w:tc>
        <w:tc>
          <w:tcPr>
            <w:tcW w:w="1208"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等线" w:cs="Times New Roman"/>
                <w:color w:val="000000"/>
                <w:sz w:val="22"/>
                <w:szCs w:val="22"/>
              </w:rPr>
              <w:t>123</w:t>
            </w:r>
          </w:p>
        </w:tc>
        <w:tc>
          <w:tcPr>
            <w:tcW w:w="1208"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等线" w:cs="Times New Roman"/>
                <w:color w:val="000000"/>
                <w:sz w:val="22"/>
                <w:szCs w:val="22"/>
              </w:rPr>
              <w:t>161</w:t>
            </w:r>
          </w:p>
        </w:tc>
        <w:tc>
          <w:tcPr>
            <w:tcW w:w="1208"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等线" w:cs="Times New Roman"/>
                <w:color w:val="000000"/>
                <w:sz w:val="22"/>
                <w:szCs w:val="22"/>
              </w:rPr>
              <w:t>199</w:t>
            </w:r>
          </w:p>
        </w:tc>
        <w:tc>
          <w:tcPr>
            <w:tcW w:w="1208"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等线" w:cs="Times New Roman"/>
                <w:color w:val="000000"/>
                <w:sz w:val="22"/>
                <w:szCs w:val="22"/>
              </w:rPr>
              <w:t>251</w:t>
            </w:r>
          </w:p>
        </w:tc>
        <w:tc>
          <w:tcPr>
            <w:tcW w:w="1208" w:type="dxa"/>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734</w:t>
            </w:r>
          </w:p>
        </w:tc>
      </w:tr>
    </w:tbl>
    <w:p>
      <w:pPr>
        <w:pStyle w:val="4"/>
        <w:spacing w:before="312" w:beforeLines="100"/>
        <w:rPr>
          <w:rFonts w:eastAsia="仿宋_GB2312"/>
        </w:rPr>
      </w:pPr>
      <w:bookmarkStart w:id="219" w:name="_Toc117243227"/>
      <w:bookmarkStart w:id="220" w:name="OLE_LINK8"/>
      <w:r>
        <w:rPr>
          <w:rFonts w:eastAsia="仿宋_GB2312"/>
        </w:rPr>
        <w:t>通山县充电设施布局</w:t>
      </w:r>
      <w:bookmarkEnd w:id="219"/>
    </w:p>
    <w:bookmarkEnd w:id="220"/>
    <w:p>
      <w:pPr>
        <w:adjustRightInd w:val="0"/>
        <w:snapToGrid w:val="0"/>
        <w:ind w:firstLine="560"/>
        <w:rPr>
          <w:rFonts w:eastAsia="仿宋_GB2312" w:cs="Times New Roman"/>
        </w:rPr>
      </w:pPr>
      <w:r>
        <w:rPr>
          <w:rFonts w:eastAsia="仿宋_GB2312" w:cs="Times New Roman"/>
        </w:rPr>
        <w:t>本次规划，十四五期间通山县共规划建设外部公共充电桩236个，小区公用充电桩170个；物流充电桩20个，环卫充电桩</w:t>
      </w:r>
      <w:r>
        <w:rPr>
          <w:rFonts w:hint="eastAsia" w:eastAsia="仿宋_GB2312" w:cs="Times New Roman"/>
        </w:rPr>
        <w:t>12</w:t>
      </w:r>
      <w:r>
        <w:rPr>
          <w:rFonts w:eastAsia="仿宋_GB2312" w:cs="Times New Roman"/>
        </w:rPr>
        <w:t>个，公务车充电桩</w:t>
      </w:r>
      <w:r>
        <w:rPr>
          <w:rFonts w:hint="eastAsia" w:eastAsia="仿宋_GB2312" w:cs="Times New Roman"/>
        </w:rPr>
        <w:t>2</w:t>
      </w:r>
      <w:r>
        <w:rPr>
          <w:rFonts w:eastAsia="仿宋_GB2312" w:cs="Times New Roman"/>
        </w:rPr>
        <w:t>4个；小区自用充电桩672个。</w:t>
      </w:r>
    </w:p>
    <w:p>
      <w:pPr>
        <w:pStyle w:val="5"/>
        <w:adjustRightInd w:val="0"/>
        <w:snapToGrid w:val="0"/>
        <w:spacing w:before="156" w:beforeLines="50"/>
        <w:ind w:firstLine="284"/>
        <w:rPr>
          <w:rFonts w:eastAsia="仿宋_GB2312" w:cs="Times New Roman"/>
        </w:rPr>
      </w:pPr>
      <w:r>
        <w:rPr>
          <w:rFonts w:eastAsia="仿宋_GB2312" w:cs="Times New Roman"/>
        </w:rPr>
        <w:t>专用充电设施</w:t>
      </w:r>
    </w:p>
    <w:p>
      <w:pPr>
        <w:adjustRightInd w:val="0"/>
        <w:snapToGrid w:val="0"/>
        <w:ind w:firstLine="562"/>
        <w:rPr>
          <w:rFonts w:eastAsia="仿宋_GB2312" w:cs="Times New Roman"/>
          <w:b/>
          <w:bCs/>
        </w:rPr>
      </w:pPr>
      <w:r>
        <w:rPr>
          <w:rFonts w:eastAsia="仿宋_GB2312" w:cs="Times New Roman"/>
          <w:b/>
          <w:bCs/>
        </w:rPr>
        <w:t>1.物流专用网络</w:t>
      </w:r>
    </w:p>
    <w:p>
      <w:pPr>
        <w:adjustRightInd w:val="0"/>
        <w:snapToGrid w:val="0"/>
        <w:ind w:firstLine="560"/>
        <w:rPr>
          <w:rFonts w:eastAsia="仿宋_GB2312" w:cs="Times New Roman"/>
        </w:rPr>
      </w:pPr>
      <w:r>
        <w:rPr>
          <w:rFonts w:eastAsia="仿宋_GB2312" w:cs="Times New Roman"/>
        </w:rPr>
        <w:t>十四五期间，为满足城市物流专用车辆的专用充电需求，选址各物流中心、物流有限公司等适宜地点规划新建物流车专用充电站。通山县物流车充电站布局情况如</w:t>
      </w:r>
      <w:r>
        <w:rPr>
          <w:rFonts w:eastAsia="仿宋_GB2312" w:cs="Times New Roman"/>
        </w:rPr>
        <w:fldChar w:fldCharType="begin"/>
      </w:r>
      <w:r>
        <w:rPr>
          <w:rFonts w:eastAsia="仿宋_GB2312" w:cs="Times New Roman"/>
        </w:rPr>
        <w:instrText xml:space="preserve"> REF _Ref112167195 \h  \* MERGEFORMAT </w:instrText>
      </w:r>
      <w:r>
        <w:rPr>
          <w:rFonts w:eastAsia="仿宋_GB2312" w:cs="Times New Roman"/>
        </w:rPr>
        <w:fldChar w:fldCharType="separate"/>
      </w:r>
      <w:r>
        <w:rPr>
          <w:rFonts w:eastAsia="仿宋_GB2312" w:cs="Times New Roman"/>
        </w:rPr>
        <w:t>图4</w:t>
      </w:r>
      <w:r>
        <w:rPr>
          <w:rFonts w:eastAsia="仿宋_GB2312" w:cs="Times New Roman"/>
        </w:rPr>
        <w:noBreakHyphen/>
      </w:r>
      <w:r>
        <w:rPr>
          <w:rFonts w:eastAsia="仿宋_GB2312" w:cs="Times New Roman"/>
        </w:rPr>
        <w:t>108</w:t>
      </w:r>
      <w:r>
        <w:rPr>
          <w:rFonts w:eastAsia="仿宋_GB2312" w:cs="Times New Roman"/>
        </w:rPr>
        <w:fldChar w:fldCharType="end"/>
      </w:r>
      <w:r>
        <w:rPr>
          <w:rFonts w:eastAsia="仿宋_GB2312" w:cs="Times New Roman"/>
        </w:rPr>
        <w:t>所示，至2025年，通山县共新建物流车专用充电站1座，20个充电桩。</w:t>
      </w:r>
    </w:p>
    <w:p>
      <w:pPr>
        <w:adjustRightInd w:val="0"/>
        <w:snapToGrid w:val="0"/>
        <w:ind w:firstLine="560"/>
        <w:rPr>
          <w:rFonts w:eastAsia="仿宋_GB2312" w:cs="Times New Roman"/>
        </w:rPr>
      </w:pPr>
      <w:r>
        <w:rPr>
          <w:rFonts w:eastAsia="仿宋_GB2312" w:cs="Times New Roman"/>
        </w:rPr>
        <w:t>（1）通山县科奥充电站，位于通山县科奥产业园，新建10台120kW一机两枪直流充电桩。</w:t>
      </w:r>
    </w:p>
    <w:p>
      <w:pPr>
        <w:adjustRightInd w:val="0"/>
        <w:snapToGrid w:val="0"/>
        <w:ind w:firstLine="560"/>
        <w:rPr>
          <w:rFonts w:eastAsia="仿宋_GB2312" w:cs="Times New Roman"/>
        </w:rPr>
      </w:pPr>
    </w:p>
    <w:p>
      <w:pPr>
        <w:pStyle w:val="19"/>
        <w:ind w:firstLine="560"/>
        <w:rPr>
          <w:rFonts w:eastAsia="仿宋_GB2312" w:cs="Times New Roman"/>
        </w:rPr>
      </w:pPr>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35</w:t>
      </w:r>
      <w:r>
        <w:rPr>
          <w:rFonts w:eastAsia="仿宋_GB2312" w:cs="Times New Roman"/>
        </w:rPr>
        <w:fldChar w:fldCharType="end"/>
      </w:r>
      <w:r>
        <w:rPr>
          <w:rFonts w:eastAsia="仿宋_GB2312" w:cs="Times New Roman"/>
        </w:rPr>
        <w:t>通山县物流充电站布局规划表</w:t>
      </w:r>
    </w:p>
    <w:tbl>
      <w:tblPr>
        <w:tblStyle w:val="76"/>
        <w:tblW w:w="83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39"/>
        <w:gridCol w:w="1956"/>
        <w:gridCol w:w="1936"/>
        <w:gridCol w:w="1337"/>
        <w:gridCol w:w="1146"/>
        <w:gridCol w:w="10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939"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1956"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936"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1337"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1146"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1049"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1956"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通山县科奥充电站</w:t>
            </w:r>
          </w:p>
        </w:tc>
        <w:tc>
          <w:tcPr>
            <w:tcW w:w="1936" w:type="dxa"/>
            <w:shd w:val="clear" w:color="auto" w:fill="auto"/>
            <w:vAlign w:val="bottom"/>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通山县科奥产业园</w:t>
            </w:r>
          </w:p>
        </w:tc>
        <w:tc>
          <w:tcPr>
            <w:tcW w:w="133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1146"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104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1956"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936"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33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146"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w:t>
            </w:r>
          </w:p>
        </w:tc>
        <w:tc>
          <w:tcPr>
            <w:tcW w:w="104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ind w:firstLine="0" w:firstLineChars="0"/>
        <w:rPr>
          <w:rFonts w:eastAsia="仿宋_GB2312" w:cs="Times New Roman"/>
        </w:rPr>
      </w:pPr>
      <w:r>
        <w:rPr>
          <w:rFonts w:eastAsia="仿宋_GB2312" w:cs="Times New Roman"/>
        </w:rPr>
        <w:drawing>
          <wp:inline distT="0" distB="0" distL="114300" distR="114300">
            <wp:extent cx="5272405" cy="3342640"/>
            <wp:effectExtent l="0" t="0" r="4445" b="10160"/>
            <wp:docPr id="3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true"/>
                    </pic:cNvPicPr>
                  </pic:nvPicPr>
                  <pic:blipFill>
                    <a:blip r:embed="rId223"/>
                    <a:stretch>
                      <a:fillRect/>
                    </a:stretch>
                  </pic:blipFill>
                  <pic:spPr>
                    <a:xfrm>
                      <a:off x="0" y="0"/>
                      <a:ext cx="5272405" cy="3342640"/>
                    </a:xfrm>
                    <a:prstGeom prst="rect">
                      <a:avLst/>
                    </a:prstGeom>
                    <a:noFill/>
                    <a:ln>
                      <a:noFill/>
                    </a:ln>
                  </pic:spPr>
                </pic:pic>
              </a:graphicData>
            </a:graphic>
          </wp:inline>
        </w:drawing>
      </w:r>
    </w:p>
    <w:p>
      <w:pPr>
        <w:pStyle w:val="19"/>
        <w:rPr>
          <w:rFonts w:eastAsia="仿宋_GB2312" w:cs="Times New Roman"/>
        </w:rPr>
      </w:pPr>
      <w:bookmarkStart w:id="221" w:name="_Ref112167195"/>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108</w:t>
      </w:r>
      <w:r>
        <w:rPr>
          <w:rFonts w:eastAsia="仿宋_GB2312" w:cs="Times New Roman"/>
        </w:rPr>
        <w:fldChar w:fldCharType="end"/>
      </w:r>
      <w:bookmarkEnd w:id="221"/>
      <w:r>
        <w:rPr>
          <w:rFonts w:eastAsia="仿宋_GB2312" w:cs="Times New Roman"/>
        </w:rPr>
        <w:t>通山县物流充电站布点图</w:t>
      </w:r>
    </w:p>
    <w:p>
      <w:pPr>
        <w:pStyle w:val="173"/>
        <w:spacing w:before="156" w:beforeLines="50"/>
        <w:ind w:firstLine="562"/>
        <w:rPr>
          <w:rFonts w:ascii="Times New Roman" w:hAnsi="Times New Roman" w:cs="Times New Roman"/>
          <w:b/>
          <w:bCs/>
          <w:color w:val="auto"/>
        </w:rPr>
      </w:pPr>
      <w:r>
        <w:rPr>
          <w:rFonts w:ascii="Times New Roman" w:hAnsi="Times New Roman" w:cs="Times New Roman"/>
          <w:b/>
          <w:bCs/>
          <w:color w:val="auto"/>
        </w:rPr>
        <w:t>（2）环卫专用网络</w:t>
      </w:r>
    </w:p>
    <w:p>
      <w:pPr>
        <w:adjustRightInd w:val="0"/>
        <w:snapToGrid w:val="0"/>
        <w:ind w:firstLine="560"/>
        <w:rPr>
          <w:rFonts w:eastAsia="仿宋_GB2312" w:cs="Times New Roman"/>
        </w:rPr>
      </w:pPr>
      <w:r>
        <w:rPr>
          <w:rFonts w:eastAsia="仿宋_GB2312" w:cs="Times New Roman"/>
        </w:rPr>
        <w:t>十四五期间，通山县环卫车充电站布局情况如下表所示，至2025年，通山县共有环卫车专用充电站1座，12个充电桩。</w:t>
      </w:r>
    </w:p>
    <w:p>
      <w:pPr>
        <w:adjustRightInd w:val="0"/>
        <w:snapToGrid w:val="0"/>
        <w:ind w:firstLine="560"/>
        <w:rPr>
          <w:rFonts w:eastAsia="仿宋_GB2312" w:cs="Times New Roman"/>
        </w:rPr>
      </w:pPr>
      <w:r>
        <w:rPr>
          <w:rFonts w:eastAsia="仿宋_GB2312" w:cs="Times New Roman"/>
        </w:rPr>
        <w:t>（1）通山县工业路环卫停车场充电站，位于通山县振新巷与洋都大道交叉口西北50米，新建6台120kW一机两枪直流充电桩。</w:t>
      </w:r>
    </w:p>
    <w:p>
      <w:pPr>
        <w:pStyle w:val="19"/>
        <w:ind w:firstLine="560"/>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36</w:t>
      </w:r>
      <w:r>
        <w:rPr>
          <w:rFonts w:eastAsia="仿宋_GB2312" w:cs="Times New Roman"/>
        </w:rPr>
        <w:fldChar w:fldCharType="end"/>
      </w:r>
      <w:r>
        <w:rPr>
          <w:rFonts w:eastAsia="仿宋_GB2312" w:cs="Times New Roman"/>
        </w:rPr>
        <w:t>通山县环卫充电站布局规划表</w:t>
      </w:r>
    </w:p>
    <w:tbl>
      <w:tblPr>
        <w:tblStyle w:val="76"/>
        <w:tblW w:w="83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39"/>
        <w:gridCol w:w="2075"/>
        <w:gridCol w:w="1818"/>
        <w:gridCol w:w="1337"/>
        <w:gridCol w:w="1146"/>
        <w:gridCol w:w="1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939"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2075"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1818"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1337"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1146"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1048"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通山县工业路环卫停车场充电站</w:t>
            </w:r>
          </w:p>
        </w:tc>
        <w:tc>
          <w:tcPr>
            <w:tcW w:w="181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通山县振新巷与洋都大道交叉口西北50米</w:t>
            </w:r>
          </w:p>
        </w:tc>
        <w:tc>
          <w:tcPr>
            <w:tcW w:w="133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1146"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81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33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146"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12</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114300" distR="114300">
            <wp:extent cx="5273040" cy="3059430"/>
            <wp:effectExtent l="0" t="0" r="3810" b="7620"/>
            <wp:docPr id="7196"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96" name="图片 2"/>
                    <pic:cNvPicPr>
                      <a:picLocks noChangeAspect="true"/>
                    </pic:cNvPicPr>
                  </pic:nvPicPr>
                  <pic:blipFill>
                    <a:blip r:embed="rId224"/>
                    <a:stretch>
                      <a:fillRect/>
                    </a:stretch>
                  </pic:blipFill>
                  <pic:spPr>
                    <a:xfrm>
                      <a:off x="0" y="0"/>
                      <a:ext cx="5273040" cy="3059430"/>
                    </a:xfrm>
                    <a:prstGeom prst="rect">
                      <a:avLst/>
                    </a:prstGeom>
                    <a:noFill/>
                    <a:ln>
                      <a:noFill/>
                    </a:ln>
                  </pic:spPr>
                </pic:pic>
              </a:graphicData>
            </a:graphic>
          </wp:inline>
        </w:drawing>
      </w:r>
    </w:p>
    <w:p>
      <w:pPr>
        <w:pStyle w:val="19"/>
        <w:rPr>
          <w:rFonts w:eastAsia="仿宋_GB2312" w:cs="Times New Roman"/>
          <w:bCs/>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109</w:t>
      </w:r>
      <w:r>
        <w:rPr>
          <w:rFonts w:eastAsia="仿宋_GB2312" w:cs="Times New Roman"/>
        </w:rPr>
        <w:fldChar w:fldCharType="end"/>
      </w:r>
      <w:r>
        <w:rPr>
          <w:rFonts w:eastAsia="仿宋_GB2312" w:cs="Times New Roman"/>
        </w:rPr>
        <w:t>通山县环卫充电站布点图</w:t>
      </w:r>
    </w:p>
    <w:p>
      <w:pPr>
        <w:ind w:firstLine="562"/>
        <w:rPr>
          <w:rFonts w:eastAsia="仿宋_GB2312" w:cs="Times New Roman"/>
        </w:rPr>
      </w:pPr>
      <w:r>
        <w:rPr>
          <w:rFonts w:eastAsia="仿宋_GB2312" w:cs="Times New Roman"/>
          <w:b/>
          <w:bCs/>
        </w:rPr>
        <w:t>3.公交专用网络</w:t>
      </w:r>
    </w:p>
    <w:p>
      <w:pPr>
        <w:adjustRightInd w:val="0"/>
        <w:snapToGrid w:val="0"/>
        <w:ind w:firstLine="560"/>
        <w:rPr>
          <w:rFonts w:eastAsia="仿宋_GB2312" w:cs="Times New Roman"/>
        </w:rPr>
      </w:pPr>
      <w:r>
        <w:rPr>
          <w:rFonts w:eastAsia="仿宋_GB2312" w:cs="Times New Roman"/>
        </w:rPr>
        <w:t>通山县新能源公交布局超前，现有的新能源充电桩已经完全满足通山县新能源公交充电需求，十四五期间</w:t>
      </w:r>
      <w:r>
        <w:rPr>
          <w:rFonts w:hint="eastAsia" w:eastAsia="仿宋_GB2312" w:cs="Times New Roman"/>
        </w:rPr>
        <w:t>新增新能源公交车充电设施</w:t>
      </w:r>
      <w:r>
        <w:rPr>
          <w:rFonts w:eastAsia="仿宋_GB2312" w:cs="Times New Roman"/>
        </w:rPr>
        <w:t>。</w:t>
      </w:r>
    </w:p>
    <w:p>
      <w:pPr>
        <w:ind w:firstLine="562"/>
        <w:rPr>
          <w:rFonts w:eastAsia="仿宋_GB2312" w:cs="Times New Roman"/>
          <w:b/>
          <w:bCs/>
        </w:rPr>
      </w:pPr>
      <w:r>
        <w:rPr>
          <w:rFonts w:eastAsia="仿宋_GB2312" w:cs="Times New Roman"/>
          <w:b/>
          <w:bCs/>
        </w:rPr>
        <w:t>4公务专用网络</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通山县公务车充电站规划建设在政府部门及事业单位内部停车场内，至2025年，规划新建24个充电桩。通山县公务车充电桩规划统计表见</w:t>
      </w:r>
      <w:r>
        <w:rPr>
          <w:rFonts w:eastAsia="仿宋_GB2312" w:cs="Times New Roman"/>
          <w:color w:val="000000" w:themeColor="text1"/>
          <w14:textFill>
            <w14:solidFill>
              <w14:schemeClr w14:val="tx1"/>
            </w14:solidFill>
          </w14:textFill>
        </w:rPr>
        <w:fldChar w:fldCharType="begin"/>
      </w:r>
      <w:r>
        <w:rPr>
          <w:rFonts w:eastAsia="仿宋_GB2312" w:cs="Times New Roman"/>
          <w:color w:val="000000" w:themeColor="text1"/>
          <w14:textFill>
            <w14:solidFill>
              <w14:schemeClr w14:val="tx1"/>
            </w14:solidFill>
          </w14:textFill>
        </w:rPr>
        <w:instrText xml:space="preserve"> REF _Ref112167524 \h  \* MERGEFORMAT </w:instrText>
      </w:r>
      <w:r>
        <w:rPr>
          <w:rFonts w:eastAsia="仿宋_GB2312" w:cs="Times New Roman"/>
          <w:color w:val="000000" w:themeColor="text1"/>
          <w14:textFill>
            <w14:solidFill>
              <w14:schemeClr w14:val="tx1"/>
            </w14:solidFill>
          </w14:textFill>
        </w:rPr>
        <w:fldChar w:fldCharType="separate"/>
      </w:r>
      <w:r>
        <w:rPr>
          <w:rFonts w:eastAsia="仿宋_GB2312" w:cs="Times New Roman"/>
        </w:rPr>
        <w:t>表4</w:t>
      </w:r>
      <w:r>
        <w:rPr>
          <w:rFonts w:eastAsia="仿宋_GB2312" w:cs="Times New Roman"/>
        </w:rPr>
        <w:noBreakHyphen/>
      </w:r>
      <w:r>
        <w:rPr>
          <w:rFonts w:eastAsia="仿宋_GB2312" w:cs="Times New Roman"/>
        </w:rPr>
        <w:t>37</w:t>
      </w:r>
      <w:r>
        <w:rPr>
          <w:rFonts w:eastAsia="仿宋_GB2312" w:cs="Times New Roman"/>
          <w:color w:val="000000" w:themeColor="text1"/>
          <w14:textFill>
            <w14:solidFill>
              <w14:schemeClr w14:val="tx1"/>
            </w14:solidFill>
          </w14:textFill>
        </w:rPr>
        <w:fldChar w:fldCharType="end"/>
      </w:r>
      <w:r>
        <w:rPr>
          <w:rFonts w:eastAsia="仿宋_GB2312" w:cs="Times New Roman"/>
          <w:color w:val="000000" w:themeColor="text1"/>
          <w14:textFill>
            <w14:solidFill>
              <w14:schemeClr w14:val="tx1"/>
            </w14:solidFill>
          </w14:textFill>
        </w:rPr>
        <w:t>所示。</w:t>
      </w:r>
    </w:p>
    <w:p>
      <w:pPr>
        <w:numPr>
          <w:ilvl w:val="0"/>
          <w:numId w:val="18"/>
        </w:numPr>
        <w:adjustRightInd w:val="0"/>
        <w:snapToGrid w:val="0"/>
        <w:ind w:firstLine="560"/>
        <w:rPr>
          <w:rFonts w:eastAsia="仿宋_GB2312" w:cs="Times New Roman"/>
        </w:rPr>
      </w:pPr>
      <w:r>
        <w:rPr>
          <w:rFonts w:eastAsia="仿宋_GB2312" w:cs="Times New Roman"/>
        </w:rPr>
        <w:t>通山县文体中心充电站，位于振新国际学校西南侧，新建4台120kW一机两枪直流充电桩。</w:t>
      </w:r>
    </w:p>
    <w:p>
      <w:pPr>
        <w:ind w:firstLine="0" w:firstLineChars="0"/>
        <w:jc w:val="center"/>
        <w:rPr>
          <w:rFonts w:eastAsia="仿宋_GB2312" w:cs="Times New Roman"/>
        </w:rPr>
      </w:pPr>
      <w:r>
        <w:rPr>
          <w:rFonts w:eastAsia="仿宋_GB2312" w:cs="Times New Roman"/>
        </w:rPr>
        <w:drawing>
          <wp:inline distT="0" distB="0" distL="114300" distR="114300">
            <wp:extent cx="5044440" cy="2327910"/>
            <wp:effectExtent l="0" t="0" r="3810" b="0"/>
            <wp:docPr id="7197" name="图片 7197" descr="5682d5f2d165ea64f25d58a751e3b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97" name="图片 7197" descr="5682d5f2d165ea64f25d58a751e3b18"/>
                    <pic:cNvPicPr>
                      <a:picLocks noChangeAspect="true"/>
                    </pic:cNvPicPr>
                  </pic:nvPicPr>
                  <pic:blipFill>
                    <a:blip r:embed="rId225"/>
                    <a:stretch>
                      <a:fillRect/>
                    </a:stretch>
                  </pic:blipFill>
                  <pic:spPr>
                    <a:xfrm>
                      <a:off x="0" y="0"/>
                      <a:ext cx="5049669" cy="2330616"/>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110</w:t>
      </w:r>
      <w:r>
        <w:rPr>
          <w:rFonts w:eastAsia="仿宋_GB2312" w:cs="Times New Roman"/>
        </w:rPr>
        <w:fldChar w:fldCharType="end"/>
      </w:r>
      <w:r>
        <w:rPr>
          <w:rFonts w:eastAsia="仿宋_GB2312" w:cs="Times New Roman"/>
        </w:rPr>
        <w:t>通山县文体中心充电站</w:t>
      </w:r>
    </w:p>
    <w:p>
      <w:pPr>
        <w:numPr>
          <w:ilvl w:val="0"/>
          <w:numId w:val="18"/>
        </w:numPr>
        <w:adjustRightInd w:val="0"/>
        <w:snapToGrid w:val="0"/>
        <w:ind w:firstLine="560"/>
        <w:rPr>
          <w:rFonts w:eastAsia="仿宋_GB2312" w:cs="Times New Roman"/>
        </w:rPr>
      </w:pPr>
      <w:r>
        <w:rPr>
          <w:rFonts w:eastAsia="仿宋_GB2312" w:cs="Times New Roman"/>
        </w:rPr>
        <w:t>通山县开发区管理委员会充电站，位于通山县凝香花都南侧约200米，新建4台120kW一机两枪直流充电桩。</w:t>
      </w:r>
    </w:p>
    <w:p>
      <w:pPr>
        <w:ind w:firstLine="0" w:firstLineChars="0"/>
        <w:rPr>
          <w:rFonts w:eastAsia="仿宋_GB2312" w:cs="Times New Roman"/>
        </w:rPr>
      </w:pPr>
      <w:r>
        <w:rPr>
          <w:rFonts w:eastAsia="仿宋_GB2312" w:cs="Times New Roman"/>
        </w:rPr>
        <w:drawing>
          <wp:inline distT="0" distB="0" distL="114300" distR="114300">
            <wp:extent cx="5266690" cy="2430780"/>
            <wp:effectExtent l="0" t="0" r="3810" b="7620"/>
            <wp:docPr id="7198" name="图片 7198" descr="df7b40365b4ed5d55cb2e0df26761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98" name="图片 7198" descr="df7b40365b4ed5d55cb2e0df2676179"/>
                    <pic:cNvPicPr>
                      <a:picLocks noChangeAspect="true"/>
                    </pic:cNvPicPr>
                  </pic:nvPicPr>
                  <pic:blipFill>
                    <a:blip r:embed="rId226"/>
                    <a:stretch>
                      <a:fillRect/>
                    </a:stretch>
                  </pic:blipFill>
                  <pic:spPr>
                    <a:xfrm>
                      <a:off x="0" y="0"/>
                      <a:ext cx="5266690" cy="2430780"/>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111</w:t>
      </w:r>
      <w:r>
        <w:rPr>
          <w:rFonts w:eastAsia="仿宋_GB2312" w:cs="Times New Roman"/>
        </w:rPr>
        <w:fldChar w:fldCharType="end"/>
      </w:r>
      <w:r>
        <w:rPr>
          <w:rFonts w:eastAsia="仿宋_GB2312" w:cs="Times New Roman"/>
        </w:rPr>
        <w:t>通山县开发区管理委员会充电站</w:t>
      </w:r>
    </w:p>
    <w:p>
      <w:pPr>
        <w:numPr>
          <w:ilvl w:val="0"/>
          <w:numId w:val="18"/>
        </w:numPr>
        <w:adjustRightInd w:val="0"/>
        <w:snapToGrid w:val="0"/>
        <w:ind w:firstLine="560"/>
        <w:rPr>
          <w:rFonts w:eastAsia="仿宋_GB2312" w:cs="Times New Roman"/>
        </w:rPr>
      </w:pPr>
      <w:r>
        <w:rPr>
          <w:rFonts w:eastAsia="仿宋_GB2312" w:cs="Times New Roman"/>
        </w:rPr>
        <w:t>通山县县财政局充电站，位于通羊镇洋都大道通山一中西侧，新建4台120kW一机两枪直流充电桩。</w:t>
      </w:r>
    </w:p>
    <w:p>
      <w:pPr>
        <w:pStyle w:val="19"/>
        <w:rPr>
          <w:rFonts w:eastAsia="仿宋_GB2312" w:cs="Times New Roman"/>
        </w:rPr>
      </w:pPr>
      <w:bookmarkStart w:id="222" w:name="_Ref112167524"/>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37</w:t>
      </w:r>
      <w:r>
        <w:rPr>
          <w:rFonts w:eastAsia="仿宋_GB2312" w:cs="Times New Roman"/>
        </w:rPr>
        <w:fldChar w:fldCharType="end"/>
      </w:r>
      <w:bookmarkEnd w:id="222"/>
      <w:r>
        <w:rPr>
          <w:rFonts w:eastAsia="仿宋_GB2312" w:cs="Times New Roman"/>
        </w:rPr>
        <w:t>通山县公务充电站布局规划表</w:t>
      </w:r>
    </w:p>
    <w:tbl>
      <w:tblPr>
        <w:tblStyle w:val="76"/>
        <w:tblW w:w="83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39"/>
        <w:gridCol w:w="2075"/>
        <w:gridCol w:w="2373"/>
        <w:gridCol w:w="1031"/>
        <w:gridCol w:w="897"/>
        <w:gridCol w:w="1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939"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序号</w:t>
            </w:r>
          </w:p>
        </w:tc>
        <w:tc>
          <w:tcPr>
            <w:tcW w:w="2075"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名称</w:t>
            </w:r>
          </w:p>
        </w:tc>
        <w:tc>
          <w:tcPr>
            <w:tcW w:w="2373"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地理位置</w:t>
            </w:r>
          </w:p>
        </w:tc>
        <w:tc>
          <w:tcPr>
            <w:tcW w:w="1031"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实施类型</w:t>
            </w:r>
          </w:p>
        </w:tc>
        <w:tc>
          <w:tcPr>
            <w:tcW w:w="897"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充电桩数</w:t>
            </w:r>
          </w:p>
        </w:tc>
        <w:tc>
          <w:tcPr>
            <w:tcW w:w="1048" w:type="dxa"/>
            <w:shd w:val="clear" w:color="auto" w:fill="auto"/>
            <w:vAlign w:val="center"/>
          </w:tcPr>
          <w:p>
            <w:pPr>
              <w:widowControl/>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szCs w:val="21"/>
              </w:rPr>
              <w:t>规划</w:t>
            </w:r>
            <w:r>
              <w:rPr>
                <w:rFonts w:eastAsia="仿宋_GB2312" w:cs="Times New Roman"/>
                <w:b/>
                <w:bCs/>
                <w:color w:val="000000"/>
                <w:kern w:val="0"/>
                <w:sz w:val="21"/>
              </w:rPr>
              <w:t>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通山县文体中心充电站</w:t>
            </w:r>
          </w:p>
        </w:tc>
        <w:tc>
          <w:tcPr>
            <w:tcW w:w="2373"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振新国际学校西南侧</w:t>
            </w:r>
          </w:p>
        </w:tc>
        <w:tc>
          <w:tcPr>
            <w:tcW w:w="1031"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89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通山县开发区管理委员会充电站</w:t>
            </w:r>
          </w:p>
        </w:tc>
        <w:tc>
          <w:tcPr>
            <w:tcW w:w="2373"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通山县凝香花都南侧约200米</w:t>
            </w:r>
          </w:p>
        </w:tc>
        <w:tc>
          <w:tcPr>
            <w:tcW w:w="1031"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89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3</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通山县县财政局充电站</w:t>
            </w:r>
          </w:p>
        </w:tc>
        <w:tc>
          <w:tcPr>
            <w:tcW w:w="2373"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通羊镇洋都大道通山一中西侧</w:t>
            </w:r>
          </w:p>
        </w:tc>
        <w:tc>
          <w:tcPr>
            <w:tcW w:w="1031"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规划</w:t>
            </w:r>
          </w:p>
        </w:tc>
        <w:tc>
          <w:tcPr>
            <w:tcW w:w="89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39"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汇总</w:t>
            </w:r>
          </w:p>
        </w:tc>
        <w:tc>
          <w:tcPr>
            <w:tcW w:w="2075"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2373"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1031"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c>
          <w:tcPr>
            <w:tcW w:w="897"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24</w:t>
            </w:r>
          </w:p>
        </w:tc>
        <w:tc>
          <w:tcPr>
            <w:tcW w:w="1048" w:type="dxa"/>
            <w:shd w:val="clear" w:color="auto" w:fill="auto"/>
            <w:vAlign w:val="center"/>
          </w:tcPr>
          <w:p>
            <w:pPr>
              <w:widowControl/>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343910"/>
            <wp:effectExtent l="0" t="0" r="2540" b="8890"/>
            <wp:docPr id="190" name="图片 19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true"/>
                    </pic:cNvPicPr>
                  </pic:nvPicPr>
                  <pic:blipFill>
                    <a:blip r:embed="rId227"/>
                    <a:stretch>
                      <a:fillRect/>
                    </a:stretch>
                  </pic:blipFill>
                  <pic:spPr>
                    <a:xfrm>
                      <a:off x="0" y="0"/>
                      <a:ext cx="5274310" cy="3343910"/>
                    </a:xfrm>
                    <a:prstGeom prst="rect">
                      <a:avLst/>
                    </a:prstGeom>
                  </pic:spPr>
                </pic:pic>
              </a:graphicData>
            </a:graphic>
          </wp:inline>
        </w:drawing>
      </w:r>
    </w:p>
    <w:p>
      <w:pPr>
        <w:pStyle w:val="19"/>
        <w:rPr>
          <w:rFonts w:eastAsia="仿宋_GB2312" w:cs="Times New Roman"/>
        </w:rPr>
      </w:pPr>
      <w:r>
        <w:rPr>
          <w:rFonts w:eastAsia="仿宋_GB2312" w:cs="Times New Roman"/>
          <w:szCs w:val="16"/>
        </w:rPr>
        <w:t xml:space="preserve">图 </w:t>
      </w:r>
      <w:r>
        <w:rPr>
          <w:rFonts w:eastAsia="仿宋_GB2312" w:cs="Times New Roman"/>
          <w:szCs w:val="16"/>
        </w:rPr>
        <w:fldChar w:fldCharType="begin"/>
      </w:r>
      <w:r>
        <w:rPr>
          <w:rFonts w:eastAsia="仿宋_GB2312" w:cs="Times New Roman"/>
          <w:szCs w:val="16"/>
        </w:rPr>
        <w:instrText xml:space="preserve"> STYLEREF 1 \s </w:instrText>
      </w:r>
      <w:r>
        <w:rPr>
          <w:rFonts w:eastAsia="仿宋_GB2312" w:cs="Times New Roman"/>
          <w:szCs w:val="16"/>
        </w:rPr>
        <w:fldChar w:fldCharType="separate"/>
      </w:r>
      <w:r>
        <w:rPr>
          <w:rFonts w:eastAsia="仿宋_GB2312" w:cs="Times New Roman"/>
          <w:szCs w:val="16"/>
        </w:rPr>
        <w:t>4</w:t>
      </w:r>
      <w:r>
        <w:rPr>
          <w:rFonts w:eastAsia="仿宋_GB2312" w:cs="Times New Roman"/>
          <w:szCs w:val="16"/>
        </w:rPr>
        <w:fldChar w:fldCharType="end"/>
      </w:r>
      <w:r>
        <w:rPr>
          <w:rFonts w:eastAsia="仿宋_GB2312" w:cs="Times New Roman"/>
          <w:szCs w:val="16"/>
        </w:rPr>
        <w:noBreakHyphen/>
      </w:r>
      <w:r>
        <w:rPr>
          <w:rFonts w:eastAsia="仿宋_GB2312" w:cs="Times New Roman"/>
          <w:szCs w:val="16"/>
        </w:rPr>
        <w:fldChar w:fldCharType="begin"/>
      </w:r>
      <w:r>
        <w:rPr>
          <w:rFonts w:eastAsia="仿宋_GB2312" w:cs="Times New Roman"/>
          <w:szCs w:val="16"/>
        </w:rPr>
        <w:instrText xml:space="preserve"> SEQ 图 \* ARABIC \s 1 </w:instrText>
      </w:r>
      <w:r>
        <w:rPr>
          <w:rFonts w:eastAsia="仿宋_GB2312" w:cs="Times New Roman"/>
          <w:szCs w:val="16"/>
        </w:rPr>
        <w:fldChar w:fldCharType="separate"/>
      </w:r>
      <w:r>
        <w:rPr>
          <w:rFonts w:eastAsia="仿宋_GB2312" w:cs="Times New Roman"/>
          <w:szCs w:val="16"/>
        </w:rPr>
        <w:t>112</w:t>
      </w:r>
      <w:r>
        <w:rPr>
          <w:rFonts w:eastAsia="仿宋_GB2312" w:cs="Times New Roman"/>
          <w:szCs w:val="16"/>
        </w:rPr>
        <w:fldChar w:fldCharType="end"/>
      </w:r>
      <w:r>
        <w:rPr>
          <w:rFonts w:eastAsia="仿宋_GB2312" w:cs="Times New Roman"/>
          <w:bCs/>
          <w:szCs w:val="21"/>
        </w:rPr>
        <w:t>通山县公务充电站布局规划图</w:t>
      </w:r>
    </w:p>
    <w:p>
      <w:pPr>
        <w:pStyle w:val="5"/>
        <w:adjustRightInd w:val="0"/>
        <w:snapToGrid w:val="0"/>
        <w:spacing w:before="156" w:beforeLines="50"/>
        <w:ind w:firstLine="284"/>
        <w:rPr>
          <w:rFonts w:eastAsia="仿宋_GB2312" w:cs="Times New Roman"/>
        </w:rPr>
      </w:pPr>
      <w:r>
        <w:rPr>
          <w:rFonts w:eastAsia="仿宋_GB2312" w:cs="Times New Roman"/>
        </w:rPr>
        <w:t>公用充电设施</w:t>
      </w:r>
    </w:p>
    <w:p>
      <w:pPr>
        <w:ind w:firstLine="562"/>
        <w:rPr>
          <w:rFonts w:eastAsia="仿宋_GB2312" w:cs="Times New Roman"/>
          <w:b/>
          <w:bCs/>
        </w:rPr>
      </w:pPr>
      <w:r>
        <w:rPr>
          <w:rFonts w:eastAsia="仿宋_GB2312" w:cs="Times New Roman"/>
          <w:b/>
          <w:bCs/>
        </w:rPr>
        <w:t>1.外部公共充电设施</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到2025年，通山县共新建外部公共充电站25座，充电桩共240台。十四五期间规划新建公共充电桩明细如</w:t>
      </w:r>
      <w:r>
        <w:rPr>
          <w:rFonts w:eastAsia="仿宋_GB2312" w:cs="Times New Roman"/>
          <w:color w:val="000000" w:themeColor="text1"/>
          <w14:textFill>
            <w14:solidFill>
              <w14:schemeClr w14:val="tx1"/>
            </w14:solidFill>
          </w14:textFill>
        </w:rPr>
        <w:fldChar w:fldCharType="begin"/>
      </w:r>
      <w:r>
        <w:rPr>
          <w:rFonts w:eastAsia="仿宋_GB2312" w:cs="Times New Roman"/>
          <w:color w:val="000000" w:themeColor="text1"/>
          <w14:textFill>
            <w14:solidFill>
              <w14:schemeClr w14:val="tx1"/>
            </w14:solidFill>
          </w14:textFill>
        </w:rPr>
        <w:instrText xml:space="preserve"> REF _Ref112167607 \h  \* MERGEFORMAT </w:instrText>
      </w:r>
      <w:r>
        <w:rPr>
          <w:rFonts w:eastAsia="仿宋_GB2312" w:cs="Times New Roman"/>
          <w:color w:val="000000" w:themeColor="text1"/>
          <w14:textFill>
            <w14:solidFill>
              <w14:schemeClr w14:val="tx1"/>
            </w14:solidFill>
          </w14:textFill>
        </w:rPr>
        <w:fldChar w:fldCharType="separate"/>
      </w:r>
      <w:r>
        <w:rPr>
          <w:rFonts w:eastAsia="仿宋_GB2312" w:cs="Times New Roman"/>
        </w:rPr>
        <w:t>表4</w:t>
      </w:r>
      <w:r>
        <w:rPr>
          <w:rFonts w:eastAsia="仿宋_GB2312" w:cs="Times New Roman"/>
        </w:rPr>
        <w:noBreakHyphen/>
      </w:r>
      <w:r>
        <w:rPr>
          <w:rFonts w:eastAsia="仿宋_GB2312" w:cs="Times New Roman"/>
        </w:rPr>
        <w:t>38</w:t>
      </w:r>
      <w:r>
        <w:rPr>
          <w:rFonts w:eastAsia="仿宋_GB2312" w:cs="Times New Roman"/>
          <w:color w:val="000000" w:themeColor="text1"/>
          <w14:textFill>
            <w14:solidFill>
              <w14:schemeClr w14:val="tx1"/>
            </w14:solidFill>
          </w14:textFill>
        </w:rPr>
        <w:fldChar w:fldCharType="end"/>
      </w:r>
      <w:r>
        <w:rPr>
          <w:rFonts w:eastAsia="仿宋_GB2312" w:cs="Times New Roman"/>
          <w:color w:val="000000" w:themeColor="text1"/>
          <w14:textFill>
            <w14:solidFill>
              <w14:schemeClr w14:val="tx1"/>
            </w14:solidFill>
          </w14:textFill>
        </w:rPr>
        <w:t>所示。</w:t>
      </w:r>
    </w:p>
    <w:p>
      <w:pPr>
        <w:numPr>
          <w:ilvl w:val="0"/>
          <w:numId w:val="19"/>
        </w:numPr>
        <w:adjustRightInd w:val="0"/>
        <w:snapToGrid w:val="0"/>
        <w:ind w:firstLine="560"/>
        <w:rPr>
          <w:rFonts w:eastAsia="仿宋_GB2312" w:cs="Times New Roman"/>
        </w:rPr>
      </w:pPr>
      <w:r>
        <w:rPr>
          <w:rFonts w:eastAsia="仿宋_GB2312" w:cs="Times New Roman"/>
        </w:rPr>
        <w:t>通山县博物馆充电站，位于通山县文博园路，新建4台120kW一机两枪直流充电桩。</w:t>
      </w:r>
    </w:p>
    <w:p>
      <w:pPr>
        <w:ind w:firstLine="0" w:firstLineChars="0"/>
        <w:rPr>
          <w:rFonts w:eastAsia="仿宋_GB2312" w:cs="Times New Roman"/>
        </w:rPr>
      </w:pPr>
      <w:r>
        <w:rPr>
          <w:rFonts w:eastAsia="仿宋_GB2312" w:cs="Times New Roman"/>
        </w:rPr>
        <w:drawing>
          <wp:inline distT="0" distB="0" distL="114300" distR="114300">
            <wp:extent cx="5266690" cy="2430780"/>
            <wp:effectExtent l="0" t="0" r="3810" b="7620"/>
            <wp:docPr id="7205" name="图片 7205" descr="a34264ba65a020533748eff7d6e2ae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05" name="图片 7205" descr="a34264ba65a020533748eff7d6e2ae5"/>
                    <pic:cNvPicPr>
                      <a:picLocks noChangeAspect="true"/>
                    </pic:cNvPicPr>
                  </pic:nvPicPr>
                  <pic:blipFill>
                    <a:blip r:embed="rId228"/>
                    <a:stretch>
                      <a:fillRect/>
                    </a:stretch>
                  </pic:blipFill>
                  <pic:spPr>
                    <a:xfrm>
                      <a:off x="0" y="0"/>
                      <a:ext cx="5266690" cy="2430780"/>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113</w:t>
      </w:r>
      <w:r>
        <w:rPr>
          <w:rFonts w:eastAsia="仿宋_GB2312" w:cs="Times New Roman"/>
        </w:rPr>
        <w:fldChar w:fldCharType="end"/>
      </w:r>
      <w:r>
        <w:rPr>
          <w:rFonts w:eastAsia="仿宋_GB2312" w:cs="Times New Roman"/>
        </w:rPr>
        <w:t>通山县博物馆充电站</w:t>
      </w:r>
    </w:p>
    <w:p>
      <w:pPr>
        <w:adjustRightInd w:val="0"/>
        <w:snapToGrid w:val="0"/>
        <w:ind w:firstLine="560"/>
        <w:rPr>
          <w:rFonts w:eastAsia="仿宋_GB2312" w:cs="Times New Roman"/>
        </w:rPr>
      </w:pPr>
      <w:r>
        <w:rPr>
          <w:rFonts w:eastAsia="仿宋_GB2312" w:cs="Times New Roman"/>
        </w:rPr>
        <w:t>（2）通山县中医院充电站，位于通山县S209中医院新区，新建8台120kW一机两枪直流充电桩。</w:t>
      </w:r>
    </w:p>
    <w:p>
      <w:pPr>
        <w:adjustRightInd w:val="0"/>
        <w:snapToGrid w:val="0"/>
        <w:ind w:firstLine="560"/>
        <w:rPr>
          <w:rFonts w:eastAsia="仿宋_GB2312" w:cs="Times New Roman"/>
        </w:rPr>
      </w:pPr>
      <w:r>
        <w:rPr>
          <w:rFonts w:eastAsia="仿宋_GB2312" w:cs="Times New Roman"/>
        </w:rPr>
        <w:t>（3）通山县人民医院充电站，位于通山县太平大道人民医院，新建4台120kW一机两枪直流充电桩。</w:t>
      </w:r>
    </w:p>
    <w:p>
      <w:pPr>
        <w:numPr>
          <w:ilvl w:val="0"/>
          <w:numId w:val="18"/>
        </w:numPr>
        <w:adjustRightInd w:val="0"/>
        <w:snapToGrid w:val="0"/>
        <w:ind w:firstLine="560"/>
        <w:rPr>
          <w:rFonts w:eastAsia="仿宋_GB2312" w:cs="Times New Roman"/>
        </w:rPr>
      </w:pPr>
      <w:r>
        <w:rPr>
          <w:rFonts w:eastAsia="仿宋_GB2312" w:cs="Times New Roman"/>
        </w:rPr>
        <w:t>通山县景湾充电站，位于通山县太平大道锦绣新城，新建5台120kW一机两枪直流充电桩。</w:t>
      </w:r>
    </w:p>
    <w:p>
      <w:pPr>
        <w:ind w:firstLine="0" w:firstLineChars="0"/>
        <w:rPr>
          <w:rFonts w:eastAsia="仿宋_GB2312" w:cs="Times New Roman"/>
        </w:rPr>
      </w:pPr>
      <w:r>
        <w:rPr>
          <w:rFonts w:eastAsia="仿宋_GB2312" w:cs="Times New Roman"/>
        </w:rPr>
        <w:drawing>
          <wp:inline distT="0" distB="0" distL="114300" distR="114300">
            <wp:extent cx="5266690" cy="2430780"/>
            <wp:effectExtent l="0" t="0" r="3810" b="7620"/>
            <wp:docPr id="102" name="图片 102" descr="83773e5ded3375874d6984d5ccd0c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2" name="图片 102" descr="83773e5ded3375874d6984d5ccd0c55"/>
                    <pic:cNvPicPr>
                      <a:picLocks noChangeAspect="true"/>
                    </pic:cNvPicPr>
                  </pic:nvPicPr>
                  <pic:blipFill>
                    <a:blip r:embed="rId229"/>
                    <a:stretch>
                      <a:fillRect/>
                    </a:stretch>
                  </pic:blipFill>
                  <pic:spPr>
                    <a:xfrm>
                      <a:off x="0" y="0"/>
                      <a:ext cx="5266690" cy="2430780"/>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114</w:t>
      </w:r>
      <w:r>
        <w:rPr>
          <w:rFonts w:eastAsia="仿宋_GB2312" w:cs="Times New Roman"/>
        </w:rPr>
        <w:fldChar w:fldCharType="end"/>
      </w:r>
      <w:r>
        <w:rPr>
          <w:rFonts w:eastAsia="仿宋_GB2312" w:cs="Times New Roman"/>
        </w:rPr>
        <w:t>通山县景湾充电站</w:t>
      </w:r>
    </w:p>
    <w:p>
      <w:pPr>
        <w:numPr>
          <w:ilvl w:val="0"/>
          <w:numId w:val="18"/>
        </w:numPr>
        <w:adjustRightInd w:val="0"/>
        <w:snapToGrid w:val="0"/>
        <w:ind w:firstLine="560"/>
        <w:rPr>
          <w:rFonts w:eastAsia="仿宋_GB2312" w:cs="Times New Roman"/>
        </w:rPr>
      </w:pPr>
      <w:r>
        <w:rPr>
          <w:rFonts w:eastAsia="仿宋_GB2312" w:cs="Times New Roman"/>
        </w:rPr>
        <w:t>通山县唐家地中桥充电站，位于通山县石航路纸厂大院东侧约60米，新建2台120kW一机两枪直流充电桩。</w:t>
      </w:r>
    </w:p>
    <w:p>
      <w:pPr>
        <w:ind w:firstLine="0" w:firstLineChars="0"/>
        <w:rPr>
          <w:rFonts w:eastAsia="仿宋_GB2312" w:cs="Times New Roman"/>
        </w:rPr>
      </w:pPr>
      <w:r>
        <w:rPr>
          <w:rFonts w:eastAsia="仿宋_GB2312" w:cs="Times New Roman"/>
        </w:rPr>
        <w:drawing>
          <wp:inline distT="0" distB="0" distL="114300" distR="114300">
            <wp:extent cx="5266690" cy="2430780"/>
            <wp:effectExtent l="0" t="0" r="3810" b="7620"/>
            <wp:docPr id="7207" name="图片 7207" descr="207f24d3c901b86eb2ef8c6357fed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07" name="图片 7207" descr="207f24d3c901b86eb2ef8c6357fed44"/>
                    <pic:cNvPicPr>
                      <a:picLocks noChangeAspect="true"/>
                    </pic:cNvPicPr>
                  </pic:nvPicPr>
                  <pic:blipFill>
                    <a:blip r:embed="rId230"/>
                    <a:stretch>
                      <a:fillRect/>
                    </a:stretch>
                  </pic:blipFill>
                  <pic:spPr>
                    <a:xfrm>
                      <a:off x="0" y="0"/>
                      <a:ext cx="5266690" cy="2430780"/>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115</w:t>
      </w:r>
      <w:r>
        <w:rPr>
          <w:rFonts w:eastAsia="仿宋_GB2312" w:cs="Times New Roman"/>
        </w:rPr>
        <w:fldChar w:fldCharType="end"/>
      </w:r>
      <w:r>
        <w:rPr>
          <w:rFonts w:eastAsia="仿宋_GB2312" w:cs="Times New Roman"/>
        </w:rPr>
        <w:t>通山县唐家地中桥充电站</w:t>
      </w:r>
    </w:p>
    <w:p>
      <w:pPr>
        <w:numPr>
          <w:ilvl w:val="0"/>
          <w:numId w:val="18"/>
        </w:numPr>
        <w:adjustRightInd w:val="0"/>
        <w:snapToGrid w:val="0"/>
        <w:ind w:firstLine="560"/>
        <w:rPr>
          <w:rFonts w:eastAsia="仿宋_GB2312" w:cs="Times New Roman"/>
        </w:rPr>
      </w:pPr>
      <w:r>
        <w:rPr>
          <w:rFonts w:eastAsia="仿宋_GB2312" w:cs="Times New Roman"/>
        </w:rPr>
        <w:t>通山县明水供电所充电站，位于通羊大道明水供电所旁约20米，新建4台120kW一机两枪直流充电桩。</w:t>
      </w:r>
    </w:p>
    <w:p>
      <w:pPr>
        <w:numPr>
          <w:ilvl w:val="0"/>
          <w:numId w:val="18"/>
        </w:numPr>
        <w:adjustRightInd w:val="0"/>
        <w:snapToGrid w:val="0"/>
        <w:ind w:firstLine="560"/>
        <w:rPr>
          <w:rFonts w:eastAsia="仿宋_GB2312" w:cs="Times New Roman"/>
        </w:rPr>
      </w:pPr>
      <w:r>
        <w:rPr>
          <w:rFonts w:eastAsia="仿宋_GB2312" w:cs="Times New Roman"/>
        </w:rPr>
        <w:t>通山县南门桥村委会充电站，位于通洋大道南50米，新建4台60kW一机一枪直流充电桩。</w:t>
      </w:r>
    </w:p>
    <w:p>
      <w:pPr>
        <w:ind w:firstLine="0" w:firstLineChars="0"/>
        <w:rPr>
          <w:rFonts w:eastAsia="仿宋_GB2312" w:cs="Times New Roman"/>
        </w:rPr>
      </w:pPr>
      <w:r>
        <w:rPr>
          <w:rFonts w:eastAsia="仿宋_GB2312" w:cs="Times New Roman"/>
        </w:rPr>
        <w:drawing>
          <wp:inline distT="0" distB="0" distL="114300" distR="114300">
            <wp:extent cx="5266690" cy="2430780"/>
            <wp:effectExtent l="0" t="0" r="3810" b="7620"/>
            <wp:docPr id="7215" name="图片 7215" descr="5e97131ac148bddc52b60ddd94816f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15" name="图片 7215" descr="5e97131ac148bddc52b60ddd94816f8"/>
                    <pic:cNvPicPr>
                      <a:picLocks noChangeAspect="true"/>
                    </pic:cNvPicPr>
                  </pic:nvPicPr>
                  <pic:blipFill>
                    <a:blip r:embed="rId231"/>
                    <a:stretch>
                      <a:fillRect/>
                    </a:stretch>
                  </pic:blipFill>
                  <pic:spPr>
                    <a:xfrm>
                      <a:off x="0" y="0"/>
                      <a:ext cx="5266690" cy="2430780"/>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116</w:t>
      </w:r>
      <w:r>
        <w:rPr>
          <w:rFonts w:eastAsia="仿宋_GB2312" w:cs="Times New Roman"/>
        </w:rPr>
        <w:fldChar w:fldCharType="end"/>
      </w:r>
      <w:r>
        <w:rPr>
          <w:rFonts w:eastAsia="仿宋_GB2312" w:cs="Times New Roman"/>
        </w:rPr>
        <w:t>通山县南门桥村委会充电站</w:t>
      </w:r>
    </w:p>
    <w:p>
      <w:pPr>
        <w:numPr>
          <w:ilvl w:val="0"/>
          <w:numId w:val="18"/>
        </w:numPr>
        <w:ind w:firstLine="560"/>
        <w:rPr>
          <w:rFonts w:eastAsia="仿宋_GB2312" w:cs="Times New Roman"/>
        </w:rPr>
      </w:pPr>
      <w:r>
        <w:rPr>
          <w:rFonts w:eastAsia="仿宋_GB2312" w:cs="Times New Roman"/>
        </w:rPr>
        <w:t>通山县宜优便利店充电站，位于通羊大道世纪星城东北约60米，新建4台60kW一机一枪直流充电桩。</w:t>
      </w:r>
    </w:p>
    <w:p>
      <w:pPr>
        <w:ind w:firstLine="0" w:firstLineChars="0"/>
        <w:rPr>
          <w:rFonts w:eastAsia="仿宋_GB2312" w:cs="Times New Roman"/>
        </w:rPr>
      </w:pPr>
      <w:r>
        <w:rPr>
          <w:rFonts w:eastAsia="仿宋_GB2312" w:cs="Times New Roman"/>
        </w:rPr>
        <w:drawing>
          <wp:inline distT="0" distB="0" distL="114300" distR="114300">
            <wp:extent cx="5266690" cy="2430780"/>
            <wp:effectExtent l="0" t="0" r="3810" b="7620"/>
            <wp:docPr id="143" name="图片 143" descr="4cb1871af4a10eb29948076160b88ef"/>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3" name="图片 143" descr="4cb1871af4a10eb29948076160b88ef"/>
                    <pic:cNvPicPr>
                      <a:picLocks noChangeAspect="true"/>
                    </pic:cNvPicPr>
                  </pic:nvPicPr>
                  <pic:blipFill>
                    <a:blip r:embed="rId232"/>
                    <a:stretch>
                      <a:fillRect/>
                    </a:stretch>
                  </pic:blipFill>
                  <pic:spPr>
                    <a:xfrm>
                      <a:off x="0" y="0"/>
                      <a:ext cx="5266690" cy="2430780"/>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117</w:t>
      </w:r>
      <w:r>
        <w:rPr>
          <w:rFonts w:eastAsia="仿宋_GB2312" w:cs="Times New Roman"/>
        </w:rPr>
        <w:fldChar w:fldCharType="end"/>
      </w:r>
      <w:r>
        <w:rPr>
          <w:rFonts w:eastAsia="仿宋_GB2312" w:cs="Times New Roman"/>
        </w:rPr>
        <w:t>通山县宜优便利店充电站</w:t>
      </w:r>
    </w:p>
    <w:p>
      <w:pPr>
        <w:numPr>
          <w:ilvl w:val="0"/>
          <w:numId w:val="18"/>
        </w:numPr>
        <w:ind w:firstLine="560"/>
        <w:rPr>
          <w:rFonts w:eastAsia="仿宋_GB2312" w:cs="Times New Roman"/>
        </w:rPr>
      </w:pPr>
      <w:r>
        <w:rPr>
          <w:rFonts w:eastAsia="仿宋_GB2312" w:cs="Times New Roman"/>
        </w:rPr>
        <w:t>通山县老人民医院停车场充电站，通山县九宫大道183号，新建4台120kW一机两枪直流充电桩。</w:t>
      </w:r>
    </w:p>
    <w:p>
      <w:pPr>
        <w:ind w:firstLine="560"/>
        <w:rPr>
          <w:rFonts w:eastAsia="仿宋_GB2312" w:cs="Times New Roman"/>
        </w:rPr>
      </w:pPr>
      <w:r>
        <w:rPr>
          <w:rFonts w:eastAsia="仿宋_GB2312" w:cs="Times New Roman"/>
        </w:rPr>
        <w:t>（10）通山县创新文化广场充电站，位于九宫大道与新月路交叉路口北侧，新建4台60kW一机一枪直流充电桩。</w:t>
      </w:r>
    </w:p>
    <w:p>
      <w:pPr>
        <w:ind w:firstLine="0" w:firstLineChars="0"/>
        <w:rPr>
          <w:rFonts w:eastAsia="仿宋_GB2312" w:cs="Times New Roman"/>
        </w:rPr>
      </w:pPr>
      <w:r>
        <w:rPr>
          <w:rFonts w:eastAsia="仿宋_GB2312" w:cs="Times New Roman"/>
        </w:rPr>
        <w:drawing>
          <wp:inline distT="0" distB="0" distL="114300" distR="114300">
            <wp:extent cx="5266690" cy="2430780"/>
            <wp:effectExtent l="0" t="0" r="3810" b="7620"/>
            <wp:docPr id="147" name="图片 147" descr="e04290d894020bc7caa0af328f022f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7" name="图片 147" descr="e04290d894020bc7caa0af328f022f4"/>
                    <pic:cNvPicPr>
                      <a:picLocks noChangeAspect="true"/>
                    </pic:cNvPicPr>
                  </pic:nvPicPr>
                  <pic:blipFill>
                    <a:blip r:embed="rId233"/>
                    <a:stretch>
                      <a:fillRect/>
                    </a:stretch>
                  </pic:blipFill>
                  <pic:spPr>
                    <a:xfrm>
                      <a:off x="0" y="0"/>
                      <a:ext cx="5266690" cy="2430780"/>
                    </a:xfrm>
                    <a:prstGeom prst="rect">
                      <a:avLst/>
                    </a:prstGeom>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118</w:t>
      </w:r>
      <w:r>
        <w:rPr>
          <w:rFonts w:eastAsia="仿宋_GB2312" w:cs="Times New Roman"/>
        </w:rPr>
        <w:fldChar w:fldCharType="end"/>
      </w:r>
      <w:r>
        <w:rPr>
          <w:rFonts w:eastAsia="仿宋_GB2312" w:cs="Times New Roman"/>
        </w:rPr>
        <w:t>通山县创新文化广场充电站</w:t>
      </w:r>
    </w:p>
    <w:p>
      <w:pPr>
        <w:adjustRightInd w:val="0"/>
        <w:snapToGrid w:val="0"/>
        <w:ind w:firstLine="560"/>
        <w:rPr>
          <w:rFonts w:eastAsia="仿宋_GB2312" w:cs="Times New Roman"/>
        </w:rPr>
      </w:pPr>
      <w:r>
        <w:rPr>
          <w:rFonts w:eastAsia="仿宋_GB2312" w:cs="Times New Roman"/>
        </w:rPr>
        <w:t>（11）通山县龙隐山游客中心充电站，位于通山县龙隐山检票口南侧，新建10台120kW一机两枪直流充电桩。</w:t>
      </w:r>
    </w:p>
    <w:p>
      <w:pPr>
        <w:adjustRightInd w:val="0"/>
        <w:snapToGrid w:val="0"/>
        <w:ind w:firstLine="560"/>
        <w:rPr>
          <w:rFonts w:eastAsia="仿宋_GB2312" w:cs="Times New Roman"/>
        </w:rPr>
      </w:pPr>
      <w:r>
        <w:rPr>
          <w:rFonts w:eastAsia="仿宋_GB2312" w:cs="Times New Roman"/>
        </w:rPr>
        <w:t>（12）通山县隐水洞游客中心充电站，位于通山县隐水洞检票口，新建10台120kW一机两枪直流充电桩。</w:t>
      </w:r>
    </w:p>
    <w:p>
      <w:pPr>
        <w:adjustRightInd w:val="0"/>
        <w:snapToGrid w:val="0"/>
        <w:ind w:firstLine="560"/>
        <w:rPr>
          <w:rFonts w:eastAsia="仿宋_GB2312" w:cs="Times New Roman"/>
        </w:rPr>
      </w:pPr>
      <w:r>
        <w:rPr>
          <w:rFonts w:eastAsia="仿宋_GB2312" w:cs="Times New Roman"/>
        </w:rPr>
        <w:t>（13）通山县九宫山游客中心充电站，位于通山县船埠村，新建10台120kW一机两枪直流充电桩。</w:t>
      </w:r>
    </w:p>
    <w:p>
      <w:pPr>
        <w:adjustRightInd w:val="0"/>
        <w:snapToGrid w:val="0"/>
        <w:ind w:firstLine="560"/>
        <w:rPr>
          <w:rFonts w:eastAsia="仿宋_GB2312" w:cs="Times New Roman"/>
        </w:rPr>
      </w:pPr>
      <w:r>
        <w:rPr>
          <w:rFonts w:eastAsia="仿宋_GB2312" w:cs="Times New Roman"/>
        </w:rPr>
        <w:t>（14）通山县九宫山云中湖停车场充电站，位于通山县九宫山云中湖停车场，新建10台120kW一机两枪直流充电桩。</w:t>
      </w:r>
    </w:p>
    <w:p>
      <w:pPr>
        <w:adjustRightInd w:val="0"/>
        <w:snapToGrid w:val="0"/>
        <w:ind w:firstLine="560"/>
        <w:rPr>
          <w:rFonts w:eastAsia="仿宋_GB2312" w:cs="Times New Roman"/>
        </w:rPr>
      </w:pPr>
      <w:r>
        <w:rPr>
          <w:rFonts w:eastAsia="仿宋_GB2312" w:cs="Times New Roman"/>
        </w:rPr>
        <w:t>（15）通山县杨芳林乡人民政府充电站，位于通山县杨芳林乡杨芳林社区杨芳街，新建4台120kW一机两枪直流充电桩。</w:t>
      </w:r>
    </w:p>
    <w:p>
      <w:pPr>
        <w:adjustRightInd w:val="0"/>
        <w:snapToGrid w:val="0"/>
        <w:ind w:firstLine="560"/>
        <w:rPr>
          <w:rFonts w:eastAsia="仿宋_GB2312" w:cs="Times New Roman"/>
        </w:rPr>
      </w:pPr>
      <w:r>
        <w:rPr>
          <w:rFonts w:eastAsia="仿宋_GB2312" w:cs="Times New Roman"/>
        </w:rPr>
        <w:t>（16）通山县慈口乡人民政府充电站，位于通山县慈口乡慈口社区Y011，新建4台120kW一机两枪直流充电桩。</w:t>
      </w:r>
    </w:p>
    <w:p>
      <w:pPr>
        <w:adjustRightInd w:val="0"/>
        <w:snapToGrid w:val="0"/>
        <w:ind w:firstLine="560"/>
        <w:rPr>
          <w:rFonts w:eastAsia="仿宋_GB2312" w:cs="Times New Roman"/>
        </w:rPr>
      </w:pPr>
      <w:r>
        <w:rPr>
          <w:rFonts w:eastAsia="仿宋_GB2312" w:cs="Times New Roman"/>
        </w:rPr>
        <w:t>（17）通山县燕厦乡人民政府充电站，位于通山县燕厦乡燕厦乡政府，新建4台120kW一机两枪直流充电桩。</w:t>
      </w:r>
    </w:p>
    <w:p>
      <w:pPr>
        <w:adjustRightInd w:val="0"/>
        <w:snapToGrid w:val="0"/>
        <w:ind w:firstLine="560"/>
        <w:rPr>
          <w:rFonts w:eastAsia="仿宋_GB2312" w:cs="Times New Roman"/>
        </w:rPr>
      </w:pPr>
      <w:r>
        <w:rPr>
          <w:rFonts w:eastAsia="仿宋_GB2312" w:cs="Times New Roman"/>
        </w:rPr>
        <w:t>（18）通山县大路乡人民政府充电站，位于通山县大路乡人民政府，新建4台120kW一机两枪直流充电桩。</w:t>
      </w:r>
    </w:p>
    <w:p>
      <w:pPr>
        <w:adjustRightInd w:val="0"/>
        <w:snapToGrid w:val="0"/>
        <w:ind w:firstLine="560"/>
        <w:rPr>
          <w:rFonts w:eastAsia="仿宋_GB2312" w:cs="Times New Roman"/>
        </w:rPr>
      </w:pPr>
      <w:r>
        <w:rPr>
          <w:rFonts w:eastAsia="仿宋_GB2312" w:cs="Times New Roman"/>
        </w:rPr>
        <w:t>（19）通山县大畈镇人民政府充电站，位于通山县008县道与乡011乡道交叉口东南50米，新建4台120kW一机两枪直流充电桩。</w:t>
      </w:r>
    </w:p>
    <w:p>
      <w:pPr>
        <w:adjustRightInd w:val="0"/>
        <w:snapToGrid w:val="0"/>
        <w:ind w:firstLine="560"/>
        <w:rPr>
          <w:rFonts w:eastAsia="仿宋_GB2312" w:cs="Times New Roman"/>
        </w:rPr>
      </w:pPr>
      <w:r>
        <w:rPr>
          <w:rFonts w:eastAsia="仿宋_GB2312" w:cs="Times New Roman"/>
        </w:rPr>
        <w:t>（20）通山县洪港镇人民政府充电站，位于通山县三贤红卫桥，新建4台120kW一机两枪直流充电桩。</w:t>
      </w:r>
    </w:p>
    <w:p>
      <w:pPr>
        <w:adjustRightInd w:val="0"/>
        <w:snapToGrid w:val="0"/>
        <w:ind w:firstLine="560"/>
        <w:rPr>
          <w:rFonts w:eastAsia="仿宋_GB2312" w:cs="Times New Roman"/>
        </w:rPr>
      </w:pPr>
      <w:r>
        <w:rPr>
          <w:rFonts w:eastAsia="仿宋_GB2312" w:cs="Times New Roman"/>
        </w:rPr>
        <w:t>（21）通山县闯王镇人民政府充电站，位于通山县刘家岭善祖巷，新建4台120kW一机两枪直流充电桩。</w:t>
      </w:r>
    </w:p>
    <w:p>
      <w:pPr>
        <w:adjustRightInd w:val="0"/>
        <w:snapToGrid w:val="0"/>
        <w:ind w:firstLine="560"/>
        <w:rPr>
          <w:rFonts w:eastAsia="仿宋_GB2312" w:cs="Times New Roman"/>
        </w:rPr>
      </w:pPr>
      <w:r>
        <w:rPr>
          <w:rFonts w:eastAsia="仿宋_GB2312" w:cs="Times New Roman"/>
        </w:rPr>
        <w:t>（22）通山县九宫镇人民政府充电站，位于通山县九宫路新街8号，新建4台120kW一机两枪直流充电桩。</w:t>
      </w:r>
    </w:p>
    <w:p>
      <w:pPr>
        <w:adjustRightInd w:val="0"/>
        <w:snapToGrid w:val="0"/>
        <w:ind w:firstLine="560"/>
        <w:rPr>
          <w:rFonts w:eastAsia="仿宋_GB2312" w:cs="Times New Roman"/>
        </w:rPr>
      </w:pPr>
      <w:r>
        <w:rPr>
          <w:rFonts w:eastAsia="仿宋_GB2312" w:cs="Times New Roman"/>
        </w:rPr>
        <w:t>（23）通山县厦铺镇人民政府充电站，位于通山县厦铺街，新建4台120kW一机两枪直流充电桩。</w:t>
      </w:r>
    </w:p>
    <w:p>
      <w:pPr>
        <w:adjustRightInd w:val="0"/>
        <w:snapToGrid w:val="0"/>
        <w:ind w:firstLine="560"/>
        <w:rPr>
          <w:rFonts w:eastAsia="仿宋_GB2312" w:cs="Times New Roman"/>
        </w:rPr>
      </w:pPr>
      <w:r>
        <w:rPr>
          <w:rFonts w:eastAsia="仿宋_GB2312" w:cs="Times New Roman"/>
        </w:rPr>
        <w:t>（24）通山县黄沙铺镇人民政府充电站，位于通山县007县道，新建4台120kW一机两枪直流充电桩。</w:t>
      </w:r>
    </w:p>
    <w:p>
      <w:pPr>
        <w:adjustRightInd w:val="0"/>
        <w:snapToGrid w:val="0"/>
        <w:ind w:firstLine="560"/>
        <w:rPr>
          <w:rFonts w:eastAsia="仿宋_GB2312" w:cs="Times New Roman"/>
        </w:rPr>
      </w:pPr>
      <w:r>
        <w:rPr>
          <w:rFonts w:eastAsia="仿宋_GB2312" w:cs="Times New Roman"/>
        </w:rPr>
        <w:t>（25）通山县南林桥镇人民政府充电站，位于通山县南林桥镇咸宁街14号，新建4台120kW一机两枪直流充电桩。</w:t>
      </w:r>
    </w:p>
    <w:p>
      <w:pPr>
        <w:pStyle w:val="19"/>
        <w:ind w:firstLine="560"/>
        <w:rPr>
          <w:rFonts w:eastAsia="仿宋_GB2312" w:cs="Times New Roman"/>
        </w:rPr>
      </w:pPr>
      <w:bookmarkStart w:id="223" w:name="_Ref112167607"/>
      <w:r>
        <w:rPr>
          <w:rFonts w:eastAsia="仿宋_GB2312" w:cs="Times New Roman"/>
        </w:rPr>
        <w:t>表</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38</w:t>
      </w:r>
      <w:r>
        <w:rPr>
          <w:rFonts w:eastAsia="仿宋_GB2312" w:cs="Times New Roman"/>
        </w:rPr>
        <w:fldChar w:fldCharType="end"/>
      </w:r>
      <w:bookmarkEnd w:id="223"/>
      <w:r>
        <w:rPr>
          <w:rFonts w:eastAsia="仿宋_GB2312" w:cs="Times New Roman"/>
        </w:rPr>
        <w:t>通山县城市公共充电站布局规划表           单位：个、平米、年</w:t>
      </w:r>
    </w:p>
    <w:tbl>
      <w:tblPr>
        <w:tblStyle w:val="7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2"/>
        <w:gridCol w:w="1977"/>
        <w:gridCol w:w="2345"/>
        <w:gridCol w:w="840"/>
        <w:gridCol w:w="840"/>
        <w:gridCol w:w="840"/>
        <w:gridCol w:w="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blHeader/>
        </w:trPr>
        <w:tc>
          <w:tcPr>
            <w:tcW w:w="494"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序号</w:t>
            </w:r>
          </w:p>
        </w:tc>
        <w:tc>
          <w:tcPr>
            <w:tcW w:w="1160"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名称</w:t>
            </w:r>
          </w:p>
        </w:tc>
        <w:tc>
          <w:tcPr>
            <w:tcW w:w="1376"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地理位置</w:t>
            </w:r>
          </w:p>
        </w:tc>
        <w:tc>
          <w:tcPr>
            <w:tcW w:w="493"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实施类型</w:t>
            </w:r>
          </w:p>
        </w:tc>
        <w:tc>
          <w:tcPr>
            <w:tcW w:w="493"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充电桩数</w:t>
            </w:r>
          </w:p>
        </w:tc>
        <w:tc>
          <w:tcPr>
            <w:tcW w:w="493"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预留面积</w:t>
            </w:r>
          </w:p>
        </w:tc>
        <w:tc>
          <w:tcPr>
            <w:tcW w:w="492" w:type="pct"/>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规划实施年份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通山县博物馆充电站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通山县文博园路</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通山县中医院充电站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通山县S209中医院新区</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40.8</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通山县人民医院充电站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通山县太平大道人民医院</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通山县景湾充电站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通山县太平大道锦绣新城</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通山县唐家地中桥充电站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通山县石航路纸厂大院东侧约60米</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通山县明水供电所充电站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通羊大道明水供电所旁约20米</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通山县南门桥村委会充电站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通洋大道南50米</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19.2</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通山县宜优便利店充电站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通羊大道世纪星城东北约60米</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19.2</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通山县老人民医院停车场充电站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通山县九宫大道183号</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19.2</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通山县创新文化广场充电站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九宫大道与新月路交叉路口北侧</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19.2</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通山县龙隐山游客中心充电站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崇阳大道与人民大道交叉路口往西约90米</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通山县隐水洞游客中心充电站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通山县隐水洞检票口</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通山县九宫山游客中心充电站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通山县船埠村</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14</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通山县九宫山云中湖停车场充电站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通山县九宫山云中湖停车场</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48</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通山县杨芳林乡人民政府充电站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通山县杨芳林乡杨芳林社区杨芳街</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通山县慈口乡人民政府充电站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通山县慈口乡慈口社区Y011</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17</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通山县燕厦乡人民政府充电站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通山县燕厦乡燕厦乡政府</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18</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通山县大路乡人民政府充电站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通山县大路乡人民政府</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通山县大畈镇人民政府充电站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通山县008县道与乡011乡道交叉口东南50米</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通山县洪港镇人民政府充电站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通山县三贤红卫桥</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21</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通山县闯王镇人民政府充电站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通山县刘家岭善祖巷</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22</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通山县九宫镇人民政府充电站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通山县九宫路新街8号</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19.2</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23</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通山县厦铺镇人民政府充电站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通山县厦铺街</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24</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通山县黄沙铺镇人民政府充电站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通山县007县道</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25</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通山县南林桥镇人民政府充电站</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通山县南林桥镇咸宁街14号</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规划</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26.4</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汇总</w:t>
            </w:r>
          </w:p>
        </w:tc>
        <w:tc>
          <w:tcPr>
            <w:tcW w:w="1160"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1376"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240</w:t>
            </w:r>
          </w:p>
        </w:tc>
        <w:tc>
          <w:tcPr>
            <w:tcW w:w="493"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c>
          <w:tcPr>
            <w:tcW w:w="492" w:type="pct"/>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pStyle w:val="19"/>
        <w:rPr>
          <w:rFonts w:eastAsia="仿宋_GB2312" w:cs="Times New Roman"/>
        </w:rPr>
      </w:pPr>
      <w:r>
        <w:rPr>
          <w:rFonts w:eastAsia="仿宋_GB2312" w:cs="Times New Roman"/>
        </w:rPr>
        <w:drawing>
          <wp:inline distT="0" distB="0" distL="0" distR="0">
            <wp:extent cx="5274310" cy="3323590"/>
            <wp:effectExtent l="0" t="0" r="2540" b="0"/>
            <wp:docPr id="193" name="图片 19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true"/>
                    </pic:cNvPicPr>
                  </pic:nvPicPr>
                  <pic:blipFill>
                    <a:blip r:embed="rId234"/>
                    <a:stretch>
                      <a:fillRect/>
                    </a:stretch>
                  </pic:blipFill>
                  <pic:spPr>
                    <a:xfrm>
                      <a:off x="0" y="0"/>
                      <a:ext cx="5274310" cy="3323590"/>
                    </a:xfrm>
                    <a:prstGeom prst="rect">
                      <a:avLst/>
                    </a:prstGeom>
                  </pic:spPr>
                </pic:pic>
              </a:graphicData>
            </a:graphic>
          </wp:inline>
        </w:drawing>
      </w:r>
    </w:p>
    <w:p>
      <w:pPr>
        <w:pStyle w:val="19"/>
        <w:rPr>
          <w:rFonts w:eastAsia="仿宋_GB2312" w:cs="Times New Roman"/>
        </w:rPr>
      </w:pPr>
      <w:r>
        <w:rPr>
          <w:rFonts w:eastAsia="仿宋_GB2312" w:cs="Times New Roman"/>
        </w:rPr>
        <w:t>图</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119</w:t>
      </w:r>
      <w:r>
        <w:rPr>
          <w:rFonts w:eastAsia="仿宋_GB2312" w:cs="Times New Roman"/>
        </w:rPr>
        <w:fldChar w:fldCharType="end"/>
      </w:r>
      <w:r>
        <w:rPr>
          <w:rFonts w:eastAsia="仿宋_GB2312" w:cs="Times New Roman"/>
        </w:rPr>
        <w:t>通山县城市公共充电站布点图</w:t>
      </w:r>
    </w:p>
    <w:p>
      <w:pPr>
        <w:ind w:firstLine="562"/>
        <w:rPr>
          <w:rFonts w:eastAsia="仿宋_GB2312" w:cs="Times New Roman"/>
          <w:b/>
          <w:bCs/>
          <w:color w:val="000000" w:themeColor="text1"/>
          <w14:textFill>
            <w14:solidFill>
              <w14:schemeClr w14:val="tx1"/>
            </w14:solidFill>
          </w14:textFill>
        </w:rPr>
      </w:pPr>
      <w:r>
        <w:rPr>
          <w:rFonts w:eastAsia="仿宋_GB2312" w:cs="Times New Roman"/>
          <w:b/>
          <w:bCs/>
          <w:color w:val="000000" w:themeColor="text1"/>
          <w14:textFill>
            <w14:solidFill>
              <w14:schemeClr w14:val="tx1"/>
            </w14:solidFill>
          </w14:textFill>
        </w:rPr>
        <w:t>2.小区内部公共充电设施</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szCs w:val="21"/>
          <w14:textFill>
            <w14:solidFill>
              <w14:schemeClr w14:val="tx1"/>
            </w14:solidFill>
          </w14:textFill>
        </w:rPr>
        <w:t>至2025年，通山县新建小区公共充电桩170个。通山县小区公共充电桩规划如</w:t>
      </w:r>
      <w:r>
        <w:rPr>
          <w:rFonts w:eastAsia="仿宋_GB2312" w:cs="Times New Roman"/>
          <w:color w:val="000000" w:themeColor="text1"/>
          <w14:textFill>
            <w14:solidFill>
              <w14:schemeClr w14:val="tx1"/>
            </w14:solidFill>
          </w14:textFill>
        </w:rPr>
        <w:fldChar w:fldCharType="begin"/>
      </w:r>
      <w:r>
        <w:rPr>
          <w:rFonts w:eastAsia="仿宋_GB2312" w:cs="Times New Roman"/>
          <w:color w:val="000000" w:themeColor="text1"/>
          <w:szCs w:val="21"/>
          <w14:textFill>
            <w14:solidFill>
              <w14:schemeClr w14:val="tx1"/>
            </w14:solidFill>
          </w14:textFill>
        </w:rPr>
        <w:instrText xml:space="preserve"> REF _Ref115441459 \h </w:instrText>
      </w:r>
      <w:r>
        <w:rPr>
          <w:rFonts w:eastAsia="仿宋_GB2312" w:cs="Times New Roman"/>
          <w:color w:val="000000" w:themeColor="text1"/>
          <w14:textFill>
            <w14:solidFill>
              <w14:schemeClr w14:val="tx1"/>
            </w14:solidFill>
          </w14:textFill>
        </w:rPr>
        <w:instrText xml:space="preserve"> \* MERGEFORMAT </w:instrText>
      </w:r>
      <w:r>
        <w:rPr>
          <w:rFonts w:eastAsia="仿宋_GB2312" w:cs="Times New Roman"/>
          <w:color w:val="000000" w:themeColor="text1"/>
          <w14:textFill>
            <w14:solidFill>
              <w14:schemeClr w14:val="tx1"/>
            </w14:solidFill>
          </w14:textFill>
        </w:rPr>
        <w:fldChar w:fldCharType="separate"/>
      </w:r>
      <w:r>
        <w:rPr>
          <w:rFonts w:eastAsia="仿宋_GB2312" w:cs="Times New Roman"/>
          <w:color w:val="000000" w:themeColor="text1"/>
          <w14:textFill>
            <w14:solidFill>
              <w14:schemeClr w14:val="tx1"/>
            </w14:solidFill>
          </w14:textFill>
        </w:rPr>
        <w:t>表4</w:t>
      </w:r>
      <w:r>
        <w:rPr>
          <w:rFonts w:eastAsia="仿宋_GB2312" w:cs="Times New Roman"/>
          <w:color w:val="000000" w:themeColor="text1"/>
          <w14:textFill>
            <w14:solidFill>
              <w14:schemeClr w14:val="tx1"/>
            </w14:solidFill>
          </w14:textFill>
        </w:rPr>
        <w:noBreakHyphen/>
      </w:r>
      <w:r>
        <w:rPr>
          <w:rFonts w:eastAsia="仿宋_GB2312" w:cs="Times New Roman"/>
          <w:color w:val="000000" w:themeColor="text1"/>
          <w14:textFill>
            <w14:solidFill>
              <w14:schemeClr w14:val="tx1"/>
            </w14:solidFill>
          </w14:textFill>
        </w:rPr>
        <w:t>39</w:t>
      </w:r>
      <w:r>
        <w:rPr>
          <w:rFonts w:eastAsia="仿宋_GB2312" w:cs="Times New Roman"/>
          <w:color w:val="000000" w:themeColor="text1"/>
          <w14:textFill>
            <w14:solidFill>
              <w14:schemeClr w14:val="tx1"/>
            </w14:solidFill>
          </w14:textFill>
        </w:rPr>
        <w:fldChar w:fldCharType="end"/>
      </w:r>
      <w:r>
        <w:rPr>
          <w:rFonts w:eastAsia="仿宋_GB2312" w:cs="Times New Roman"/>
          <w:color w:val="000000" w:themeColor="text1"/>
          <w:szCs w:val="21"/>
          <w14:textFill>
            <w14:solidFill>
              <w14:schemeClr w14:val="tx1"/>
            </w14:solidFill>
          </w14:textFill>
        </w:rPr>
        <w:t>所示。</w:t>
      </w:r>
    </w:p>
    <w:p>
      <w:pPr>
        <w:pStyle w:val="19"/>
        <w:ind w:left="1600" w:hanging="480"/>
        <w:rPr>
          <w:rFonts w:eastAsia="仿宋_GB2312" w:cs="Times New Roman"/>
          <w:color w:val="000000" w:themeColor="text1"/>
          <w:szCs w:val="24"/>
          <w14:textFill>
            <w14:solidFill>
              <w14:schemeClr w14:val="tx1"/>
            </w14:solidFill>
          </w14:textFill>
        </w:rPr>
      </w:pPr>
      <w:bookmarkStart w:id="224" w:name="_Ref115441459"/>
      <w:r>
        <w:rPr>
          <w:rFonts w:eastAsia="仿宋_GB2312" w:cs="Times New Roman"/>
          <w:color w:val="000000" w:themeColor="text1"/>
          <w14:textFill>
            <w14:solidFill>
              <w14:schemeClr w14:val="tx1"/>
            </w14:solidFill>
          </w14:textFill>
        </w:rPr>
        <w:t>表</w:t>
      </w:r>
      <w:r>
        <w:rPr>
          <w:rFonts w:eastAsia="仿宋_GB2312" w:cs="Times New Roman"/>
          <w:color w:val="000000" w:themeColor="text1"/>
          <w14:textFill>
            <w14:solidFill>
              <w14:schemeClr w14:val="tx1"/>
            </w14:solidFill>
          </w14:textFill>
        </w:rPr>
        <w:fldChar w:fldCharType="begin"/>
      </w:r>
      <w:r>
        <w:rPr>
          <w:rFonts w:eastAsia="仿宋_GB2312" w:cs="Times New Roman"/>
          <w:color w:val="000000" w:themeColor="text1"/>
          <w14:textFill>
            <w14:solidFill>
              <w14:schemeClr w14:val="tx1"/>
            </w14:solidFill>
          </w14:textFill>
        </w:rPr>
        <w:instrText xml:space="preserve"> STYLEREF 1 \s </w:instrText>
      </w:r>
      <w:r>
        <w:rPr>
          <w:rFonts w:eastAsia="仿宋_GB2312" w:cs="Times New Roman"/>
          <w:color w:val="000000" w:themeColor="text1"/>
          <w14:textFill>
            <w14:solidFill>
              <w14:schemeClr w14:val="tx1"/>
            </w14:solidFill>
          </w14:textFill>
        </w:rPr>
        <w:fldChar w:fldCharType="separate"/>
      </w:r>
      <w:r>
        <w:rPr>
          <w:rFonts w:eastAsia="仿宋_GB2312" w:cs="Times New Roman"/>
          <w:color w:val="000000" w:themeColor="text1"/>
          <w14:textFill>
            <w14:solidFill>
              <w14:schemeClr w14:val="tx1"/>
            </w14:solidFill>
          </w14:textFill>
        </w:rPr>
        <w:t>4</w:t>
      </w:r>
      <w:r>
        <w:rPr>
          <w:rFonts w:eastAsia="仿宋_GB2312" w:cs="Times New Roman"/>
          <w:color w:val="000000" w:themeColor="text1"/>
          <w14:textFill>
            <w14:solidFill>
              <w14:schemeClr w14:val="tx1"/>
            </w14:solidFill>
          </w14:textFill>
        </w:rPr>
        <w:fldChar w:fldCharType="end"/>
      </w:r>
      <w:r>
        <w:rPr>
          <w:rFonts w:eastAsia="仿宋_GB2312" w:cs="Times New Roman"/>
          <w:color w:val="000000" w:themeColor="text1"/>
          <w14:textFill>
            <w14:solidFill>
              <w14:schemeClr w14:val="tx1"/>
            </w14:solidFill>
          </w14:textFill>
        </w:rPr>
        <w:noBreakHyphen/>
      </w:r>
      <w:r>
        <w:rPr>
          <w:rFonts w:eastAsia="仿宋_GB2312" w:cs="Times New Roman"/>
          <w:color w:val="000000" w:themeColor="text1"/>
          <w14:textFill>
            <w14:solidFill>
              <w14:schemeClr w14:val="tx1"/>
            </w14:solidFill>
          </w14:textFill>
        </w:rPr>
        <w:fldChar w:fldCharType="begin"/>
      </w:r>
      <w:r>
        <w:rPr>
          <w:rFonts w:eastAsia="仿宋_GB2312" w:cs="Times New Roman"/>
          <w:color w:val="000000" w:themeColor="text1"/>
          <w14:textFill>
            <w14:solidFill>
              <w14:schemeClr w14:val="tx1"/>
            </w14:solidFill>
          </w14:textFill>
        </w:rPr>
        <w:instrText xml:space="preserve"> SEQ 表 \* ARABIC \s 1 </w:instrText>
      </w:r>
      <w:r>
        <w:rPr>
          <w:rFonts w:eastAsia="仿宋_GB2312" w:cs="Times New Roman"/>
          <w:color w:val="000000" w:themeColor="text1"/>
          <w14:textFill>
            <w14:solidFill>
              <w14:schemeClr w14:val="tx1"/>
            </w14:solidFill>
          </w14:textFill>
        </w:rPr>
        <w:fldChar w:fldCharType="separate"/>
      </w:r>
      <w:r>
        <w:rPr>
          <w:rFonts w:eastAsia="仿宋_GB2312" w:cs="Times New Roman"/>
          <w:color w:val="000000" w:themeColor="text1"/>
          <w14:textFill>
            <w14:solidFill>
              <w14:schemeClr w14:val="tx1"/>
            </w14:solidFill>
          </w14:textFill>
        </w:rPr>
        <w:t>39</w:t>
      </w:r>
      <w:r>
        <w:rPr>
          <w:rFonts w:eastAsia="仿宋_GB2312" w:cs="Times New Roman"/>
          <w:color w:val="000000" w:themeColor="text1"/>
          <w14:textFill>
            <w14:solidFill>
              <w14:schemeClr w14:val="tx1"/>
            </w14:solidFill>
          </w14:textFill>
        </w:rPr>
        <w:fldChar w:fldCharType="end"/>
      </w:r>
      <w:bookmarkEnd w:id="224"/>
      <w:r>
        <w:rPr>
          <w:rFonts w:eastAsia="仿宋_GB2312" w:cs="Times New Roman"/>
          <w:color w:val="000000" w:themeColor="text1"/>
          <w:szCs w:val="21"/>
          <w14:textFill>
            <w14:solidFill>
              <w14:schemeClr w14:val="tx1"/>
            </w14:solidFill>
          </w14:textFill>
        </w:rPr>
        <w:t>通山县小区公共</w:t>
      </w:r>
      <w:r>
        <w:rPr>
          <w:rFonts w:eastAsia="仿宋_GB2312" w:cs="Times New Roman"/>
          <w:color w:val="000000" w:themeColor="text1"/>
          <w14:textFill>
            <w14:solidFill>
              <w14:schemeClr w14:val="tx1"/>
            </w14:solidFill>
          </w14:textFill>
        </w:rPr>
        <w:t>充电桩规划统计表</w:t>
      </w:r>
    </w:p>
    <w:tbl>
      <w:tblPr>
        <w:tblStyle w:val="7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67"/>
        <w:gridCol w:w="1208"/>
        <w:gridCol w:w="1209"/>
        <w:gridCol w:w="1209"/>
        <w:gridCol w:w="1209"/>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1364" w:type="pct"/>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名称</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2022</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2023</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2024</w:t>
            </w:r>
          </w:p>
        </w:tc>
        <w:tc>
          <w:tcPr>
            <w:tcW w:w="727" w:type="pct"/>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2025</w:t>
            </w:r>
          </w:p>
        </w:tc>
        <w:tc>
          <w:tcPr>
            <w:tcW w:w="727" w:type="pct"/>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十四五汇总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pct"/>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小区公共充电桩</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sz w:val="22"/>
                <w:szCs w:val="22"/>
              </w:rPr>
              <w:t>28</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sz w:val="22"/>
                <w:szCs w:val="22"/>
              </w:rPr>
              <w:t>38</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sz w:val="22"/>
                <w:szCs w:val="22"/>
              </w:rPr>
              <w:t>46</w:t>
            </w:r>
          </w:p>
        </w:tc>
        <w:tc>
          <w:tcPr>
            <w:tcW w:w="727" w:type="pct"/>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sz w:val="22"/>
                <w:szCs w:val="22"/>
              </w:rPr>
              <w:t>58</w:t>
            </w:r>
          </w:p>
        </w:tc>
        <w:tc>
          <w:tcPr>
            <w:tcW w:w="727" w:type="pct"/>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170</w:t>
            </w:r>
          </w:p>
        </w:tc>
      </w:tr>
    </w:tbl>
    <w:p>
      <w:pPr>
        <w:pStyle w:val="5"/>
        <w:adjustRightInd w:val="0"/>
        <w:snapToGrid w:val="0"/>
        <w:spacing w:before="156" w:beforeLines="50"/>
        <w:ind w:firstLine="284"/>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自用充电设施</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“十四五”期间，根据对小区私人自用充电设施预测，结合新建居民住宅小区（</w:t>
      </w:r>
      <w:r>
        <w:rPr>
          <w:rFonts w:eastAsia="仿宋_GB2312" w:cs="Times New Roman"/>
          <w:color w:val="000000" w:themeColor="text1"/>
          <w:szCs w:val="21"/>
          <w14:textFill>
            <w14:solidFill>
              <w14:schemeClr w14:val="tx1"/>
            </w14:solidFill>
          </w14:textFill>
        </w:rPr>
        <w:t>楼宇）建设情况和现有小区（楼宇）停车位改造情况进行规划布点，至2025年，新建私人充电桩953个。通山县私人充电桩规划如</w:t>
      </w:r>
      <w:r>
        <w:rPr>
          <w:rFonts w:eastAsia="仿宋_GB2312" w:cs="Times New Roman"/>
          <w:color w:val="000000" w:themeColor="text1"/>
          <w:szCs w:val="21"/>
          <w14:textFill>
            <w14:solidFill>
              <w14:schemeClr w14:val="tx1"/>
            </w14:solidFill>
          </w14:textFill>
        </w:rPr>
        <w:fldChar w:fldCharType="begin"/>
      </w:r>
      <w:r>
        <w:rPr>
          <w:rFonts w:eastAsia="仿宋_GB2312" w:cs="Times New Roman"/>
          <w:color w:val="000000" w:themeColor="text1"/>
          <w:szCs w:val="21"/>
          <w14:textFill>
            <w14:solidFill>
              <w14:schemeClr w14:val="tx1"/>
            </w14:solidFill>
          </w14:textFill>
        </w:rPr>
        <w:instrText xml:space="preserve"> REF _Ref112167910 \h  \* MERGEFORMAT </w:instrText>
      </w:r>
      <w:r>
        <w:rPr>
          <w:rFonts w:eastAsia="仿宋_GB2312" w:cs="Times New Roman"/>
          <w:color w:val="000000" w:themeColor="text1"/>
          <w:szCs w:val="21"/>
          <w14:textFill>
            <w14:solidFill>
              <w14:schemeClr w14:val="tx1"/>
            </w14:solidFill>
          </w14:textFill>
        </w:rPr>
        <w:fldChar w:fldCharType="separate"/>
      </w:r>
      <w:r>
        <w:rPr>
          <w:rFonts w:eastAsia="仿宋_GB2312" w:cs="Times New Roman"/>
          <w:color w:val="000000" w:themeColor="text1"/>
          <w14:textFill>
            <w14:solidFill>
              <w14:schemeClr w14:val="tx1"/>
            </w14:solidFill>
          </w14:textFill>
        </w:rPr>
        <w:t>表4</w:t>
      </w:r>
      <w:r>
        <w:rPr>
          <w:rFonts w:eastAsia="仿宋_GB2312" w:cs="Times New Roman"/>
          <w:color w:val="000000" w:themeColor="text1"/>
          <w14:textFill>
            <w14:solidFill>
              <w14:schemeClr w14:val="tx1"/>
            </w14:solidFill>
          </w14:textFill>
        </w:rPr>
        <w:noBreakHyphen/>
      </w:r>
      <w:r>
        <w:rPr>
          <w:rFonts w:eastAsia="仿宋_GB2312" w:cs="Times New Roman"/>
          <w:color w:val="000000" w:themeColor="text1"/>
          <w14:textFill>
            <w14:solidFill>
              <w14:schemeClr w14:val="tx1"/>
            </w14:solidFill>
          </w14:textFill>
        </w:rPr>
        <w:t>40</w:t>
      </w:r>
      <w:r>
        <w:rPr>
          <w:rFonts w:eastAsia="仿宋_GB2312" w:cs="Times New Roman"/>
          <w:color w:val="000000" w:themeColor="text1"/>
          <w:szCs w:val="21"/>
          <w14:textFill>
            <w14:solidFill>
              <w14:schemeClr w14:val="tx1"/>
            </w14:solidFill>
          </w14:textFill>
        </w:rPr>
        <w:fldChar w:fldCharType="end"/>
      </w:r>
      <w:r>
        <w:rPr>
          <w:rFonts w:eastAsia="仿宋_GB2312" w:cs="Times New Roman"/>
          <w:color w:val="000000" w:themeColor="text1"/>
          <w:szCs w:val="21"/>
          <w14:textFill>
            <w14:solidFill>
              <w14:schemeClr w14:val="tx1"/>
            </w14:solidFill>
          </w14:textFill>
        </w:rPr>
        <w:t>所示。</w:t>
      </w:r>
    </w:p>
    <w:p>
      <w:pPr>
        <w:pStyle w:val="19"/>
        <w:ind w:firstLine="560"/>
        <w:rPr>
          <w:rFonts w:eastAsia="仿宋_GB2312" w:cs="Times New Roman"/>
          <w:color w:val="000000" w:themeColor="text1"/>
          <w:szCs w:val="24"/>
          <w14:textFill>
            <w14:solidFill>
              <w14:schemeClr w14:val="tx1"/>
            </w14:solidFill>
          </w14:textFill>
        </w:rPr>
      </w:pPr>
      <w:bookmarkStart w:id="225" w:name="_Ref112167910"/>
      <w:r>
        <w:rPr>
          <w:rFonts w:eastAsia="仿宋_GB2312" w:cs="Times New Roman"/>
          <w:color w:val="000000" w:themeColor="text1"/>
          <w14:textFill>
            <w14:solidFill>
              <w14:schemeClr w14:val="tx1"/>
            </w14:solidFill>
          </w14:textFill>
        </w:rPr>
        <w:t>表</w:t>
      </w:r>
      <w:r>
        <w:rPr>
          <w:rFonts w:eastAsia="仿宋_GB2312" w:cs="Times New Roman"/>
          <w:color w:val="000000" w:themeColor="text1"/>
          <w14:textFill>
            <w14:solidFill>
              <w14:schemeClr w14:val="tx1"/>
            </w14:solidFill>
          </w14:textFill>
        </w:rPr>
        <w:fldChar w:fldCharType="begin"/>
      </w:r>
      <w:r>
        <w:rPr>
          <w:rFonts w:eastAsia="仿宋_GB2312" w:cs="Times New Roman"/>
          <w:color w:val="000000" w:themeColor="text1"/>
          <w14:textFill>
            <w14:solidFill>
              <w14:schemeClr w14:val="tx1"/>
            </w14:solidFill>
          </w14:textFill>
        </w:rPr>
        <w:instrText xml:space="preserve"> STYLEREF 1 \s </w:instrText>
      </w:r>
      <w:r>
        <w:rPr>
          <w:rFonts w:eastAsia="仿宋_GB2312" w:cs="Times New Roman"/>
          <w:color w:val="000000" w:themeColor="text1"/>
          <w14:textFill>
            <w14:solidFill>
              <w14:schemeClr w14:val="tx1"/>
            </w14:solidFill>
          </w14:textFill>
        </w:rPr>
        <w:fldChar w:fldCharType="separate"/>
      </w:r>
      <w:r>
        <w:rPr>
          <w:rFonts w:eastAsia="仿宋_GB2312" w:cs="Times New Roman"/>
          <w:color w:val="000000" w:themeColor="text1"/>
          <w14:textFill>
            <w14:solidFill>
              <w14:schemeClr w14:val="tx1"/>
            </w14:solidFill>
          </w14:textFill>
        </w:rPr>
        <w:t>4</w:t>
      </w:r>
      <w:r>
        <w:rPr>
          <w:rFonts w:eastAsia="仿宋_GB2312" w:cs="Times New Roman"/>
          <w:color w:val="000000" w:themeColor="text1"/>
          <w14:textFill>
            <w14:solidFill>
              <w14:schemeClr w14:val="tx1"/>
            </w14:solidFill>
          </w14:textFill>
        </w:rPr>
        <w:fldChar w:fldCharType="end"/>
      </w:r>
      <w:r>
        <w:rPr>
          <w:rFonts w:eastAsia="仿宋_GB2312" w:cs="Times New Roman"/>
          <w:color w:val="000000" w:themeColor="text1"/>
          <w14:textFill>
            <w14:solidFill>
              <w14:schemeClr w14:val="tx1"/>
            </w14:solidFill>
          </w14:textFill>
        </w:rPr>
        <w:noBreakHyphen/>
      </w:r>
      <w:r>
        <w:rPr>
          <w:rFonts w:eastAsia="仿宋_GB2312" w:cs="Times New Roman"/>
          <w:color w:val="000000" w:themeColor="text1"/>
          <w14:textFill>
            <w14:solidFill>
              <w14:schemeClr w14:val="tx1"/>
            </w14:solidFill>
          </w14:textFill>
        </w:rPr>
        <w:fldChar w:fldCharType="begin"/>
      </w:r>
      <w:r>
        <w:rPr>
          <w:rFonts w:eastAsia="仿宋_GB2312" w:cs="Times New Roman"/>
          <w:color w:val="000000" w:themeColor="text1"/>
          <w14:textFill>
            <w14:solidFill>
              <w14:schemeClr w14:val="tx1"/>
            </w14:solidFill>
          </w14:textFill>
        </w:rPr>
        <w:instrText xml:space="preserve"> SEQ 表 \* ARABIC \s 1 </w:instrText>
      </w:r>
      <w:r>
        <w:rPr>
          <w:rFonts w:eastAsia="仿宋_GB2312" w:cs="Times New Roman"/>
          <w:color w:val="000000" w:themeColor="text1"/>
          <w14:textFill>
            <w14:solidFill>
              <w14:schemeClr w14:val="tx1"/>
            </w14:solidFill>
          </w14:textFill>
        </w:rPr>
        <w:fldChar w:fldCharType="separate"/>
      </w:r>
      <w:r>
        <w:rPr>
          <w:rFonts w:eastAsia="仿宋_GB2312" w:cs="Times New Roman"/>
          <w:color w:val="000000" w:themeColor="text1"/>
          <w14:textFill>
            <w14:solidFill>
              <w14:schemeClr w14:val="tx1"/>
            </w14:solidFill>
          </w14:textFill>
        </w:rPr>
        <w:t>40</w:t>
      </w:r>
      <w:r>
        <w:rPr>
          <w:rFonts w:eastAsia="仿宋_GB2312" w:cs="Times New Roman"/>
          <w:color w:val="000000" w:themeColor="text1"/>
          <w14:textFill>
            <w14:solidFill>
              <w14:schemeClr w14:val="tx1"/>
            </w14:solidFill>
          </w14:textFill>
        </w:rPr>
        <w:fldChar w:fldCharType="end"/>
      </w:r>
      <w:bookmarkEnd w:id="225"/>
      <w:r>
        <w:rPr>
          <w:rFonts w:eastAsia="仿宋_GB2312" w:cs="Times New Roman"/>
          <w:color w:val="000000" w:themeColor="text1"/>
          <w14:textFill>
            <w14:solidFill>
              <w14:schemeClr w14:val="tx1"/>
            </w14:solidFill>
          </w14:textFill>
        </w:rPr>
        <w:t>通山县私人充电桩规划统计表</w:t>
      </w:r>
    </w:p>
    <w:tbl>
      <w:tblPr>
        <w:tblStyle w:val="76"/>
        <w:tblW w:w="83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271"/>
        <w:gridCol w:w="1208"/>
        <w:gridCol w:w="1208"/>
        <w:gridCol w:w="1208"/>
        <w:gridCol w:w="1208"/>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2271"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名称</w:t>
            </w:r>
          </w:p>
        </w:tc>
        <w:tc>
          <w:tcPr>
            <w:tcW w:w="1208"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2022</w:t>
            </w:r>
          </w:p>
        </w:tc>
        <w:tc>
          <w:tcPr>
            <w:tcW w:w="1208"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2023</w:t>
            </w:r>
          </w:p>
        </w:tc>
        <w:tc>
          <w:tcPr>
            <w:tcW w:w="1208"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2024</w:t>
            </w:r>
          </w:p>
        </w:tc>
        <w:tc>
          <w:tcPr>
            <w:tcW w:w="1208" w:type="dxa"/>
            <w:shd w:val="clear" w:color="auto" w:fill="auto"/>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2025</w:t>
            </w:r>
          </w:p>
        </w:tc>
        <w:tc>
          <w:tcPr>
            <w:tcW w:w="1208" w:type="dxa"/>
            <w:vAlign w:val="center"/>
          </w:tcPr>
          <w:p>
            <w:pPr>
              <w:widowControl/>
              <w:spacing w:line="240" w:lineRule="auto"/>
              <w:ind w:firstLine="0" w:firstLineChars="0"/>
              <w:jc w:val="center"/>
              <w:rPr>
                <w:rFonts w:eastAsia="仿宋_GB2312" w:cs="Times New Roman"/>
                <w:b/>
                <w:bCs/>
                <w:color w:val="000000" w:themeColor="text1"/>
                <w:kern w:val="0"/>
                <w:sz w:val="21"/>
                <w14:textFill>
                  <w14:solidFill>
                    <w14:schemeClr w14:val="tx1"/>
                  </w14:solidFill>
                </w14:textFill>
              </w:rPr>
            </w:pPr>
            <w:r>
              <w:rPr>
                <w:rFonts w:eastAsia="仿宋_GB2312" w:cs="Times New Roman"/>
                <w:b/>
                <w:bCs/>
                <w:color w:val="000000" w:themeColor="text1"/>
                <w:kern w:val="0"/>
                <w:sz w:val="21"/>
                <w14:textFill>
                  <w14:solidFill>
                    <w14:schemeClr w14:val="tx1"/>
                  </w14:solidFill>
                </w14:textFill>
              </w:rPr>
              <w:t>十四五汇总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271"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小区自用桩（7kW）</w:t>
            </w:r>
          </w:p>
        </w:tc>
        <w:tc>
          <w:tcPr>
            <w:tcW w:w="1208"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等线" w:cs="Times New Roman"/>
                <w:color w:val="000000"/>
                <w:sz w:val="22"/>
                <w:szCs w:val="22"/>
              </w:rPr>
              <w:t>112</w:t>
            </w:r>
          </w:p>
        </w:tc>
        <w:tc>
          <w:tcPr>
            <w:tcW w:w="1208"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等线" w:cs="Times New Roman"/>
                <w:color w:val="000000"/>
                <w:sz w:val="22"/>
                <w:szCs w:val="22"/>
              </w:rPr>
              <w:t>149</w:t>
            </w:r>
          </w:p>
        </w:tc>
        <w:tc>
          <w:tcPr>
            <w:tcW w:w="1208"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等线" w:cs="Times New Roman"/>
                <w:color w:val="000000"/>
                <w:sz w:val="22"/>
                <w:szCs w:val="22"/>
              </w:rPr>
              <w:t>181</w:t>
            </w:r>
          </w:p>
        </w:tc>
        <w:tc>
          <w:tcPr>
            <w:tcW w:w="1208" w:type="dxa"/>
            <w:shd w:val="clear" w:color="auto" w:fill="auto"/>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等线" w:cs="Times New Roman"/>
                <w:color w:val="000000"/>
                <w:sz w:val="22"/>
                <w:szCs w:val="22"/>
              </w:rPr>
              <w:t>230</w:t>
            </w:r>
          </w:p>
        </w:tc>
        <w:tc>
          <w:tcPr>
            <w:tcW w:w="1208" w:type="dxa"/>
            <w:vAlign w:val="center"/>
          </w:tcPr>
          <w:p>
            <w:pPr>
              <w:widowControl/>
              <w:spacing w:line="240" w:lineRule="auto"/>
              <w:ind w:firstLine="0" w:firstLineChars="0"/>
              <w:jc w:val="center"/>
              <w:rPr>
                <w:rFonts w:eastAsia="仿宋_GB2312" w:cs="Times New Roman"/>
                <w:color w:val="000000" w:themeColor="text1"/>
                <w:kern w:val="0"/>
                <w:sz w:val="21"/>
                <w14:textFill>
                  <w14:solidFill>
                    <w14:schemeClr w14:val="tx1"/>
                  </w14:solidFill>
                </w14:textFill>
              </w:rPr>
            </w:pPr>
            <w:r>
              <w:rPr>
                <w:rFonts w:eastAsia="仿宋_GB2312" w:cs="Times New Roman"/>
                <w:color w:val="000000" w:themeColor="text1"/>
                <w:kern w:val="0"/>
                <w:sz w:val="21"/>
                <w14:textFill>
                  <w14:solidFill>
                    <w14:schemeClr w14:val="tx1"/>
                  </w14:solidFill>
                </w14:textFill>
              </w:rPr>
              <w:t>672</w:t>
            </w:r>
          </w:p>
        </w:tc>
      </w:tr>
    </w:tbl>
    <w:p>
      <w:pPr>
        <w:pStyle w:val="4"/>
        <w:spacing w:before="156"/>
        <w:rPr>
          <w:rFonts w:eastAsia="仿宋_GB2312"/>
        </w:rPr>
      </w:pPr>
      <w:bookmarkStart w:id="226" w:name="_Toc117243228"/>
      <w:r>
        <w:rPr>
          <w:rFonts w:eastAsia="仿宋_GB2312"/>
        </w:rPr>
        <w:t>自驾旅游充电设施布局分析</w:t>
      </w:r>
      <w:bookmarkEnd w:id="226"/>
    </w:p>
    <w:p>
      <w:pPr>
        <w:adjustRightInd w:val="0"/>
        <w:snapToGrid w:val="0"/>
        <w:ind w:firstLine="560"/>
        <w:rPr>
          <w:rFonts w:eastAsia="仿宋_GB2312" w:cs="Times New Roman"/>
        </w:rPr>
      </w:pPr>
      <w:r>
        <w:rPr>
          <w:rFonts w:eastAsia="仿宋_GB2312" w:cs="Times New Roman"/>
        </w:rPr>
        <w:t>随着全国旅游业的发展，采用新能源汽车自驾游的游客也越来越多，然而普遍存在充电基础设施的配套建设不完善，尤其是在旅游城市，景区充电难的问题更加突出。许多新能源车主就感受到很不方便，缺少配套充电桩服务在一定程度上阻碍了旅游业的发展。</w:t>
      </w:r>
    </w:p>
    <w:p>
      <w:pPr>
        <w:adjustRightInd w:val="0"/>
        <w:snapToGrid w:val="0"/>
        <w:ind w:firstLine="560"/>
        <w:rPr>
          <w:rFonts w:eastAsia="仿宋_GB2312" w:cs="Times New Roman"/>
        </w:rPr>
      </w:pPr>
      <w:r>
        <w:rPr>
          <w:rFonts w:eastAsia="仿宋_GB2312" w:cs="Times New Roman"/>
        </w:rPr>
        <w:t>咸宁</w:t>
      </w:r>
      <w:r>
        <w:rPr>
          <w:rFonts w:hint="eastAsia" w:eastAsia="仿宋_GB2312" w:cs="Times New Roman"/>
        </w:rPr>
        <w:t>是</w:t>
      </w:r>
      <w:r>
        <w:rPr>
          <w:rFonts w:eastAsia="仿宋_GB2312" w:cs="Times New Roman"/>
        </w:rPr>
        <w:t>天然氧吧，更是旅游胜地，因此推进旅游景区充电设施的发展迫在眉睫，本次规划4A及热门旅游景区充电站14座，共计328台充电桩。咸宁4A及其他热门景点如</w:t>
      </w:r>
      <w:r>
        <w:rPr>
          <w:rFonts w:eastAsia="仿宋_GB2312" w:cs="Times New Roman"/>
        </w:rPr>
        <w:fldChar w:fldCharType="begin"/>
      </w:r>
      <w:r>
        <w:rPr>
          <w:rFonts w:eastAsia="仿宋_GB2312" w:cs="Times New Roman"/>
        </w:rPr>
        <w:instrText xml:space="preserve"> REF _Ref111816878 \h  \* MERGEFORMAT </w:instrText>
      </w:r>
      <w:r>
        <w:rPr>
          <w:rFonts w:eastAsia="仿宋_GB2312" w:cs="Times New Roman"/>
        </w:rPr>
        <w:fldChar w:fldCharType="separate"/>
      </w:r>
      <w:r>
        <w:rPr>
          <w:rFonts w:eastAsia="仿宋_GB2312" w:cs="Times New Roman"/>
          <w:bCs/>
        </w:rPr>
        <w:t>图 4</w:t>
      </w:r>
      <w:r>
        <w:rPr>
          <w:rFonts w:eastAsia="仿宋_GB2312" w:cs="Times New Roman"/>
          <w:bCs/>
        </w:rPr>
        <w:noBreakHyphen/>
      </w:r>
      <w:r>
        <w:rPr>
          <w:rFonts w:eastAsia="仿宋_GB2312" w:cs="Times New Roman"/>
          <w:bCs/>
        </w:rPr>
        <w:t>120</w:t>
      </w:r>
      <w:r>
        <w:rPr>
          <w:rFonts w:eastAsia="仿宋_GB2312" w:cs="Times New Roman"/>
        </w:rPr>
        <w:fldChar w:fldCharType="end"/>
      </w:r>
      <w:r>
        <w:rPr>
          <w:rFonts w:eastAsia="仿宋_GB2312" w:cs="Times New Roman"/>
        </w:rPr>
        <w:t>所示，咸宁旅游景区布局规划明细如</w:t>
      </w:r>
      <w:r>
        <w:rPr>
          <w:rFonts w:eastAsia="仿宋_GB2312" w:cs="Times New Roman"/>
        </w:rPr>
        <w:fldChar w:fldCharType="begin"/>
      </w:r>
      <w:r>
        <w:rPr>
          <w:rFonts w:eastAsia="仿宋_GB2312" w:cs="Times New Roman"/>
        </w:rPr>
        <w:instrText xml:space="preserve"> REF _Ref16509271 \h  \* MERGEFORMAT </w:instrText>
      </w:r>
      <w:r>
        <w:rPr>
          <w:rFonts w:eastAsia="仿宋_GB2312" w:cs="Times New Roman"/>
        </w:rPr>
        <w:fldChar w:fldCharType="separate"/>
      </w:r>
      <w:r>
        <w:rPr>
          <w:rFonts w:eastAsia="仿宋_GB2312" w:cs="Times New Roman"/>
          <w:bCs/>
        </w:rPr>
        <w:t>表 4</w:t>
      </w:r>
      <w:r>
        <w:rPr>
          <w:rFonts w:eastAsia="仿宋_GB2312" w:cs="Times New Roman"/>
          <w:bCs/>
        </w:rPr>
        <w:noBreakHyphen/>
      </w:r>
      <w:r>
        <w:rPr>
          <w:rFonts w:eastAsia="仿宋_GB2312" w:cs="Times New Roman"/>
          <w:bCs/>
        </w:rPr>
        <w:t>41</w:t>
      </w:r>
      <w:r>
        <w:rPr>
          <w:rFonts w:eastAsia="仿宋_GB2312" w:cs="Times New Roman"/>
        </w:rPr>
        <w:fldChar w:fldCharType="end"/>
      </w:r>
      <w:r>
        <w:rPr>
          <w:rFonts w:eastAsia="仿宋_GB2312" w:cs="Times New Roman"/>
        </w:rPr>
        <w:t>所示。</w:t>
      </w:r>
    </w:p>
    <w:p>
      <w:pPr>
        <w:snapToGrid w:val="0"/>
        <w:ind w:firstLine="198" w:firstLineChars="71"/>
        <w:jc w:val="center"/>
        <w:rPr>
          <w:rFonts w:eastAsia="仿宋_GB2312" w:cs="Times New Roman"/>
        </w:rPr>
      </w:pPr>
      <w:r>
        <w:rPr>
          <w:rFonts w:eastAsia="仿宋_GB2312" w:cs="Times New Roman"/>
        </w:rPr>
        <w:drawing>
          <wp:inline distT="0" distB="0" distL="0" distR="0">
            <wp:extent cx="4820920" cy="3930650"/>
            <wp:effectExtent l="0" t="0" r="0" b="0"/>
            <wp:docPr id="198" name="图片 19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true" noChangeArrowheads="true"/>
                    </pic:cNvPicPr>
                  </pic:nvPicPr>
                  <pic:blipFill>
                    <a:blip r:embed="rId235" cstate="print">
                      <a:extLst>
                        <a:ext uri="{28A0092B-C50C-407E-A947-70E740481C1C}">
                          <a14:useLocalDpi xmlns:a14="http://schemas.microsoft.com/office/drawing/2010/main" val="false"/>
                        </a:ext>
                      </a:extLst>
                    </a:blip>
                    <a:srcRect l="9850" t="3528" r="11204" b="5474"/>
                    <a:stretch>
                      <a:fillRect/>
                    </a:stretch>
                  </pic:blipFill>
                  <pic:spPr>
                    <a:xfrm>
                      <a:off x="0" y="0"/>
                      <a:ext cx="4828564" cy="3936766"/>
                    </a:xfrm>
                    <a:prstGeom prst="rect">
                      <a:avLst/>
                    </a:prstGeom>
                    <a:noFill/>
                    <a:ln>
                      <a:noFill/>
                    </a:ln>
                  </pic:spPr>
                </pic:pic>
              </a:graphicData>
            </a:graphic>
          </wp:inline>
        </w:drawing>
      </w:r>
    </w:p>
    <w:p>
      <w:pPr>
        <w:snapToGrid w:val="0"/>
        <w:ind w:firstLine="482"/>
        <w:jc w:val="center"/>
        <w:rPr>
          <w:rFonts w:eastAsia="仿宋_GB2312" w:cs="Times New Roman"/>
          <w:bCs/>
          <w:sz w:val="24"/>
          <w:szCs w:val="24"/>
        </w:rPr>
      </w:pPr>
      <w:bookmarkStart w:id="227" w:name="_Ref111816878"/>
      <w:r>
        <w:rPr>
          <w:rFonts w:eastAsia="仿宋_GB2312" w:cs="Times New Roman"/>
          <w:b/>
          <w:bCs/>
          <w:sz w:val="24"/>
          <w:szCs w:val="24"/>
        </w:rPr>
        <w:t xml:space="preserve">图 </w:t>
      </w:r>
      <w:r>
        <w:rPr>
          <w:rFonts w:eastAsia="仿宋_GB2312" w:cs="Times New Roman"/>
          <w:b/>
          <w:bCs/>
          <w:sz w:val="24"/>
          <w:szCs w:val="24"/>
        </w:rPr>
        <w:fldChar w:fldCharType="begin"/>
      </w:r>
      <w:r>
        <w:rPr>
          <w:rFonts w:eastAsia="仿宋_GB2312" w:cs="Times New Roman"/>
          <w:b/>
          <w:bCs/>
          <w:sz w:val="24"/>
          <w:szCs w:val="24"/>
        </w:rPr>
        <w:instrText xml:space="preserve"> STYLEREF 1 \s </w:instrText>
      </w:r>
      <w:r>
        <w:rPr>
          <w:rFonts w:eastAsia="仿宋_GB2312" w:cs="Times New Roman"/>
          <w:b/>
          <w:bCs/>
          <w:sz w:val="24"/>
          <w:szCs w:val="24"/>
        </w:rPr>
        <w:fldChar w:fldCharType="separate"/>
      </w:r>
      <w:r>
        <w:rPr>
          <w:rFonts w:eastAsia="仿宋_GB2312" w:cs="Times New Roman"/>
          <w:b/>
          <w:bCs/>
          <w:sz w:val="24"/>
          <w:szCs w:val="24"/>
        </w:rPr>
        <w:t>4</w:t>
      </w:r>
      <w:r>
        <w:rPr>
          <w:rFonts w:eastAsia="仿宋_GB2312" w:cs="Times New Roman"/>
          <w:b/>
          <w:bCs/>
          <w:sz w:val="24"/>
          <w:szCs w:val="24"/>
        </w:rPr>
        <w:fldChar w:fldCharType="end"/>
      </w:r>
      <w:r>
        <w:rPr>
          <w:rFonts w:eastAsia="仿宋_GB2312" w:cs="Times New Roman"/>
          <w:b/>
          <w:bCs/>
          <w:sz w:val="24"/>
          <w:szCs w:val="24"/>
        </w:rPr>
        <w:noBreakHyphen/>
      </w:r>
      <w:r>
        <w:rPr>
          <w:rFonts w:eastAsia="仿宋_GB2312" w:cs="Times New Roman"/>
          <w:b/>
          <w:bCs/>
          <w:sz w:val="24"/>
          <w:szCs w:val="24"/>
        </w:rPr>
        <w:fldChar w:fldCharType="begin"/>
      </w:r>
      <w:r>
        <w:rPr>
          <w:rFonts w:eastAsia="仿宋_GB2312" w:cs="Times New Roman"/>
          <w:b/>
          <w:bCs/>
          <w:sz w:val="24"/>
          <w:szCs w:val="24"/>
        </w:rPr>
        <w:instrText xml:space="preserve"> SEQ 图 \* ARABIC \s 1 </w:instrText>
      </w:r>
      <w:r>
        <w:rPr>
          <w:rFonts w:eastAsia="仿宋_GB2312" w:cs="Times New Roman"/>
          <w:b/>
          <w:bCs/>
          <w:sz w:val="24"/>
          <w:szCs w:val="24"/>
        </w:rPr>
        <w:fldChar w:fldCharType="separate"/>
      </w:r>
      <w:r>
        <w:rPr>
          <w:rFonts w:eastAsia="仿宋_GB2312" w:cs="Times New Roman"/>
          <w:b/>
          <w:bCs/>
          <w:sz w:val="24"/>
          <w:szCs w:val="24"/>
        </w:rPr>
        <w:t>120</w:t>
      </w:r>
      <w:r>
        <w:rPr>
          <w:rFonts w:eastAsia="仿宋_GB2312" w:cs="Times New Roman"/>
          <w:b/>
          <w:bCs/>
          <w:sz w:val="24"/>
          <w:szCs w:val="24"/>
        </w:rPr>
        <w:fldChar w:fldCharType="end"/>
      </w:r>
      <w:bookmarkEnd w:id="227"/>
      <w:r>
        <w:rPr>
          <w:rFonts w:eastAsia="仿宋_GB2312" w:cs="Times New Roman"/>
          <w:b/>
          <w:bCs/>
          <w:sz w:val="24"/>
          <w:szCs w:val="24"/>
        </w:rPr>
        <w:t xml:space="preserve"> 咸宁4A级景点分布图</w:t>
      </w:r>
    </w:p>
    <w:p>
      <w:pPr>
        <w:snapToGrid w:val="0"/>
        <w:ind w:firstLine="482"/>
        <w:jc w:val="center"/>
        <w:rPr>
          <w:rFonts w:eastAsia="仿宋_GB2312" w:cs="Times New Roman"/>
          <w:b/>
          <w:bCs/>
          <w:sz w:val="24"/>
          <w:szCs w:val="24"/>
        </w:rPr>
      </w:pPr>
      <w:bookmarkStart w:id="228" w:name="_Ref16509271"/>
      <w:bookmarkStart w:id="229" w:name="_Ref16685925"/>
      <w:r>
        <w:rPr>
          <w:rFonts w:eastAsia="仿宋_GB2312" w:cs="Times New Roman"/>
          <w:b/>
          <w:bCs/>
          <w:sz w:val="24"/>
          <w:szCs w:val="24"/>
        </w:rPr>
        <w:t xml:space="preserve">表 </w:t>
      </w:r>
      <w:r>
        <w:rPr>
          <w:rFonts w:eastAsia="仿宋_GB2312" w:cs="Times New Roman"/>
          <w:b/>
          <w:bCs/>
          <w:sz w:val="24"/>
          <w:szCs w:val="24"/>
        </w:rPr>
        <w:fldChar w:fldCharType="begin"/>
      </w:r>
      <w:r>
        <w:rPr>
          <w:rFonts w:eastAsia="仿宋_GB2312" w:cs="Times New Roman"/>
          <w:b/>
          <w:bCs/>
          <w:sz w:val="24"/>
          <w:szCs w:val="24"/>
        </w:rPr>
        <w:instrText xml:space="preserve"> STYLEREF 1 \s </w:instrText>
      </w:r>
      <w:r>
        <w:rPr>
          <w:rFonts w:eastAsia="仿宋_GB2312" w:cs="Times New Roman"/>
          <w:b/>
          <w:bCs/>
          <w:sz w:val="24"/>
          <w:szCs w:val="24"/>
        </w:rPr>
        <w:fldChar w:fldCharType="separate"/>
      </w:r>
      <w:r>
        <w:rPr>
          <w:rFonts w:eastAsia="仿宋_GB2312" w:cs="Times New Roman"/>
          <w:b/>
          <w:bCs/>
          <w:sz w:val="24"/>
          <w:szCs w:val="24"/>
        </w:rPr>
        <w:t>4</w:t>
      </w:r>
      <w:r>
        <w:rPr>
          <w:rFonts w:eastAsia="仿宋_GB2312" w:cs="Times New Roman"/>
          <w:b/>
          <w:bCs/>
          <w:sz w:val="24"/>
          <w:szCs w:val="24"/>
        </w:rPr>
        <w:fldChar w:fldCharType="end"/>
      </w:r>
      <w:r>
        <w:rPr>
          <w:rFonts w:eastAsia="仿宋_GB2312" w:cs="Times New Roman"/>
          <w:b/>
          <w:bCs/>
          <w:sz w:val="24"/>
          <w:szCs w:val="24"/>
        </w:rPr>
        <w:noBreakHyphen/>
      </w:r>
      <w:r>
        <w:rPr>
          <w:rFonts w:eastAsia="仿宋_GB2312" w:cs="Times New Roman"/>
          <w:b/>
          <w:bCs/>
          <w:sz w:val="24"/>
          <w:szCs w:val="24"/>
        </w:rPr>
        <w:fldChar w:fldCharType="begin"/>
      </w:r>
      <w:r>
        <w:rPr>
          <w:rFonts w:eastAsia="仿宋_GB2312" w:cs="Times New Roman"/>
          <w:b/>
          <w:bCs/>
          <w:sz w:val="24"/>
          <w:szCs w:val="24"/>
        </w:rPr>
        <w:instrText xml:space="preserve"> SEQ 表 \* ARABIC \s 1 </w:instrText>
      </w:r>
      <w:r>
        <w:rPr>
          <w:rFonts w:eastAsia="仿宋_GB2312" w:cs="Times New Roman"/>
          <w:b/>
          <w:bCs/>
          <w:sz w:val="24"/>
          <w:szCs w:val="24"/>
        </w:rPr>
        <w:fldChar w:fldCharType="separate"/>
      </w:r>
      <w:r>
        <w:rPr>
          <w:rFonts w:eastAsia="仿宋_GB2312" w:cs="Times New Roman"/>
          <w:b/>
          <w:bCs/>
          <w:sz w:val="24"/>
          <w:szCs w:val="24"/>
        </w:rPr>
        <w:t>41</w:t>
      </w:r>
      <w:r>
        <w:rPr>
          <w:rFonts w:eastAsia="仿宋_GB2312" w:cs="Times New Roman"/>
          <w:b/>
          <w:bCs/>
          <w:sz w:val="24"/>
          <w:szCs w:val="24"/>
        </w:rPr>
        <w:fldChar w:fldCharType="end"/>
      </w:r>
      <w:bookmarkEnd w:id="228"/>
      <w:bookmarkEnd w:id="229"/>
      <w:r>
        <w:rPr>
          <w:rFonts w:eastAsia="仿宋_GB2312" w:cs="Times New Roman"/>
          <w:b/>
          <w:bCs/>
          <w:sz w:val="24"/>
          <w:szCs w:val="24"/>
        </w:rPr>
        <w:t xml:space="preserve"> 咸宁4A及以上旅游景区布局规划明细表</w:t>
      </w:r>
    </w:p>
    <w:tbl>
      <w:tblPr>
        <w:tblStyle w:val="76"/>
        <w:tblW w:w="8264" w:type="dxa"/>
        <w:jc w:val="center"/>
        <w:tblLayout w:type="autofit"/>
        <w:tblCellMar>
          <w:top w:w="0" w:type="dxa"/>
          <w:left w:w="108" w:type="dxa"/>
          <w:bottom w:w="0" w:type="dxa"/>
          <w:right w:w="108" w:type="dxa"/>
        </w:tblCellMar>
      </w:tblPr>
      <w:tblGrid>
        <w:gridCol w:w="397"/>
        <w:gridCol w:w="1643"/>
        <w:gridCol w:w="736"/>
        <w:gridCol w:w="1573"/>
        <w:gridCol w:w="2512"/>
        <w:gridCol w:w="623"/>
        <w:gridCol w:w="780"/>
      </w:tblGrid>
      <w:tr>
        <w:tblPrEx>
          <w:tblCellMar>
            <w:top w:w="0" w:type="dxa"/>
            <w:left w:w="108" w:type="dxa"/>
            <w:bottom w:w="0" w:type="dxa"/>
            <w:right w:w="108" w:type="dxa"/>
          </w:tblCellMar>
        </w:tblPrEx>
        <w:trPr>
          <w:trHeight w:val="64" w:hRule="atLeast"/>
          <w:tblHeader/>
          <w:jc w:val="center"/>
        </w:trPr>
        <w:tc>
          <w:tcPr>
            <w:tcW w:w="39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序号</w:t>
            </w:r>
          </w:p>
        </w:tc>
        <w:tc>
          <w:tcPr>
            <w:tcW w:w="1643" w:type="dxa"/>
            <w:tcBorders>
              <w:top w:val="single" w:color="auto" w:sz="4" w:space="0"/>
              <w:left w:val="nil"/>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名称</w:t>
            </w:r>
          </w:p>
        </w:tc>
        <w:tc>
          <w:tcPr>
            <w:tcW w:w="736" w:type="dxa"/>
            <w:tcBorders>
              <w:top w:val="single" w:color="auto" w:sz="4" w:space="0"/>
              <w:left w:val="nil"/>
              <w:bottom w:val="single" w:color="auto" w:sz="4" w:space="0"/>
              <w:right w:val="single" w:color="auto" w:sz="4" w:space="0"/>
            </w:tcBorders>
            <w:vAlign w:val="center"/>
          </w:tcPr>
          <w:p>
            <w:pPr>
              <w:widowControl/>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等级</w:t>
            </w:r>
          </w:p>
        </w:tc>
        <w:tc>
          <w:tcPr>
            <w:tcW w:w="157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布局规划</w:t>
            </w:r>
          </w:p>
        </w:tc>
        <w:tc>
          <w:tcPr>
            <w:tcW w:w="2512" w:type="dxa"/>
            <w:tcBorders>
              <w:top w:val="single" w:color="auto" w:sz="4" w:space="0"/>
              <w:left w:val="nil"/>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地理位置</w:t>
            </w:r>
          </w:p>
        </w:tc>
        <w:tc>
          <w:tcPr>
            <w:tcW w:w="623" w:type="dxa"/>
            <w:tcBorders>
              <w:top w:val="single" w:color="auto" w:sz="4" w:space="0"/>
              <w:left w:val="nil"/>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实施类型</w:t>
            </w:r>
          </w:p>
        </w:tc>
        <w:tc>
          <w:tcPr>
            <w:tcW w:w="780" w:type="dxa"/>
            <w:tcBorders>
              <w:top w:val="single" w:color="auto" w:sz="4" w:space="0"/>
              <w:left w:val="nil"/>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充电桩数</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w:t>
            </w:r>
          </w:p>
        </w:tc>
        <w:tc>
          <w:tcPr>
            <w:tcW w:w="1643" w:type="dxa"/>
            <w:tcBorders>
              <w:top w:val="nil"/>
              <w:left w:val="nil"/>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三国赤壁古战场</w:t>
            </w:r>
          </w:p>
        </w:tc>
        <w:tc>
          <w:tcPr>
            <w:tcW w:w="736" w:type="dxa"/>
            <w:tcBorders>
              <w:top w:val="nil"/>
              <w:left w:val="nil"/>
              <w:bottom w:val="single" w:color="auto" w:sz="4" w:space="0"/>
              <w:right w:val="single" w:color="auto" w:sz="4"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5A</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新建20台120kW直流充电桩</w:t>
            </w:r>
          </w:p>
        </w:tc>
        <w:tc>
          <w:tcPr>
            <w:tcW w:w="2512" w:type="dxa"/>
            <w:tcBorders>
              <w:top w:val="nil"/>
              <w:left w:val="nil"/>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赤壁市赤壁镇武侯巷</w:t>
            </w:r>
          </w:p>
        </w:tc>
        <w:tc>
          <w:tcPr>
            <w:tcW w:w="623" w:type="dxa"/>
            <w:tcBorders>
              <w:top w:val="nil"/>
              <w:left w:val="nil"/>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40</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柃蜜小镇·白崖山景区</w:t>
            </w:r>
          </w:p>
        </w:tc>
        <w:tc>
          <w:tcPr>
            <w:tcW w:w="736" w:type="dxa"/>
            <w:tcBorders>
              <w:top w:val="nil"/>
              <w:left w:val="nil"/>
              <w:bottom w:val="single" w:color="auto" w:sz="4" w:space="0"/>
              <w:right w:val="single" w:color="auto" w:sz="4"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4A</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新建10台120kW直流充电桩</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崇阳县金塘镇畈上村</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3</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通山九宫山风景区</w:t>
            </w:r>
          </w:p>
        </w:tc>
        <w:tc>
          <w:tcPr>
            <w:tcW w:w="736" w:type="dxa"/>
            <w:tcBorders>
              <w:top w:val="nil"/>
              <w:left w:val="nil"/>
              <w:bottom w:val="single" w:color="auto" w:sz="4" w:space="0"/>
              <w:right w:val="single" w:color="auto" w:sz="4" w:space="0"/>
            </w:tcBorders>
            <w:vAlign w:val="center"/>
          </w:tcPr>
          <w:p>
            <w:pPr>
              <w:spacing w:line="240" w:lineRule="auto"/>
              <w:ind w:firstLine="0" w:firstLineChars="0"/>
              <w:jc w:val="center"/>
              <w:rPr>
                <w:rFonts w:eastAsia="仿宋_GB2312" w:cs="Times New Roman"/>
              </w:rPr>
            </w:pPr>
            <w:r>
              <w:rPr>
                <w:rFonts w:eastAsia="仿宋_GB2312" w:cs="Times New Roman"/>
                <w:color w:val="000000"/>
                <w:kern w:val="0"/>
                <w:sz w:val="18"/>
                <w:szCs w:val="18"/>
              </w:rPr>
              <w:t>4A</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新建20台120kW直流充电桩</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通山县云中湖路</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40</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4</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龙佑赤壁温泉旅游度假区</w:t>
            </w:r>
          </w:p>
        </w:tc>
        <w:tc>
          <w:tcPr>
            <w:tcW w:w="736" w:type="dxa"/>
            <w:tcBorders>
              <w:top w:val="nil"/>
              <w:left w:val="nil"/>
              <w:bottom w:val="single" w:color="auto" w:sz="4" w:space="0"/>
              <w:right w:val="single" w:color="auto" w:sz="4" w:space="0"/>
            </w:tcBorders>
            <w:vAlign w:val="center"/>
          </w:tcPr>
          <w:p>
            <w:pPr>
              <w:spacing w:line="240" w:lineRule="auto"/>
              <w:ind w:firstLine="0" w:firstLineChars="0"/>
              <w:jc w:val="center"/>
              <w:rPr>
                <w:rFonts w:eastAsia="仿宋_GB2312" w:cs="Times New Roman"/>
              </w:rPr>
            </w:pPr>
            <w:r>
              <w:rPr>
                <w:rFonts w:eastAsia="仿宋_GB2312" w:cs="Times New Roman"/>
                <w:color w:val="000000"/>
                <w:kern w:val="0"/>
                <w:sz w:val="18"/>
                <w:szCs w:val="18"/>
              </w:rPr>
              <w:t>4A</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新建10台120kW直流充电桩</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赤壁市赤壁大道774号</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5</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咸宁市陆水湖风景区</w:t>
            </w:r>
          </w:p>
        </w:tc>
        <w:tc>
          <w:tcPr>
            <w:tcW w:w="736" w:type="dxa"/>
            <w:tcBorders>
              <w:top w:val="nil"/>
              <w:left w:val="nil"/>
              <w:bottom w:val="single" w:color="auto" w:sz="4" w:space="0"/>
              <w:right w:val="single" w:color="auto" w:sz="4" w:space="0"/>
            </w:tcBorders>
            <w:vAlign w:val="center"/>
          </w:tcPr>
          <w:p>
            <w:pPr>
              <w:spacing w:line="240" w:lineRule="auto"/>
              <w:ind w:firstLine="0" w:firstLineChars="0"/>
              <w:jc w:val="center"/>
              <w:rPr>
                <w:rFonts w:eastAsia="仿宋_GB2312" w:cs="Times New Roman"/>
              </w:rPr>
            </w:pPr>
            <w:r>
              <w:rPr>
                <w:rFonts w:eastAsia="仿宋_GB2312" w:cs="Times New Roman"/>
                <w:color w:val="000000"/>
                <w:kern w:val="0"/>
                <w:sz w:val="18"/>
                <w:szCs w:val="18"/>
              </w:rPr>
              <w:t>4A</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新建10台120kW直流充电桩</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赤壁市陆水湖大道646号</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6</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咸宁市隐水洞景区</w:t>
            </w:r>
          </w:p>
        </w:tc>
        <w:tc>
          <w:tcPr>
            <w:tcW w:w="736" w:type="dxa"/>
            <w:tcBorders>
              <w:top w:val="nil"/>
              <w:left w:val="nil"/>
              <w:bottom w:val="single" w:color="auto" w:sz="4" w:space="0"/>
              <w:right w:val="single" w:color="auto" w:sz="4" w:space="0"/>
            </w:tcBorders>
            <w:vAlign w:val="center"/>
          </w:tcPr>
          <w:p>
            <w:pPr>
              <w:spacing w:line="240" w:lineRule="auto"/>
              <w:ind w:firstLine="0" w:firstLineChars="0"/>
              <w:jc w:val="center"/>
              <w:rPr>
                <w:rFonts w:eastAsia="仿宋_GB2312" w:cs="Times New Roman"/>
              </w:rPr>
            </w:pPr>
            <w:r>
              <w:rPr>
                <w:rFonts w:eastAsia="仿宋_GB2312" w:cs="Times New Roman"/>
                <w:color w:val="000000"/>
                <w:kern w:val="0"/>
                <w:sz w:val="18"/>
                <w:szCs w:val="18"/>
              </w:rPr>
              <w:t>4A</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新建10台120kW直流充电桩</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通山县大畈镇</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40</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7</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咸宁市通圣太乙温泉</w:t>
            </w:r>
          </w:p>
        </w:tc>
        <w:tc>
          <w:tcPr>
            <w:tcW w:w="736" w:type="dxa"/>
            <w:tcBorders>
              <w:top w:val="nil"/>
              <w:left w:val="nil"/>
              <w:bottom w:val="single" w:color="auto" w:sz="4" w:space="0"/>
              <w:right w:val="single" w:color="auto" w:sz="4" w:space="0"/>
            </w:tcBorders>
            <w:vAlign w:val="center"/>
          </w:tcPr>
          <w:p>
            <w:pPr>
              <w:spacing w:line="240" w:lineRule="auto"/>
              <w:ind w:firstLine="0" w:firstLineChars="0"/>
              <w:jc w:val="center"/>
              <w:rPr>
                <w:rFonts w:eastAsia="仿宋_GB2312" w:cs="Times New Roman"/>
              </w:rPr>
            </w:pPr>
            <w:r>
              <w:rPr>
                <w:rFonts w:eastAsia="仿宋_GB2312" w:cs="Times New Roman"/>
                <w:color w:val="000000"/>
                <w:kern w:val="0"/>
                <w:sz w:val="18"/>
                <w:szCs w:val="18"/>
              </w:rPr>
              <w:t>4A</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新建4台120kW直流充电桩</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咸安区浮山办事处太乙村八组</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8</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咸宁市楚天瑶池温泉度假村</w:t>
            </w:r>
          </w:p>
        </w:tc>
        <w:tc>
          <w:tcPr>
            <w:tcW w:w="736" w:type="dxa"/>
            <w:tcBorders>
              <w:top w:val="nil"/>
              <w:left w:val="nil"/>
              <w:bottom w:val="single" w:color="auto" w:sz="4" w:space="0"/>
              <w:right w:val="single" w:color="auto" w:sz="4" w:space="0"/>
            </w:tcBorders>
            <w:vAlign w:val="center"/>
          </w:tcPr>
          <w:p>
            <w:pPr>
              <w:spacing w:line="240" w:lineRule="auto"/>
              <w:ind w:firstLine="0" w:firstLineChars="0"/>
              <w:jc w:val="center"/>
              <w:rPr>
                <w:rFonts w:eastAsia="仿宋_GB2312" w:cs="Times New Roman"/>
              </w:rPr>
            </w:pPr>
            <w:r>
              <w:rPr>
                <w:rFonts w:eastAsia="仿宋_GB2312" w:cs="Times New Roman"/>
                <w:color w:val="000000"/>
                <w:kern w:val="0"/>
                <w:sz w:val="18"/>
                <w:szCs w:val="18"/>
              </w:rPr>
              <w:t>4A</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新建4台120kW直流充电桩</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咸安区温泉路3号</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9</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嘉鱼县山湖温泉景区</w:t>
            </w:r>
          </w:p>
        </w:tc>
        <w:tc>
          <w:tcPr>
            <w:tcW w:w="736" w:type="dxa"/>
            <w:tcBorders>
              <w:top w:val="nil"/>
              <w:left w:val="nil"/>
              <w:bottom w:val="single" w:color="auto" w:sz="4" w:space="0"/>
              <w:right w:val="single" w:color="auto" w:sz="4" w:space="0"/>
            </w:tcBorders>
            <w:vAlign w:val="center"/>
          </w:tcPr>
          <w:p>
            <w:pPr>
              <w:spacing w:line="240" w:lineRule="auto"/>
              <w:ind w:firstLine="0" w:firstLineChars="0"/>
              <w:jc w:val="center"/>
              <w:rPr>
                <w:rFonts w:eastAsia="仿宋_GB2312" w:cs="Times New Roman"/>
              </w:rPr>
            </w:pPr>
            <w:r>
              <w:rPr>
                <w:rFonts w:eastAsia="仿宋_GB2312" w:cs="Times New Roman"/>
                <w:color w:val="000000"/>
                <w:kern w:val="0"/>
                <w:sz w:val="18"/>
                <w:szCs w:val="18"/>
              </w:rPr>
              <w:t>4A</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新建10台120kW直流充电桩</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嘉鱼县三湖连江水库</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10</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咸宁市温泉谷度假区</w:t>
            </w:r>
          </w:p>
        </w:tc>
        <w:tc>
          <w:tcPr>
            <w:tcW w:w="736" w:type="dxa"/>
            <w:tcBorders>
              <w:top w:val="nil"/>
              <w:left w:val="nil"/>
              <w:bottom w:val="single" w:color="auto" w:sz="4" w:space="0"/>
              <w:right w:val="single" w:color="auto" w:sz="4" w:space="0"/>
            </w:tcBorders>
            <w:vAlign w:val="center"/>
          </w:tcPr>
          <w:p>
            <w:pPr>
              <w:spacing w:line="240" w:lineRule="auto"/>
              <w:ind w:firstLine="0" w:firstLineChars="0"/>
              <w:jc w:val="center"/>
              <w:rPr>
                <w:rFonts w:eastAsia="仿宋_GB2312" w:cs="Times New Roman"/>
              </w:rPr>
            </w:pPr>
            <w:r>
              <w:rPr>
                <w:rFonts w:eastAsia="仿宋_GB2312" w:cs="Times New Roman"/>
                <w:color w:val="000000"/>
                <w:kern w:val="0"/>
                <w:sz w:val="18"/>
                <w:szCs w:val="18"/>
              </w:rPr>
              <w:t>4A</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新建10台120kW直流充电桩</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咸安区月亮湾特1号(潜山森林公园旁)</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11</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三江森林旅游区</w:t>
            </w:r>
          </w:p>
        </w:tc>
        <w:tc>
          <w:tcPr>
            <w:tcW w:w="736" w:type="dxa"/>
            <w:tcBorders>
              <w:top w:val="nil"/>
              <w:left w:val="nil"/>
              <w:bottom w:val="single" w:color="auto" w:sz="4" w:space="0"/>
              <w:right w:val="single" w:color="auto" w:sz="4" w:space="0"/>
            </w:tcBorders>
            <w:vAlign w:val="center"/>
          </w:tcPr>
          <w:p>
            <w:pPr>
              <w:spacing w:line="240" w:lineRule="auto"/>
              <w:ind w:firstLine="0" w:firstLineChars="0"/>
              <w:jc w:val="center"/>
              <w:rPr>
                <w:rFonts w:eastAsia="仿宋_GB2312" w:cs="Times New Roman"/>
              </w:rPr>
            </w:pPr>
            <w:r>
              <w:rPr>
                <w:rFonts w:eastAsia="仿宋_GB2312" w:cs="Times New Roman"/>
                <w:color w:val="000000"/>
                <w:kern w:val="0"/>
                <w:sz w:val="18"/>
                <w:szCs w:val="18"/>
              </w:rPr>
              <w:t>4A</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新建20台120kW直流充电桩</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咸安区月亮湾路2号三江森林温泉度假区</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40</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12</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黄鹤楼森林美酒小镇</w:t>
            </w:r>
          </w:p>
        </w:tc>
        <w:tc>
          <w:tcPr>
            <w:tcW w:w="736" w:type="dxa"/>
            <w:tcBorders>
              <w:top w:val="nil"/>
              <w:left w:val="nil"/>
              <w:bottom w:val="single" w:color="auto" w:sz="4" w:space="0"/>
              <w:right w:val="single" w:color="auto" w:sz="4" w:space="0"/>
            </w:tcBorders>
            <w:vAlign w:val="center"/>
          </w:tcPr>
          <w:p>
            <w:pPr>
              <w:spacing w:line="240" w:lineRule="auto"/>
              <w:ind w:firstLine="0" w:firstLineChars="0"/>
              <w:jc w:val="center"/>
              <w:rPr>
                <w:rFonts w:eastAsia="仿宋_GB2312" w:cs="Times New Roman"/>
              </w:rPr>
            </w:pPr>
            <w:r>
              <w:rPr>
                <w:rFonts w:eastAsia="仿宋_GB2312" w:cs="Times New Roman"/>
                <w:color w:val="000000"/>
                <w:kern w:val="0"/>
                <w:sz w:val="18"/>
                <w:szCs w:val="18"/>
              </w:rPr>
              <w:t>4A</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新建8台120kW直流充电桩</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咸安区金桂道259号</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16</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13</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嘉鱼官桥田野乡村公园</w:t>
            </w:r>
          </w:p>
        </w:tc>
        <w:tc>
          <w:tcPr>
            <w:tcW w:w="736" w:type="dxa"/>
            <w:tcBorders>
              <w:top w:val="nil"/>
              <w:left w:val="nil"/>
              <w:bottom w:val="single" w:color="auto" w:sz="4" w:space="0"/>
              <w:right w:val="single" w:color="auto" w:sz="4" w:space="0"/>
            </w:tcBorders>
            <w:vAlign w:val="center"/>
          </w:tcPr>
          <w:p>
            <w:pPr>
              <w:spacing w:line="240" w:lineRule="auto"/>
              <w:ind w:firstLine="0" w:firstLineChars="0"/>
              <w:jc w:val="center"/>
              <w:rPr>
                <w:rFonts w:eastAsia="仿宋_GB2312" w:cs="Times New Roman"/>
              </w:rPr>
            </w:pPr>
            <w:r>
              <w:rPr>
                <w:rFonts w:eastAsia="仿宋_GB2312" w:cs="Times New Roman"/>
                <w:color w:val="000000"/>
                <w:kern w:val="0"/>
                <w:sz w:val="18"/>
                <w:szCs w:val="18"/>
              </w:rPr>
              <w:t>4A</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新建8台120kW直流充电桩</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嘉鱼县田野大道</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16</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14</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蜜月湾玫瑰园充电站</w:t>
            </w:r>
          </w:p>
        </w:tc>
        <w:tc>
          <w:tcPr>
            <w:tcW w:w="736" w:type="dxa"/>
            <w:tcBorders>
              <w:top w:val="nil"/>
              <w:left w:val="nil"/>
              <w:bottom w:val="single" w:color="auto" w:sz="4" w:space="0"/>
              <w:right w:val="single" w:color="auto" w:sz="4" w:space="0"/>
            </w:tcBorders>
            <w:vAlign w:val="center"/>
          </w:tcPr>
          <w:p>
            <w:pPr>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热门</w:t>
            </w: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新建10台120kW直流充电桩</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蜜月湾玫瑰园</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规划</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w:t>
            </w:r>
          </w:p>
        </w:tc>
      </w:tr>
      <w:tr>
        <w:tblPrEx>
          <w:tblCellMar>
            <w:top w:w="0" w:type="dxa"/>
            <w:left w:w="108" w:type="dxa"/>
            <w:bottom w:w="0" w:type="dxa"/>
            <w:right w:w="108" w:type="dxa"/>
          </w:tblCellMar>
        </w:tblPrEx>
        <w:trPr>
          <w:trHeight w:val="64" w:hRule="atLeast"/>
          <w:jc w:val="center"/>
        </w:trPr>
        <w:tc>
          <w:tcPr>
            <w:tcW w:w="397"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汇总</w:t>
            </w:r>
          </w:p>
        </w:tc>
        <w:tc>
          <w:tcPr>
            <w:tcW w:w="164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w:t>
            </w:r>
          </w:p>
        </w:tc>
        <w:tc>
          <w:tcPr>
            <w:tcW w:w="736" w:type="dxa"/>
            <w:tcBorders>
              <w:top w:val="nil"/>
              <w:left w:val="nil"/>
              <w:bottom w:val="single" w:color="auto" w:sz="4" w:space="0"/>
              <w:right w:val="single" w:color="auto" w:sz="4"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573" w:type="dxa"/>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w:t>
            </w:r>
          </w:p>
        </w:tc>
        <w:tc>
          <w:tcPr>
            <w:tcW w:w="2512"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w:t>
            </w:r>
          </w:p>
        </w:tc>
        <w:tc>
          <w:tcPr>
            <w:tcW w:w="623"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w:t>
            </w:r>
          </w:p>
        </w:tc>
        <w:tc>
          <w:tcPr>
            <w:tcW w:w="780" w:type="dxa"/>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328</w:t>
            </w:r>
          </w:p>
        </w:tc>
      </w:tr>
    </w:tbl>
    <w:p>
      <w:pPr>
        <w:snapToGrid w:val="0"/>
        <w:ind w:firstLine="360"/>
        <w:rPr>
          <w:rFonts w:eastAsia="仿宋_GB2312" w:cs="Times New Roman"/>
          <w:sz w:val="18"/>
          <w:szCs w:val="18"/>
        </w:rPr>
      </w:pPr>
    </w:p>
    <w:p>
      <w:pPr>
        <w:snapToGrid w:val="0"/>
        <w:ind w:firstLine="560"/>
        <w:rPr>
          <w:rFonts w:eastAsia="仿宋_GB2312" w:cs="Times New Roman"/>
          <w:szCs w:val="21"/>
        </w:rPr>
      </w:pPr>
      <w:r>
        <w:rPr>
          <w:rFonts w:eastAsia="仿宋_GB2312" w:cs="Times New Roman"/>
          <w:szCs w:val="21"/>
        </w:rPr>
        <w:t>针对从核心城市到景区设计了三种场景，分别以咸宁站、武汉站、4A级景区为中心进行分析。</w:t>
      </w:r>
    </w:p>
    <w:p>
      <w:pPr>
        <w:numPr>
          <w:ilvl w:val="0"/>
          <w:numId w:val="20"/>
        </w:numPr>
        <w:snapToGrid w:val="0"/>
        <w:ind w:left="0" w:firstLine="562"/>
        <w:rPr>
          <w:rFonts w:eastAsia="仿宋_GB2312" w:cs="Times New Roman"/>
          <w:b/>
          <w:bCs/>
        </w:rPr>
      </w:pPr>
      <w:r>
        <w:rPr>
          <w:rFonts w:eastAsia="仿宋_GB2312" w:cs="Times New Roman"/>
          <w:b/>
          <w:bCs/>
        </w:rPr>
        <w:t>场景一</w:t>
      </w:r>
    </w:p>
    <w:p>
      <w:pPr>
        <w:ind w:firstLine="560"/>
        <w:rPr>
          <w:rFonts w:eastAsia="仿宋_GB2312" w:cs="Times New Roman"/>
        </w:rPr>
      </w:pPr>
      <w:r>
        <w:rPr>
          <w:rFonts w:eastAsia="仿宋_GB2312" w:cs="Times New Roman"/>
        </w:rPr>
        <w:t>从咸宁到各个4A及以上景点路线如</w:t>
      </w:r>
      <w:r>
        <w:rPr>
          <w:rFonts w:eastAsia="仿宋_GB2312" w:cs="Times New Roman"/>
        </w:rPr>
        <w:fldChar w:fldCharType="begin"/>
      </w:r>
      <w:r>
        <w:rPr>
          <w:rFonts w:eastAsia="仿宋_GB2312" w:cs="Times New Roman"/>
        </w:rPr>
        <w:instrText xml:space="preserve"> REF _Ref17358147 \h  \* MERGEFORMAT </w:instrText>
      </w:r>
      <w:r>
        <w:rPr>
          <w:rFonts w:eastAsia="仿宋_GB2312" w:cs="Times New Roman"/>
        </w:rPr>
        <w:fldChar w:fldCharType="separate"/>
      </w:r>
      <w:r>
        <w:rPr>
          <w:rFonts w:eastAsia="仿宋_GB2312" w:cs="Times New Roman"/>
        </w:rPr>
        <w:t>表 4</w:t>
      </w:r>
      <w:r>
        <w:rPr>
          <w:rFonts w:eastAsia="仿宋_GB2312" w:cs="Times New Roman"/>
        </w:rPr>
        <w:noBreakHyphen/>
      </w:r>
      <w:r>
        <w:rPr>
          <w:rFonts w:eastAsia="仿宋_GB2312" w:cs="Times New Roman"/>
        </w:rPr>
        <w:t>42</w:t>
      </w:r>
      <w:r>
        <w:rPr>
          <w:rFonts w:eastAsia="仿宋_GB2312" w:cs="Times New Roman"/>
        </w:rPr>
        <w:fldChar w:fldCharType="end"/>
      </w:r>
      <w:r>
        <w:rPr>
          <w:rFonts w:eastAsia="仿宋_GB2312" w:cs="Times New Roman"/>
        </w:rPr>
        <w:t>所示。</w:t>
      </w:r>
    </w:p>
    <w:p>
      <w:pPr>
        <w:snapToGrid w:val="0"/>
        <w:ind w:firstLine="482"/>
        <w:jc w:val="center"/>
        <w:rPr>
          <w:rFonts w:eastAsia="仿宋_GB2312" w:cs="Times New Roman"/>
          <w:b/>
          <w:sz w:val="24"/>
          <w:szCs w:val="20"/>
        </w:rPr>
      </w:pPr>
      <w:bookmarkStart w:id="230" w:name="_Ref17358147"/>
      <w:r>
        <w:rPr>
          <w:rFonts w:eastAsia="仿宋_GB2312" w:cs="Times New Roman"/>
          <w:b/>
          <w:sz w:val="24"/>
          <w:szCs w:val="20"/>
        </w:rPr>
        <w:t xml:space="preserve">表 </w:t>
      </w:r>
      <w:r>
        <w:rPr>
          <w:rFonts w:eastAsia="仿宋_GB2312" w:cs="Times New Roman"/>
          <w:b/>
          <w:sz w:val="24"/>
          <w:szCs w:val="20"/>
        </w:rPr>
        <w:fldChar w:fldCharType="begin"/>
      </w:r>
      <w:r>
        <w:rPr>
          <w:rFonts w:eastAsia="仿宋_GB2312" w:cs="Times New Roman"/>
          <w:b/>
          <w:sz w:val="24"/>
          <w:szCs w:val="20"/>
        </w:rPr>
        <w:instrText xml:space="preserve"> STYLEREF 1 \s </w:instrText>
      </w:r>
      <w:r>
        <w:rPr>
          <w:rFonts w:eastAsia="仿宋_GB2312" w:cs="Times New Roman"/>
          <w:b/>
          <w:sz w:val="24"/>
          <w:szCs w:val="20"/>
        </w:rPr>
        <w:fldChar w:fldCharType="separate"/>
      </w:r>
      <w:r>
        <w:rPr>
          <w:rFonts w:eastAsia="仿宋_GB2312" w:cs="Times New Roman"/>
          <w:b/>
          <w:sz w:val="24"/>
          <w:szCs w:val="20"/>
        </w:rPr>
        <w:t>4</w:t>
      </w:r>
      <w:r>
        <w:rPr>
          <w:rFonts w:eastAsia="仿宋_GB2312" w:cs="Times New Roman"/>
          <w:b/>
          <w:sz w:val="24"/>
          <w:szCs w:val="20"/>
        </w:rPr>
        <w:fldChar w:fldCharType="end"/>
      </w:r>
      <w:r>
        <w:rPr>
          <w:rFonts w:eastAsia="仿宋_GB2312" w:cs="Times New Roman"/>
          <w:b/>
          <w:sz w:val="24"/>
          <w:szCs w:val="20"/>
        </w:rPr>
        <w:noBreakHyphen/>
      </w:r>
      <w:r>
        <w:rPr>
          <w:rFonts w:eastAsia="仿宋_GB2312" w:cs="Times New Roman"/>
          <w:b/>
          <w:sz w:val="24"/>
          <w:szCs w:val="20"/>
        </w:rPr>
        <w:fldChar w:fldCharType="begin"/>
      </w:r>
      <w:r>
        <w:rPr>
          <w:rFonts w:eastAsia="仿宋_GB2312" w:cs="Times New Roman"/>
          <w:b/>
          <w:sz w:val="24"/>
          <w:szCs w:val="20"/>
        </w:rPr>
        <w:instrText xml:space="preserve"> SEQ 表 \* ARABIC \s 1 </w:instrText>
      </w:r>
      <w:r>
        <w:rPr>
          <w:rFonts w:eastAsia="仿宋_GB2312" w:cs="Times New Roman"/>
          <w:b/>
          <w:sz w:val="24"/>
          <w:szCs w:val="20"/>
        </w:rPr>
        <w:fldChar w:fldCharType="separate"/>
      </w:r>
      <w:r>
        <w:rPr>
          <w:rFonts w:eastAsia="仿宋_GB2312" w:cs="Times New Roman"/>
          <w:b/>
          <w:sz w:val="24"/>
          <w:szCs w:val="20"/>
        </w:rPr>
        <w:t>42</w:t>
      </w:r>
      <w:r>
        <w:rPr>
          <w:rFonts w:eastAsia="仿宋_GB2312" w:cs="Times New Roman"/>
          <w:b/>
          <w:sz w:val="24"/>
          <w:szCs w:val="20"/>
        </w:rPr>
        <w:fldChar w:fldCharType="end"/>
      </w:r>
      <w:bookmarkEnd w:id="230"/>
      <w:r>
        <w:rPr>
          <w:rFonts w:eastAsia="仿宋_GB2312" w:cs="Times New Roman"/>
          <w:b/>
          <w:sz w:val="24"/>
          <w:szCs w:val="20"/>
        </w:rPr>
        <w:t xml:space="preserve"> 咸宁市到咸宁4A景区路线明细表</w:t>
      </w:r>
    </w:p>
    <w:tbl>
      <w:tblPr>
        <w:tblStyle w:val="76"/>
        <w:tblW w:w="5000" w:type="pct"/>
        <w:tblInd w:w="0" w:type="dxa"/>
        <w:tblLayout w:type="autofit"/>
        <w:tblCellMar>
          <w:top w:w="0" w:type="dxa"/>
          <w:left w:w="108" w:type="dxa"/>
          <w:bottom w:w="0" w:type="dxa"/>
          <w:right w:w="108" w:type="dxa"/>
        </w:tblCellMar>
      </w:tblPr>
      <w:tblGrid>
        <w:gridCol w:w="960"/>
        <w:gridCol w:w="2384"/>
        <w:gridCol w:w="3497"/>
        <w:gridCol w:w="1681"/>
      </w:tblGrid>
      <w:tr>
        <w:tblPrEx>
          <w:tblCellMar>
            <w:top w:w="0" w:type="dxa"/>
            <w:left w:w="108" w:type="dxa"/>
            <w:bottom w:w="0" w:type="dxa"/>
            <w:right w:w="108" w:type="dxa"/>
          </w:tblCellMar>
        </w:tblPrEx>
        <w:trPr>
          <w:trHeight w:val="264" w:hRule="atLeast"/>
          <w:tblHeader/>
        </w:trPr>
        <w:tc>
          <w:tcPr>
            <w:tcW w:w="563" w:type="pct"/>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序号</w:t>
            </w:r>
          </w:p>
        </w:tc>
        <w:tc>
          <w:tcPr>
            <w:tcW w:w="1399" w:type="pct"/>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景区名称</w:t>
            </w:r>
          </w:p>
        </w:tc>
        <w:tc>
          <w:tcPr>
            <w:tcW w:w="2052" w:type="pct"/>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沿途线路</w:t>
            </w:r>
          </w:p>
        </w:tc>
        <w:tc>
          <w:tcPr>
            <w:tcW w:w="986" w:type="pct"/>
            <w:tcBorders>
              <w:top w:val="single" w:color="auto" w:sz="8" w:space="0"/>
              <w:left w:val="nil"/>
              <w:bottom w:val="nil"/>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里程</w:t>
            </w:r>
          </w:p>
        </w:tc>
      </w:tr>
      <w:tr>
        <w:tblPrEx>
          <w:tblCellMar>
            <w:top w:w="0" w:type="dxa"/>
            <w:left w:w="108" w:type="dxa"/>
            <w:bottom w:w="0" w:type="dxa"/>
            <w:right w:w="108" w:type="dxa"/>
          </w:tblCellMar>
        </w:tblPrEx>
        <w:trPr>
          <w:trHeight w:val="40" w:hRule="atLeast"/>
          <w:tblHeader/>
        </w:trPr>
        <w:tc>
          <w:tcPr>
            <w:tcW w:w="563" w:type="pct"/>
            <w:vMerge w:val="continue"/>
            <w:tcBorders>
              <w:top w:val="single" w:color="auto" w:sz="8" w:space="0"/>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b/>
                <w:bCs/>
                <w:color w:val="000000"/>
                <w:kern w:val="0"/>
                <w:sz w:val="18"/>
                <w:szCs w:val="18"/>
              </w:rPr>
            </w:pPr>
          </w:p>
        </w:tc>
        <w:tc>
          <w:tcPr>
            <w:tcW w:w="1399" w:type="pct"/>
            <w:vMerge w:val="continue"/>
            <w:tcBorders>
              <w:top w:val="single" w:color="auto" w:sz="8" w:space="0"/>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b/>
                <w:bCs/>
                <w:color w:val="000000"/>
                <w:kern w:val="0"/>
                <w:sz w:val="18"/>
                <w:szCs w:val="18"/>
              </w:rPr>
            </w:pPr>
          </w:p>
        </w:tc>
        <w:tc>
          <w:tcPr>
            <w:tcW w:w="2052" w:type="pct"/>
            <w:vMerge w:val="continue"/>
            <w:tcBorders>
              <w:top w:val="single" w:color="auto" w:sz="8" w:space="0"/>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b/>
                <w:bCs/>
                <w:color w:val="000000"/>
                <w:kern w:val="0"/>
                <w:sz w:val="18"/>
                <w:szCs w:val="18"/>
              </w:rPr>
            </w:pP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（公里）</w:t>
            </w:r>
          </w:p>
        </w:tc>
      </w:tr>
      <w:tr>
        <w:tblPrEx>
          <w:tblCellMar>
            <w:top w:w="0" w:type="dxa"/>
            <w:left w:w="108" w:type="dxa"/>
            <w:bottom w:w="0" w:type="dxa"/>
            <w:right w:w="108" w:type="dxa"/>
          </w:tblCellMar>
        </w:tblPrEx>
        <w:trPr>
          <w:trHeight w:val="276" w:hRule="atLeast"/>
        </w:trPr>
        <w:tc>
          <w:tcPr>
            <w:tcW w:w="563"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w:t>
            </w:r>
          </w:p>
        </w:tc>
        <w:tc>
          <w:tcPr>
            <w:tcW w:w="1399"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三国赤壁古战场</w:t>
            </w: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路线一：咸宁-京港澳高速-G351</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85.4</w:t>
            </w:r>
          </w:p>
        </w:tc>
      </w:tr>
      <w:tr>
        <w:tblPrEx>
          <w:tblCellMar>
            <w:top w:w="0" w:type="dxa"/>
            <w:left w:w="108" w:type="dxa"/>
            <w:bottom w:w="0" w:type="dxa"/>
            <w:right w:w="108" w:type="dxa"/>
          </w:tblCellMar>
        </w:tblPrEx>
        <w:trPr>
          <w:trHeight w:val="276" w:hRule="atLeast"/>
        </w:trPr>
        <w:tc>
          <w:tcPr>
            <w:tcW w:w="563"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路线二：咸宁-蕲嘉高速-武深高速</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105.9</w:t>
            </w:r>
          </w:p>
        </w:tc>
      </w:tr>
      <w:tr>
        <w:tblPrEx>
          <w:tblCellMar>
            <w:top w:w="0" w:type="dxa"/>
            <w:left w:w="108" w:type="dxa"/>
            <w:bottom w:w="0" w:type="dxa"/>
            <w:right w:w="108" w:type="dxa"/>
          </w:tblCellMar>
        </w:tblPrEx>
        <w:trPr>
          <w:trHeight w:val="276" w:hRule="atLeast"/>
        </w:trPr>
        <w:tc>
          <w:tcPr>
            <w:tcW w:w="563"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路线三：咸宁-京港线-G351</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83.4</w:t>
            </w:r>
          </w:p>
        </w:tc>
      </w:tr>
      <w:tr>
        <w:tblPrEx>
          <w:tblCellMar>
            <w:top w:w="0" w:type="dxa"/>
            <w:left w:w="108" w:type="dxa"/>
            <w:bottom w:w="0" w:type="dxa"/>
            <w:right w:w="108" w:type="dxa"/>
          </w:tblCellMar>
        </w:tblPrEx>
        <w:trPr>
          <w:trHeight w:val="264" w:hRule="atLeast"/>
        </w:trPr>
        <w:tc>
          <w:tcPr>
            <w:tcW w:w="563" w:type="pct"/>
            <w:vMerge w:val="restart"/>
            <w:tcBorders>
              <w:top w:val="nil"/>
              <w:left w:val="single" w:color="auto" w:sz="8" w:space="0"/>
              <w:bottom w:val="nil"/>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w:t>
            </w:r>
          </w:p>
        </w:tc>
        <w:tc>
          <w:tcPr>
            <w:tcW w:w="1399" w:type="pct"/>
            <w:vMerge w:val="restart"/>
            <w:tcBorders>
              <w:top w:val="nil"/>
              <w:left w:val="single" w:color="auto" w:sz="8" w:space="0"/>
              <w:bottom w:val="nil"/>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柃蜜小镇·白崖山景区</w:t>
            </w: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路线一：咸宁-咸通高速-杭瑞高速</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97.2</w:t>
            </w:r>
          </w:p>
        </w:tc>
      </w:tr>
      <w:tr>
        <w:tblPrEx>
          <w:tblCellMar>
            <w:top w:w="0" w:type="dxa"/>
            <w:left w:w="108" w:type="dxa"/>
            <w:bottom w:w="0" w:type="dxa"/>
            <w:right w:w="108" w:type="dxa"/>
          </w:tblCellMar>
        </w:tblPrEx>
        <w:trPr>
          <w:trHeight w:val="276" w:hRule="atLeast"/>
        </w:trPr>
        <w:tc>
          <w:tcPr>
            <w:tcW w:w="563" w:type="pct"/>
            <w:vMerge w:val="continue"/>
            <w:tcBorders>
              <w:top w:val="nil"/>
              <w:left w:val="single" w:color="auto" w:sz="8" w:space="0"/>
              <w:bottom w:val="nil"/>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nil"/>
              <w:left w:val="single" w:color="auto" w:sz="8" w:space="0"/>
              <w:bottom w:val="nil"/>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路线二：咸宁-S208-S259</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86.4</w:t>
            </w:r>
          </w:p>
        </w:tc>
      </w:tr>
      <w:tr>
        <w:tblPrEx>
          <w:tblCellMar>
            <w:top w:w="0" w:type="dxa"/>
            <w:left w:w="108" w:type="dxa"/>
            <w:bottom w:w="0" w:type="dxa"/>
            <w:right w:w="108" w:type="dxa"/>
          </w:tblCellMar>
        </w:tblPrEx>
        <w:trPr>
          <w:trHeight w:val="276" w:hRule="atLeast"/>
        </w:trPr>
        <w:tc>
          <w:tcPr>
            <w:tcW w:w="563" w:type="pct"/>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3</w:t>
            </w:r>
          </w:p>
        </w:tc>
        <w:tc>
          <w:tcPr>
            <w:tcW w:w="1399" w:type="pct"/>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通山九宫山风景区</w:t>
            </w: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路线一：咸宁-S209-京广线</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81.9</w:t>
            </w:r>
          </w:p>
        </w:tc>
      </w:tr>
      <w:tr>
        <w:tblPrEx>
          <w:tblCellMar>
            <w:top w:w="0" w:type="dxa"/>
            <w:left w:w="108" w:type="dxa"/>
            <w:bottom w:w="0" w:type="dxa"/>
            <w:right w:w="108" w:type="dxa"/>
          </w:tblCellMar>
        </w:tblPrEx>
        <w:trPr>
          <w:trHeight w:val="276" w:hRule="atLeast"/>
        </w:trPr>
        <w:tc>
          <w:tcPr>
            <w:tcW w:w="563" w:type="pct"/>
            <w:vMerge w:val="continue"/>
            <w:tcBorders>
              <w:top w:val="single" w:color="auto" w:sz="8" w:space="0"/>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single" w:color="auto" w:sz="8" w:space="0"/>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路线二：咸宁-咸通高速-京广线</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98.1</w:t>
            </w:r>
          </w:p>
        </w:tc>
      </w:tr>
      <w:tr>
        <w:tblPrEx>
          <w:tblCellMar>
            <w:top w:w="0" w:type="dxa"/>
            <w:left w:w="108" w:type="dxa"/>
            <w:bottom w:w="0" w:type="dxa"/>
            <w:right w:w="108" w:type="dxa"/>
          </w:tblCellMar>
        </w:tblPrEx>
        <w:trPr>
          <w:trHeight w:val="444" w:hRule="atLeast"/>
        </w:trPr>
        <w:tc>
          <w:tcPr>
            <w:tcW w:w="563"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w:t>
            </w:r>
          </w:p>
        </w:tc>
        <w:tc>
          <w:tcPr>
            <w:tcW w:w="1399"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龙佑赤壁温泉度假区</w:t>
            </w: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路线一：咸宁-通江大道-京港澳高速</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59.2</w:t>
            </w:r>
          </w:p>
        </w:tc>
      </w:tr>
      <w:tr>
        <w:tblPrEx>
          <w:tblCellMar>
            <w:top w:w="0" w:type="dxa"/>
            <w:left w:w="108" w:type="dxa"/>
            <w:bottom w:w="0" w:type="dxa"/>
            <w:right w:w="108" w:type="dxa"/>
          </w:tblCellMar>
        </w:tblPrEx>
        <w:trPr>
          <w:trHeight w:val="276" w:hRule="atLeast"/>
        </w:trPr>
        <w:tc>
          <w:tcPr>
            <w:tcW w:w="563"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路线二：咸宁-京港线-京港澳高速</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58.9</w:t>
            </w:r>
          </w:p>
        </w:tc>
      </w:tr>
      <w:tr>
        <w:tblPrEx>
          <w:tblCellMar>
            <w:top w:w="0" w:type="dxa"/>
            <w:left w:w="108" w:type="dxa"/>
            <w:bottom w:w="0" w:type="dxa"/>
            <w:right w:w="108" w:type="dxa"/>
          </w:tblCellMar>
        </w:tblPrEx>
        <w:trPr>
          <w:trHeight w:val="276" w:hRule="atLeast"/>
        </w:trPr>
        <w:tc>
          <w:tcPr>
            <w:tcW w:w="563"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5</w:t>
            </w:r>
          </w:p>
        </w:tc>
        <w:tc>
          <w:tcPr>
            <w:tcW w:w="1399"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咸宁市陆水湖风景区</w:t>
            </w: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路线一：咸宁-京港线-南港大道</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48.6</w:t>
            </w:r>
          </w:p>
        </w:tc>
      </w:tr>
      <w:tr>
        <w:tblPrEx>
          <w:tblCellMar>
            <w:top w:w="0" w:type="dxa"/>
            <w:left w:w="108" w:type="dxa"/>
            <w:bottom w:w="0" w:type="dxa"/>
            <w:right w:w="108" w:type="dxa"/>
          </w:tblCellMar>
        </w:tblPrEx>
        <w:trPr>
          <w:trHeight w:val="444" w:hRule="atLeast"/>
        </w:trPr>
        <w:tc>
          <w:tcPr>
            <w:tcW w:w="563"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路线二：咸宁-通江大道-京港澳高速</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59.7</w:t>
            </w:r>
          </w:p>
        </w:tc>
      </w:tr>
      <w:tr>
        <w:tblPrEx>
          <w:tblCellMar>
            <w:top w:w="0" w:type="dxa"/>
            <w:left w:w="108" w:type="dxa"/>
            <w:bottom w:w="0" w:type="dxa"/>
            <w:right w:w="108" w:type="dxa"/>
          </w:tblCellMar>
        </w:tblPrEx>
        <w:trPr>
          <w:trHeight w:val="276" w:hRule="atLeast"/>
        </w:trPr>
        <w:tc>
          <w:tcPr>
            <w:tcW w:w="563"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6</w:t>
            </w:r>
          </w:p>
        </w:tc>
        <w:tc>
          <w:tcPr>
            <w:tcW w:w="1399"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咸宁市隐水洞景区</w:t>
            </w: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路线一：咸宁-咸通高速-杭瑞高速</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71.5</w:t>
            </w:r>
          </w:p>
        </w:tc>
      </w:tr>
      <w:tr>
        <w:tblPrEx>
          <w:tblCellMar>
            <w:top w:w="0" w:type="dxa"/>
            <w:left w:w="108" w:type="dxa"/>
            <w:bottom w:w="0" w:type="dxa"/>
            <w:right w:w="108" w:type="dxa"/>
          </w:tblCellMar>
        </w:tblPrEx>
        <w:trPr>
          <w:trHeight w:val="276" w:hRule="atLeast"/>
        </w:trPr>
        <w:tc>
          <w:tcPr>
            <w:tcW w:w="563"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路线二：咸宁-S209-S358</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59</w:t>
            </w:r>
          </w:p>
        </w:tc>
      </w:tr>
      <w:tr>
        <w:tblPrEx>
          <w:tblCellMar>
            <w:top w:w="0" w:type="dxa"/>
            <w:left w:w="108" w:type="dxa"/>
            <w:bottom w:w="0" w:type="dxa"/>
            <w:right w:w="108" w:type="dxa"/>
          </w:tblCellMar>
        </w:tblPrEx>
        <w:trPr>
          <w:trHeight w:val="276" w:hRule="atLeast"/>
        </w:trPr>
        <w:tc>
          <w:tcPr>
            <w:tcW w:w="563"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7</w:t>
            </w:r>
          </w:p>
        </w:tc>
        <w:tc>
          <w:tcPr>
            <w:tcW w:w="1399"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咸宁市通圣太乙温泉</w:t>
            </w: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路线一：咸宁-长安大道-嫦娥大道</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15.2</w:t>
            </w:r>
          </w:p>
        </w:tc>
      </w:tr>
      <w:tr>
        <w:tblPrEx>
          <w:tblCellMar>
            <w:top w:w="0" w:type="dxa"/>
            <w:left w:w="108" w:type="dxa"/>
            <w:bottom w:w="0" w:type="dxa"/>
            <w:right w:w="108" w:type="dxa"/>
          </w:tblCellMar>
        </w:tblPrEx>
        <w:trPr>
          <w:trHeight w:val="276" w:hRule="atLeast"/>
        </w:trPr>
        <w:tc>
          <w:tcPr>
            <w:tcW w:w="563"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路线二：咸宁-银泉大道-温泉路</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16.8</w:t>
            </w:r>
          </w:p>
        </w:tc>
      </w:tr>
      <w:tr>
        <w:tblPrEx>
          <w:tblCellMar>
            <w:top w:w="0" w:type="dxa"/>
            <w:left w:w="108" w:type="dxa"/>
            <w:bottom w:w="0" w:type="dxa"/>
            <w:right w:w="108" w:type="dxa"/>
          </w:tblCellMar>
        </w:tblPrEx>
        <w:trPr>
          <w:trHeight w:val="276" w:hRule="atLeast"/>
        </w:trPr>
        <w:tc>
          <w:tcPr>
            <w:tcW w:w="563"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w:t>
            </w:r>
          </w:p>
        </w:tc>
        <w:tc>
          <w:tcPr>
            <w:tcW w:w="1399"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咸宁市楚天瑶池温泉度假村</w:t>
            </w: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路线一：咸宁-长安大道-淦河大道</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9.8</w:t>
            </w:r>
          </w:p>
        </w:tc>
      </w:tr>
      <w:tr>
        <w:tblPrEx>
          <w:tblCellMar>
            <w:top w:w="0" w:type="dxa"/>
            <w:left w:w="108" w:type="dxa"/>
            <w:bottom w:w="0" w:type="dxa"/>
            <w:right w:w="108" w:type="dxa"/>
          </w:tblCellMar>
        </w:tblPrEx>
        <w:trPr>
          <w:trHeight w:val="276" w:hRule="atLeast"/>
        </w:trPr>
        <w:tc>
          <w:tcPr>
            <w:tcW w:w="563"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路线二：咸宁-长安大道-月亮湾路</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10.1</w:t>
            </w:r>
          </w:p>
        </w:tc>
      </w:tr>
      <w:tr>
        <w:tblPrEx>
          <w:tblCellMar>
            <w:top w:w="0" w:type="dxa"/>
            <w:left w:w="108" w:type="dxa"/>
            <w:bottom w:w="0" w:type="dxa"/>
            <w:right w:w="108" w:type="dxa"/>
          </w:tblCellMar>
        </w:tblPrEx>
        <w:trPr>
          <w:trHeight w:val="276" w:hRule="atLeast"/>
        </w:trPr>
        <w:tc>
          <w:tcPr>
            <w:tcW w:w="563"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9</w:t>
            </w:r>
          </w:p>
        </w:tc>
        <w:tc>
          <w:tcPr>
            <w:tcW w:w="1399"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嘉鱼县山湖温泉景区</w:t>
            </w: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路线一：咸宁-京港线-嘉泉线</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50.3</w:t>
            </w:r>
          </w:p>
        </w:tc>
      </w:tr>
      <w:tr>
        <w:tblPrEx>
          <w:tblCellMar>
            <w:top w:w="0" w:type="dxa"/>
            <w:left w:w="108" w:type="dxa"/>
            <w:bottom w:w="0" w:type="dxa"/>
            <w:right w:w="108" w:type="dxa"/>
          </w:tblCellMar>
        </w:tblPrEx>
        <w:trPr>
          <w:trHeight w:val="276" w:hRule="atLeast"/>
        </w:trPr>
        <w:tc>
          <w:tcPr>
            <w:tcW w:w="563"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路线二：咸宁-桂乡大道-蕲嘉高速</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55.4</w:t>
            </w:r>
          </w:p>
        </w:tc>
      </w:tr>
      <w:tr>
        <w:tblPrEx>
          <w:tblCellMar>
            <w:top w:w="0" w:type="dxa"/>
            <w:left w:w="108" w:type="dxa"/>
            <w:bottom w:w="0" w:type="dxa"/>
            <w:right w:w="108" w:type="dxa"/>
          </w:tblCellMar>
        </w:tblPrEx>
        <w:trPr>
          <w:trHeight w:val="276" w:hRule="atLeast"/>
        </w:trPr>
        <w:tc>
          <w:tcPr>
            <w:tcW w:w="563"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10</w:t>
            </w:r>
          </w:p>
        </w:tc>
        <w:tc>
          <w:tcPr>
            <w:tcW w:w="1399"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咸宁市温泉谷度假区</w:t>
            </w: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路线一：咸宁-长安大道-淦河大道</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9</w:t>
            </w:r>
          </w:p>
        </w:tc>
      </w:tr>
      <w:tr>
        <w:tblPrEx>
          <w:tblCellMar>
            <w:top w:w="0" w:type="dxa"/>
            <w:left w:w="108" w:type="dxa"/>
            <w:bottom w:w="0" w:type="dxa"/>
            <w:right w:w="108" w:type="dxa"/>
          </w:tblCellMar>
        </w:tblPrEx>
        <w:trPr>
          <w:trHeight w:val="276" w:hRule="atLeast"/>
        </w:trPr>
        <w:tc>
          <w:tcPr>
            <w:tcW w:w="563"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路线二：咸宁-嫦娥大道-麦笠山路</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11.4</w:t>
            </w:r>
          </w:p>
        </w:tc>
      </w:tr>
      <w:tr>
        <w:tblPrEx>
          <w:tblCellMar>
            <w:top w:w="0" w:type="dxa"/>
            <w:left w:w="108" w:type="dxa"/>
            <w:bottom w:w="0" w:type="dxa"/>
            <w:right w:w="108" w:type="dxa"/>
          </w:tblCellMar>
        </w:tblPrEx>
        <w:trPr>
          <w:trHeight w:val="276" w:hRule="atLeast"/>
        </w:trPr>
        <w:tc>
          <w:tcPr>
            <w:tcW w:w="563"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11</w:t>
            </w:r>
          </w:p>
        </w:tc>
        <w:tc>
          <w:tcPr>
            <w:tcW w:w="1399"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三江森林旅游区</w:t>
            </w: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路线一：咸宁-长安大道-月亮湾路</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10.5</w:t>
            </w:r>
          </w:p>
        </w:tc>
      </w:tr>
      <w:tr>
        <w:tblPrEx>
          <w:tblCellMar>
            <w:top w:w="0" w:type="dxa"/>
            <w:left w:w="108" w:type="dxa"/>
            <w:bottom w:w="0" w:type="dxa"/>
            <w:right w:w="108" w:type="dxa"/>
          </w:tblCellMar>
        </w:tblPrEx>
        <w:trPr>
          <w:trHeight w:val="276" w:hRule="atLeast"/>
        </w:trPr>
        <w:tc>
          <w:tcPr>
            <w:tcW w:w="563"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路线二：咸宁-永安大道-银泉大道</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11.4</w:t>
            </w:r>
          </w:p>
        </w:tc>
      </w:tr>
      <w:tr>
        <w:tblPrEx>
          <w:tblCellMar>
            <w:top w:w="0" w:type="dxa"/>
            <w:left w:w="108" w:type="dxa"/>
            <w:bottom w:w="0" w:type="dxa"/>
            <w:right w:w="108" w:type="dxa"/>
          </w:tblCellMar>
        </w:tblPrEx>
        <w:trPr>
          <w:trHeight w:val="276" w:hRule="atLeast"/>
        </w:trPr>
        <w:tc>
          <w:tcPr>
            <w:tcW w:w="563"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12</w:t>
            </w:r>
          </w:p>
        </w:tc>
        <w:tc>
          <w:tcPr>
            <w:tcW w:w="1399"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黄鹤楼森林美酒小镇</w:t>
            </w: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路线一：咸宁-永安大道-旗鼓大道</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6.9</w:t>
            </w:r>
          </w:p>
        </w:tc>
      </w:tr>
      <w:tr>
        <w:tblPrEx>
          <w:tblCellMar>
            <w:top w:w="0" w:type="dxa"/>
            <w:left w:w="108" w:type="dxa"/>
            <w:bottom w:w="0" w:type="dxa"/>
            <w:right w:w="108" w:type="dxa"/>
          </w:tblCellMar>
        </w:tblPrEx>
        <w:trPr>
          <w:trHeight w:val="276" w:hRule="atLeast"/>
        </w:trPr>
        <w:tc>
          <w:tcPr>
            <w:tcW w:w="563"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路线二：咸宁-银泉大道-金桂路</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7.4</w:t>
            </w:r>
          </w:p>
        </w:tc>
      </w:tr>
      <w:tr>
        <w:tblPrEx>
          <w:tblCellMar>
            <w:top w:w="0" w:type="dxa"/>
            <w:left w:w="108" w:type="dxa"/>
            <w:bottom w:w="0" w:type="dxa"/>
            <w:right w:w="108" w:type="dxa"/>
          </w:tblCellMar>
        </w:tblPrEx>
        <w:trPr>
          <w:trHeight w:val="276" w:hRule="atLeast"/>
        </w:trPr>
        <w:tc>
          <w:tcPr>
            <w:tcW w:w="563"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13</w:t>
            </w:r>
          </w:p>
        </w:tc>
        <w:tc>
          <w:tcPr>
            <w:tcW w:w="1399" w:type="pct"/>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嘉鱼官桥田野乡村公园</w:t>
            </w: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路线一：咸宁-京港线-嘉泉线</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42.5</w:t>
            </w:r>
          </w:p>
        </w:tc>
      </w:tr>
      <w:tr>
        <w:tblPrEx>
          <w:tblCellMar>
            <w:top w:w="0" w:type="dxa"/>
            <w:left w:w="108" w:type="dxa"/>
            <w:bottom w:w="0" w:type="dxa"/>
            <w:right w:w="108" w:type="dxa"/>
          </w:tblCellMar>
        </w:tblPrEx>
        <w:trPr>
          <w:trHeight w:val="276" w:hRule="atLeast"/>
        </w:trPr>
        <w:tc>
          <w:tcPr>
            <w:tcW w:w="563"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1399" w:type="pct"/>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center"/>
              <w:rPr>
                <w:rFonts w:eastAsia="仿宋_GB2312" w:cs="Times New Roman"/>
                <w:color w:val="000000"/>
                <w:kern w:val="0"/>
                <w:sz w:val="18"/>
                <w:szCs w:val="18"/>
              </w:rPr>
            </w:pPr>
          </w:p>
        </w:tc>
        <w:tc>
          <w:tcPr>
            <w:tcW w:w="2052"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路线二：咸宁-蕲嘉高速-武深高速</w:t>
            </w:r>
          </w:p>
        </w:tc>
        <w:tc>
          <w:tcPr>
            <w:tcW w:w="986" w:type="pct"/>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50.6</w:t>
            </w:r>
          </w:p>
        </w:tc>
      </w:tr>
    </w:tbl>
    <w:p>
      <w:pPr>
        <w:numPr>
          <w:ilvl w:val="1"/>
          <w:numId w:val="21"/>
        </w:numPr>
        <w:snapToGrid w:val="0"/>
        <w:ind w:left="0" w:firstLine="562"/>
        <w:rPr>
          <w:rFonts w:eastAsia="仿宋_GB2312" w:cs="Times New Roman"/>
          <w:b/>
          <w:bCs/>
        </w:rPr>
      </w:pPr>
      <w:r>
        <w:rPr>
          <w:rFonts w:eastAsia="仿宋_GB2312" w:cs="Times New Roman"/>
          <w:b/>
          <w:bCs/>
        </w:rPr>
        <w:t>方案描述</w:t>
      </w:r>
    </w:p>
    <w:p>
      <w:pPr>
        <w:snapToGrid w:val="0"/>
        <w:ind w:firstLine="425" w:firstLineChars="152"/>
        <w:rPr>
          <w:rFonts w:eastAsia="仿宋_GB2312" w:cs="Times New Roman"/>
        </w:rPr>
      </w:pPr>
      <w:r>
        <w:rPr>
          <w:rFonts w:eastAsia="仿宋_GB2312" w:cs="Times New Roman"/>
        </w:rPr>
        <w:t>以咸宁市为核心城市，利用周末时间，从咸宁站出发去往三国赤壁古战场游玩，到达赤壁市赤壁镇武侯巷，有三条出行方案：</w:t>
      </w:r>
    </w:p>
    <w:p>
      <w:pPr>
        <w:numPr>
          <w:ilvl w:val="0"/>
          <w:numId w:val="22"/>
        </w:numPr>
        <w:snapToGrid w:val="0"/>
        <w:ind w:left="0" w:firstLine="560"/>
        <w:rPr>
          <w:rFonts w:eastAsia="仿宋_GB2312" w:cs="Times New Roman"/>
        </w:rPr>
      </w:pPr>
      <w:r>
        <w:rPr>
          <w:rFonts w:eastAsia="仿宋_GB2312" w:cs="Times New Roman"/>
        </w:rPr>
        <w:t>咸宁——京港澳高速——G351，预计花费1小时24分钟，总路程为85.9公里，如下图所示。</w:t>
      </w:r>
    </w:p>
    <w:p>
      <w:pPr>
        <w:snapToGrid w:val="0"/>
        <w:ind w:firstLine="0" w:firstLineChars="0"/>
        <w:rPr>
          <w:rFonts w:eastAsia="仿宋_GB2312" w:cs="Times New Roman"/>
        </w:rPr>
      </w:pPr>
      <w:r>
        <w:rPr>
          <w:rFonts w:eastAsia="仿宋_GB2312" w:cs="Times New Roman"/>
        </w:rPr>
        <w:drawing>
          <wp:inline distT="0" distB="0" distL="0" distR="0">
            <wp:extent cx="5274310" cy="2585720"/>
            <wp:effectExtent l="0" t="0" r="2540" b="5080"/>
            <wp:docPr id="7174" name="图片 717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74" name="图片 7174"/>
                    <pic:cNvPicPr>
                      <a:picLocks noChangeAspect="true"/>
                    </pic:cNvPicPr>
                  </pic:nvPicPr>
                  <pic:blipFill>
                    <a:blip r:embed="rId236"/>
                    <a:srcRect t="12089"/>
                    <a:stretch>
                      <a:fillRect/>
                    </a:stretch>
                  </pic:blipFill>
                  <pic:spPr>
                    <a:xfrm>
                      <a:off x="0" y="0"/>
                      <a:ext cx="5274310" cy="2585720"/>
                    </a:xfrm>
                    <a:prstGeom prst="rect">
                      <a:avLst/>
                    </a:prstGeom>
                    <a:ln>
                      <a:noFill/>
                    </a:ln>
                  </pic:spPr>
                </pic:pic>
              </a:graphicData>
            </a:graphic>
          </wp:inline>
        </w:drawing>
      </w:r>
    </w:p>
    <w:p>
      <w:pPr>
        <w:snapToGrid w:val="0"/>
        <w:ind w:firstLine="482"/>
        <w:jc w:val="center"/>
        <w:rPr>
          <w:rFonts w:eastAsia="仿宋_GB2312" w:cs="Times New Roman"/>
          <w:bCs/>
          <w:sz w:val="24"/>
          <w:szCs w:val="24"/>
        </w:rPr>
      </w:pPr>
      <w:r>
        <w:rPr>
          <w:rFonts w:eastAsia="仿宋_GB2312" w:cs="Times New Roman"/>
          <w:b/>
          <w:bCs/>
          <w:sz w:val="24"/>
          <w:szCs w:val="24"/>
        </w:rPr>
        <w:t xml:space="preserve">图 </w:t>
      </w:r>
      <w:r>
        <w:rPr>
          <w:rFonts w:eastAsia="仿宋_GB2312" w:cs="Times New Roman"/>
          <w:b/>
          <w:bCs/>
          <w:sz w:val="24"/>
          <w:szCs w:val="24"/>
        </w:rPr>
        <w:fldChar w:fldCharType="begin"/>
      </w:r>
      <w:r>
        <w:rPr>
          <w:rFonts w:eastAsia="仿宋_GB2312" w:cs="Times New Roman"/>
          <w:b/>
          <w:bCs/>
          <w:sz w:val="24"/>
          <w:szCs w:val="24"/>
        </w:rPr>
        <w:instrText xml:space="preserve"> STYLEREF 1 \s </w:instrText>
      </w:r>
      <w:r>
        <w:rPr>
          <w:rFonts w:eastAsia="仿宋_GB2312" w:cs="Times New Roman"/>
          <w:b/>
          <w:bCs/>
          <w:sz w:val="24"/>
          <w:szCs w:val="24"/>
        </w:rPr>
        <w:fldChar w:fldCharType="separate"/>
      </w:r>
      <w:r>
        <w:rPr>
          <w:rFonts w:eastAsia="仿宋_GB2312" w:cs="Times New Roman"/>
          <w:b/>
          <w:bCs/>
          <w:sz w:val="24"/>
          <w:szCs w:val="24"/>
        </w:rPr>
        <w:t>4</w:t>
      </w:r>
      <w:r>
        <w:rPr>
          <w:rFonts w:eastAsia="仿宋_GB2312" w:cs="Times New Roman"/>
          <w:b/>
          <w:bCs/>
          <w:sz w:val="24"/>
          <w:szCs w:val="24"/>
        </w:rPr>
        <w:fldChar w:fldCharType="end"/>
      </w:r>
      <w:r>
        <w:rPr>
          <w:rFonts w:eastAsia="仿宋_GB2312" w:cs="Times New Roman"/>
          <w:b/>
          <w:bCs/>
          <w:sz w:val="24"/>
          <w:szCs w:val="24"/>
        </w:rPr>
        <w:noBreakHyphen/>
      </w:r>
      <w:r>
        <w:rPr>
          <w:rFonts w:eastAsia="仿宋_GB2312" w:cs="Times New Roman"/>
          <w:b/>
          <w:bCs/>
          <w:sz w:val="24"/>
          <w:szCs w:val="24"/>
        </w:rPr>
        <w:fldChar w:fldCharType="begin"/>
      </w:r>
      <w:r>
        <w:rPr>
          <w:rFonts w:eastAsia="仿宋_GB2312" w:cs="Times New Roman"/>
          <w:b/>
          <w:bCs/>
          <w:sz w:val="24"/>
          <w:szCs w:val="24"/>
        </w:rPr>
        <w:instrText xml:space="preserve"> SEQ 图 \* ARABIC \s 1 </w:instrText>
      </w:r>
      <w:r>
        <w:rPr>
          <w:rFonts w:eastAsia="仿宋_GB2312" w:cs="Times New Roman"/>
          <w:b/>
          <w:bCs/>
          <w:sz w:val="24"/>
          <w:szCs w:val="24"/>
        </w:rPr>
        <w:fldChar w:fldCharType="separate"/>
      </w:r>
      <w:r>
        <w:rPr>
          <w:rFonts w:eastAsia="仿宋_GB2312" w:cs="Times New Roman"/>
          <w:b/>
          <w:bCs/>
          <w:sz w:val="24"/>
          <w:szCs w:val="24"/>
        </w:rPr>
        <w:t>121</w:t>
      </w:r>
      <w:r>
        <w:rPr>
          <w:rFonts w:eastAsia="仿宋_GB2312" w:cs="Times New Roman"/>
          <w:b/>
          <w:bCs/>
          <w:sz w:val="24"/>
          <w:szCs w:val="24"/>
        </w:rPr>
        <w:fldChar w:fldCharType="end"/>
      </w:r>
      <w:r>
        <w:rPr>
          <w:rFonts w:eastAsia="仿宋_GB2312" w:cs="Times New Roman"/>
          <w:b/>
          <w:bCs/>
          <w:sz w:val="24"/>
          <w:szCs w:val="24"/>
        </w:rPr>
        <w:t xml:space="preserve"> 咸宁——京港澳高速——G351出行路线</w:t>
      </w:r>
    </w:p>
    <w:p>
      <w:pPr>
        <w:numPr>
          <w:ilvl w:val="0"/>
          <w:numId w:val="22"/>
        </w:numPr>
        <w:snapToGrid w:val="0"/>
        <w:ind w:left="0" w:firstLine="560"/>
        <w:rPr>
          <w:rFonts w:eastAsia="仿宋_GB2312" w:cs="Times New Roman"/>
        </w:rPr>
      </w:pPr>
      <w:r>
        <w:rPr>
          <w:rFonts w:eastAsia="仿宋_GB2312" w:cs="Times New Roman"/>
        </w:rPr>
        <w:t>咸宁——京港线——G351，预计花费1小时46分钟，总路程为83.8公里，如下图所示。</w:t>
      </w:r>
    </w:p>
    <w:p>
      <w:pPr>
        <w:snapToGrid w:val="0"/>
        <w:ind w:firstLine="0" w:firstLineChars="0"/>
        <w:rPr>
          <w:rFonts w:eastAsia="仿宋_GB2312" w:cs="Times New Roman"/>
        </w:rPr>
      </w:pPr>
      <w:r>
        <w:rPr>
          <w:rFonts w:eastAsia="仿宋_GB2312" w:cs="Times New Roman"/>
        </w:rPr>
        <w:drawing>
          <wp:inline distT="0" distB="0" distL="0" distR="0">
            <wp:extent cx="5274310" cy="2490470"/>
            <wp:effectExtent l="0" t="0" r="2540" b="5080"/>
            <wp:docPr id="7175" name="图片 717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75" name="图片 7175"/>
                    <pic:cNvPicPr>
                      <a:picLocks noChangeAspect="true"/>
                    </pic:cNvPicPr>
                  </pic:nvPicPr>
                  <pic:blipFill>
                    <a:blip r:embed="rId237"/>
                    <a:stretch>
                      <a:fillRect/>
                    </a:stretch>
                  </pic:blipFill>
                  <pic:spPr>
                    <a:xfrm>
                      <a:off x="0" y="0"/>
                      <a:ext cx="5274310" cy="2490470"/>
                    </a:xfrm>
                    <a:prstGeom prst="rect">
                      <a:avLst/>
                    </a:prstGeom>
                  </pic:spPr>
                </pic:pic>
              </a:graphicData>
            </a:graphic>
          </wp:inline>
        </w:drawing>
      </w:r>
    </w:p>
    <w:p>
      <w:pPr>
        <w:snapToGrid w:val="0"/>
        <w:ind w:firstLine="482"/>
        <w:jc w:val="center"/>
        <w:rPr>
          <w:rFonts w:eastAsia="仿宋_GB2312" w:cs="Times New Roman"/>
          <w:bCs/>
          <w:sz w:val="24"/>
          <w:szCs w:val="24"/>
        </w:rPr>
      </w:pPr>
      <w:r>
        <w:rPr>
          <w:rFonts w:eastAsia="仿宋_GB2312" w:cs="Times New Roman"/>
          <w:b/>
          <w:bCs/>
          <w:sz w:val="24"/>
          <w:szCs w:val="24"/>
        </w:rPr>
        <w:t xml:space="preserve">图 </w:t>
      </w:r>
      <w:r>
        <w:rPr>
          <w:rFonts w:eastAsia="仿宋_GB2312" w:cs="Times New Roman"/>
          <w:b/>
          <w:bCs/>
          <w:sz w:val="24"/>
          <w:szCs w:val="24"/>
        </w:rPr>
        <w:fldChar w:fldCharType="begin"/>
      </w:r>
      <w:r>
        <w:rPr>
          <w:rFonts w:eastAsia="仿宋_GB2312" w:cs="Times New Roman"/>
          <w:b/>
          <w:bCs/>
          <w:sz w:val="24"/>
          <w:szCs w:val="24"/>
        </w:rPr>
        <w:instrText xml:space="preserve"> STYLEREF 1 \s </w:instrText>
      </w:r>
      <w:r>
        <w:rPr>
          <w:rFonts w:eastAsia="仿宋_GB2312" w:cs="Times New Roman"/>
          <w:b/>
          <w:bCs/>
          <w:sz w:val="24"/>
          <w:szCs w:val="24"/>
        </w:rPr>
        <w:fldChar w:fldCharType="separate"/>
      </w:r>
      <w:r>
        <w:rPr>
          <w:rFonts w:eastAsia="仿宋_GB2312" w:cs="Times New Roman"/>
          <w:b/>
          <w:bCs/>
          <w:sz w:val="24"/>
          <w:szCs w:val="24"/>
        </w:rPr>
        <w:t>4</w:t>
      </w:r>
      <w:r>
        <w:rPr>
          <w:rFonts w:eastAsia="仿宋_GB2312" w:cs="Times New Roman"/>
          <w:b/>
          <w:bCs/>
          <w:sz w:val="24"/>
          <w:szCs w:val="24"/>
        </w:rPr>
        <w:fldChar w:fldCharType="end"/>
      </w:r>
      <w:r>
        <w:rPr>
          <w:rFonts w:eastAsia="仿宋_GB2312" w:cs="Times New Roman"/>
          <w:b/>
          <w:bCs/>
          <w:sz w:val="24"/>
          <w:szCs w:val="24"/>
        </w:rPr>
        <w:noBreakHyphen/>
      </w:r>
      <w:r>
        <w:rPr>
          <w:rFonts w:eastAsia="仿宋_GB2312" w:cs="Times New Roman"/>
          <w:b/>
          <w:bCs/>
          <w:sz w:val="24"/>
          <w:szCs w:val="24"/>
        </w:rPr>
        <w:fldChar w:fldCharType="begin"/>
      </w:r>
      <w:r>
        <w:rPr>
          <w:rFonts w:eastAsia="仿宋_GB2312" w:cs="Times New Roman"/>
          <w:b/>
          <w:bCs/>
          <w:sz w:val="24"/>
          <w:szCs w:val="24"/>
        </w:rPr>
        <w:instrText xml:space="preserve"> SEQ 图 \* ARABIC \s 1 </w:instrText>
      </w:r>
      <w:r>
        <w:rPr>
          <w:rFonts w:eastAsia="仿宋_GB2312" w:cs="Times New Roman"/>
          <w:b/>
          <w:bCs/>
          <w:sz w:val="24"/>
          <w:szCs w:val="24"/>
        </w:rPr>
        <w:fldChar w:fldCharType="separate"/>
      </w:r>
      <w:r>
        <w:rPr>
          <w:rFonts w:eastAsia="仿宋_GB2312" w:cs="Times New Roman"/>
          <w:b/>
          <w:bCs/>
          <w:sz w:val="24"/>
          <w:szCs w:val="24"/>
        </w:rPr>
        <w:t>122</w:t>
      </w:r>
      <w:r>
        <w:rPr>
          <w:rFonts w:eastAsia="仿宋_GB2312" w:cs="Times New Roman"/>
          <w:b/>
          <w:bCs/>
          <w:sz w:val="24"/>
          <w:szCs w:val="24"/>
        </w:rPr>
        <w:fldChar w:fldCharType="end"/>
      </w:r>
      <w:r>
        <w:rPr>
          <w:rFonts w:eastAsia="仿宋_GB2312" w:cs="Times New Roman"/>
          <w:b/>
          <w:bCs/>
          <w:sz w:val="24"/>
          <w:szCs w:val="24"/>
        </w:rPr>
        <w:t xml:space="preserve"> 咸宁——京港线——G351出行路线</w:t>
      </w:r>
    </w:p>
    <w:p>
      <w:pPr>
        <w:numPr>
          <w:ilvl w:val="0"/>
          <w:numId w:val="22"/>
        </w:numPr>
        <w:snapToGrid w:val="0"/>
        <w:ind w:left="0" w:firstLine="560"/>
        <w:rPr>
          <w:rFonts w:eastAsia="仿宋_GB2312" w:cs="Times New Roman"/>
        </w:rPr>
      </w:pPr>
      <w:r>
        <w:rPr>
          <w:rFonts w:eastAsia="仿宋_GB2312" w:cs="Times New Roman"/>
        </w:rPr>
        <w:t>咸宁——京港线——嘉泉线，预计花费1小时44分钟，总路程为81.4公里，如下图所示。</w:t>
      </w:r>
    </w:p>
    <w:p>
      <w:pPr>
        <w:snapToGrid w:val="0"/>
        <w:ind w:firstLine="0" w:firstLineChars="0"/>
        <w:rPr>
          <w:rFonts w:eastAsia="仿宋_GB2312" w:cs="Times New Roman"/>
        </w:rPr>
      </w:pPr>
      <w:r>
        <w:rPr>
          <w:rFonts w:eastAsia="仿宋_GB2312" w:cs="Times New Roman"/>
        </w:rPr>
        <w:drawing>
          <wp:inline distT="0" distB="0" distL="0" distR="0">
            <wp:extent cx="5274310" cy="2404110"/>
            <wp:effectExtent l="0" t="0" r="2540" b="0"/>
            <wp:docPr id="7176" name="图片 717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76" name="图片 7176"/>
                    <pic:cNvPicPr>
                      <a:picLocks noChangeAspect="true"/>
                    </pic:cNvPicPr>
                  </pic:nvPicPr>
                  <pic:blipFill>
                    <a:blip r:embed="rId238"/>
                    <a:stretch>
                      <a:fillRect/>
                    </a:stretch>
                  </pic:blipFill>
                  <pic:spPr>
                    <a:xfrm>
                      <a:off x="0" y="0"/>
                      <a:ext cx="5274310" cy="2404110"/>
                    </a:xfrm>
                    <a:prstGeom prst="rect">
                      <a:avLst/>
                    </a:prstGeom>
                  </pic:spPr>
                </pic:pic>
              </a:graphicData>
            </a:graphic>
          </wp:inline>
        </w:drawing>
      </w:r>
    </w:p>
    <w:p>
      <w:pPr>
        <w:snapToGrid w:val="0"/>
        <w:ind w:firstLine="482"/>
        <w:jc w:val="center"/>
        <w:rPr>
          <w:rFonts w:eastAsia="仿宋_GB2312" w:cs="Times New Roman"/>
          <w:bCs/>
          <w:sz w:val="24"/>
          <w:szCs w:val="24"/>
        </w:rPr>
      </w:pPr>
      <w:r>
        <w:rPr>
          <w:rFonts w:eastAsia="仿宋_GB2312" w:cs="Times New Roman"/>
          <w:b/>
          <w:bCs/>
          <w:sz w:val="24"/>
          <w:szCs w:val="24"/>
        </w:rPr>
        <w:t xml:space="preserve">图 </w:t>
      </w:r>
      <w:r>
        <w:rPr>
          <w:rFonts w:eastAsia="仿宋_GB2312" w:cs="Times New Roman"/>
          <w:b/>
          <w:bCs/>
          <w:sz w:val="24"/>
          <w:szCs w:val="24"/>
        </w:rPr>
        <w:fldChar w:fldCharType="begin"/>
      </w:r>
      <w:r>
        <w:rPr>
          <w:rFonts w:eastAsia="仿宋_GB2312" w:cs="Times New Roman"/>
          <w:b/>
          <w:bCs/>
          <w:sz w:val="24"/>
          <w:szCs w:val="24"/>
        </w:rPr>
        <w:instrText xml:space="preserve"> STYLEREF 1 \s </w:instrText>
      </w:r>
      <w:r>
        <w:rPr>
          <w:rFonts w:eastAsia="仿宋_GB2312" w:cs="Times New Roman"/>
          <w:b/>
          <w:bCs/>
          <w:sz w:val="24"/>
          <w:szCs w:val="24"/>
        </w:rPr>
        <w:fldChar w:fldCharType="separate"/>
      </w:r>
      <w:r>
        <w:rPr>
          <w:rFonts w:eastAsia="仿宋_GB2312" w:cs="Times New Roman"/>
          <w:b/>
          <w:bCs/>
          <w:sz w:val="24"/>
          <w:szCs w:val="24"/>
        </w:rPr>
        <w:t>4</w:t>
      </w:r>
      <w:r>
        <w:rPr>
          <w:rFonts w:eastAsia="仿宋_GB2312" w:cs="Times New Roman"/>
          <w:b/>
          <w:bCs/>
          <w:sz w:val="24"/>
          <w:szCs w:val="24"/>
        </w:rPr>
        <w:fldChar w:fldCharType="end"/>
      </w:r>
      <w:r>
        <w:rPr>
          <w:rFonts w:eastAsia="仿宋_GB2312" w:cs="Times New Roman"/>
          <w:b/>
          <w:bCs/>
          <w:sz w:val="24"/>
          <w:szCs w:val="24"/>
        </w:rPr>
        <w:noBreakHyphen/>
      </w:r>
      <w:r>
        <w:rPr>
          <w:rFonts w:eastAsia="仿宋_GB2312" w:cs="Times New Roman"/>
          <w:b/>
          <w:bCs/>
          <w:sz w:val="24"/>
          <w:szCs w:val="24"/>
        </w:rPr>
        <w:fldChar w:fldCharType="begin"/>
      </w:r>
      <w:r>
        <w:rPr>
          <w:rFonts w:eastAsia="仿宋_GB2312" w:cs="Times New Roman"/>
          <w:b/>
          <w:bCs/>
          <w:sz w:val="24"/>
          <w:szCs w:val="24"/>
        </w:rPr>
        <w:instrText xml:space="preserve"> SEQ 图 \* ARABIC \s 1 </w:instrText>
      </w:r>
      <w:r>
        <w:rPr>
          <w:rFonts w:eastAsia="仿宋_GB2312" w:cs="Times New Roman"/>
          <w:b/>
          <w:bCs/>
          <w:sz w:val="24"/>
          <w:szCs w:val="24"/>
        </w:rPr>
        <w:fldChar w:fldCharType="separate"/>
      </w:r>
      <w:r>
        <w:rPr>
          <w:rFonts w:eastAsia="仿宋_GB2312" w:cs="Times New Roman"/>
          <w:b/>
          <w:bCs/>
          <w:sz w:val="24"/>
          <w:szCs w:val="24"/>
        </w:rPr>
        <w:t>123</w:t>
      </w:r>
      <w:r>
        <w:rPr>
          <w:rFonts w:eastAsia="仿宋_GB2312" w:cs="Times New Roman"/>
          <w:b/>
          <w:bCs/>
          <w:sz w:val="24"/>
          <w:szCs w:val="24"/>
        </w:rPr>
        <w:fldChar w:fldCharType="end"/>
      </w:r>
      <w:r>
        <w:rPr>
          <w:rFonts w:eastAsia="仿宋_GB2312" w:cs="Times New Roman"/>
          <w:b/>
          <w:bCs/>
          <w:sz w:val="24"/>
          <w:szCs w:val="24"/>
        </w:rPr>
        <w:t xml:space="preserve"> 咸宁——京港线——嘉泉线出行路线图</w:t>
      </w:r>
    </w:p>
    <w:p>
      <w:pPr>
        <w:numPr>
          <w:ilvl w:val="1"/>
          <w:numId w:val="21"/>
        </w:numPr>
        <w:snapToGrid w:val="0"/>
        <w:ind w:left="0" w:firstLine="562"/>
        <w:rPr>
          <w:rFonts w:eastAsia="仿宋_GB2312" w:cs="Times New Roman"/>
          <w:b/>
          <w:bCs/>
        </w:rPr>
      </w:pPr>
      <w:r>
        <w:rPr>
          <w:rFonts w:eastAsia="仿宋_GB2312" w:cs="Times New Roman"/>
          <w:b/>
          <w:bCs/>
        </w:rPr>
        <w:t>方案分析</w:t>
      </w:r>
    </w:p>
    <w:p>
      <w:pPr>
        <w:snapToGrid w:val="0"/>
        <w:ind w:firstLine="560"/>
        <w:rPr>
          <w:rFonts w:eastAsia="仿宋_GB2312" w:cs="Times New Roman"/>
        </w:rPr>
      </w:pPr>
      <w:r>
        <w:rPr>
          <w:rFonts w:eastAsia="仿宋_GB2312" w:cs="Times New Roman"/>
        </w:rPr>
        <w:t>以方案2为例，利用假期从咸宁到三国赤壁古战场游玩。从咸宁站出发，乘坐比亚迪e6电动车，从完全没电到完成充满电，大约需要82度电，续航里程为400公里，百公里大概需要21.5度电左右，每度电可走4.87公里。1）按照理想情况，游客出发充满电，电量为100%，不开空调的情况下，按照续航里程400公里，每度电可以行驶4.87公里，从咸宁站到三国赤壁古战场大概需要84公里，需要消耗17.2度电。返程时，从三国赤壁古战场到最近的京港澳高速赤壁服务区港澳方向充电站大概需要46公里，消耗9.4度电，还剩55.4度电，剩余电量为67.6%，可以满足充电需求。2）考虑季节、天气以及其他因素，假设夏天需要开空调，加上行李较重，坐满人的情况下，实际续航可能会有所衰减，这里我们以350公里续航考虑，则每度电可以行驶4.26公里。考虑普遍情况，假设汽车有50%电量出发（41度电），从咸宁站到三国赤壁古战场大概需要84公里，到达需要消耗大概19.7度电还剩21.3度电。返程时，从三国赤壁古战场到最近的京港澳高速赤壁服务区港澳方向充电站大概需要46公里，花费10.8度电，还剩10.5度电，剩余电量不足20%。到达服务区时，进行充电，120kW的直流快充桩半小时之内差不多就能从30%充到80%电量。考虑到剩余的电量不多，碰到高速堵车及低电量出发，充电快慢的不同，在景区设置充电站是十分有必要的，一方面可以满足车辆充电需求，另一方面又可以增加客游量。</w:t>
      </w:r>
    </w:p>
    <w:p>
      <w:pPr>
        <w:snapToGrid w:val="0"/>
        <w:ind w:firstLine="560"/>
        <w:rPr>
          <w:rFonts w:eastAsia="仿宋_GB2312" w:cs="Times New Roman"/>
        </w:rPr>
      </w:pPr>
      <w:r>
        <w:rPr>
          <w:rFonts w:eastAsia="仿宋_GB2312" w:cs="Times New Roman"/>
        </w:rPr>
        <w:t>如果改用北汽E150EV电动车，从完全没电到完全充满电，大约需要25.6度电，能够行使160公里。1）按照理想情况，游客出发充满电，电量为100%，不开空调的情况下，按照续航里程160公里，每度电可以行驶6.25公里，从咸宁站到达港澳高速赤壁服务区港澳方向充电站大概需要46公里，消耗7.4度电，还剩18.2度电。从服务区充电站到三国赤壁古战场还需要38公里，需要6.1度电，还剩12.1度电，车辆电量低于50%，如果景区不能及时充电，将会影响后续行程，所以景区设置充电设施有必要，不然就只能进入服务区充电，耽误旅游体验。2）考虑季节、天气</w:t>
      </w:r>
      <w:bookmarkStart w:id="336" w:name="_GoBack"/>
      <w:bookmarkEnd w:id="336"/>
      <w:r>
        <w:rPr>
          <w:rFonts w:eastAsia="仿宋_GB2312" w:cs="Times New Roman"/>
        </w:rPr>
        <w:t>以及其他因素，假设夏天需要开空调，加上行李较重，坐满人的情况下，实际续航可能会有所衰减，这里我们以140续航里程来考虑，每度电可以行驶5.47公里，70%电量（17.92度）出发，从咸宁站到达港澳高速赤壁服务区港澳方向充电站大概需要46公里，消耗8.4度电，还剩9.5度电。从服务区充电站到三国赤壁古战场还需要38公里，需要6.9度电，还剩2.6度电，车辆电量低于11%，电量过低，必须在服务区充电，不然就有电量耗尽风险，所以景区设置充电设施是必要的。</w:t>
      </w:r>
    </w:p>
    <w:p>
      <w:pPr>
        <w:snapToGrid w:val="0"/>
        <w:ind w:firstLine="560"/>
        <w:rPr>
          <w:rFonts w:eastAsia="仿宋_GB2312" w:cs="Times New Roman"/>
        </w:rPr>
      </w:pPr>
      <w:r>
        <w:rPr>
          <w:rFonts w:eastAsia="仿宋_GB2312" w:cs="Times New Roman"/>
        </w:rPr>
        <w:t>根据分析一般电动汽车电量20%以下，就需要进行充电，如果续航里程满足，可以不需要在景区进行充电，如果不满足，则需要在景区充电站进行充电，客流量大的话可以分流去港澳高速赤壁服务区充电站充电。</w:t>
      </w:r>
    </w:p>
    <w:p>
      <w:pPr>
        <w:numPr>
          <w:ilvl w:val="0"/>
          <w:numId w:val="20"/>
        </w:numPr>
        <w:snapToGrid w:val="0"/>
        <w:ind w:left="0" w:firstLine="562"/>
        <w:rPr>
          <w:rFonts w:eastAsia="仿宋_GB2312" w:cs="Times New Roman"/>
          <w:b/>
          <w:bCs/>
        </w:rPr>
      </w:pPr>
      <w:r>
        <w:rPr>
          <w:rFonts w:eastAsia="仿宋_GB2312" w:cs="Times New Roman"/>
          <w:b/>
          <w:bCs/>
        </w:rPr>
        <w:t>场景二</w:t>
      </w:r>
    </w:p>
    <w:p>
      <w:pPr>
        <w:snapToGrid w:val="0"/>
        <w:ind w:firstLine="560"/>
        <w:rPr>
          <w:rFonts w:eastAsia="仿宋_GB2312" w:cs="Times New Roman"/>
        </w:rPr>
      </w:pPr>
      <w:r>
        <w:rPr>
          <w:rFonts w:eastAsia="仿宋_GB2312" w:cs="Times New Roman"/>
        </w:rPr>
        <w:t>以武汉为核心地点，从武汉到咸宁4A级景点路线如</w:t>
      </w:r>
      <w:r>
        <w:rPr>
          <w:rFonts w:eastAsia="仿宋_GB2312" w:cs="Times New Roman"/>
        </w:rPr>
        <w:fldChar w:fldCharType="begin"/>
      </w:r>
      <w:r>
        <w:rPr>
          <w:rFonts w:eastAsia="仿宋_GB2312" w:cs="Times New Roman"/>
        </w:rPr>
        <w:instrText xml:space="preserve"> REF _Ref17799281 \h  \* MERGEFORMAT </w:instrText>
      </w:r>
      <w:r>
        <w:rPr>
          <w:rFonts w:eastAsia="仿宋_GB2312" w:cs="Times New Roman"/>
        </w:rPr>
        <w:fldChar w:fldCharType="separate"/>
      </w:r>
      <w:r>
        <w:rPr>
          <w:rFonts w:eastAsia="仿宋_GB2312" w:cs="Times New Roman"/>
        </w:rPr>
        <w:t>表 4</w:t>
      </w:r>
      <w:r>
        <w:rPr>
          <w:rFonts w:eastAsia="仿宋_GB2312" w:cs="Times New Roman"/>
        </w:rPr>
        <w:noBreakHyphen/>
      </w:r>
      <w:r>
        <w:rPr>
          <w:rFonts w:eastAsia="仿宋_GB2312" w:cs="Times New Roman"/>
        </w:rPr>
        <w:t>43</w:t>
      </w:r>
      <w:r>
        <w:rPr>
          <w:rFonts w:eastAsia="仿宋_GB2312" w:cs="Times New Roman"/>
        </w:rPr>
        <w:fldChar w:fldCharType="end"/>
      </w:r>
      <w:r>
        <w:rPr>
          <w:rFonts w:eastAsia="仿宋_GB2312" w:cs="Times New Roman"/>
        </w:rPr>
        <w:t>所示。</w:t>
      </w:r>
    </w:p>
    <w:p>
      <w:pPr>
        <w:snapToGrid w:val="0"/>
        <w:ind w:firstLine="482"/>
        <w:jc w:val="center"/>
        <w:rPr>
          <w:rFonts w:eastAsia="仿宋_GB2312" w:cs="Times New Roman"/>
          <w:b/>
          <w:sz w:val="24"/>
          <w:szCs w:val="20"/>
        </w:rPr>
      </w:pPr>
      <w:bookmarkStart w:id="231" w:name="_Ref17799281"/>
      <w:r>
        <w:rPr>
          <w:rFonts w:eastAsia="仿宋_GB2312" w:cs="Times New Roman"/>
          <w:b/>
          <w:sz w:val="24"/>
          <w:szCs w:val="20"/>
        </w:rPr>
        <w:t xml:space="preserve">表 </w:t>
      </w:r>
      <w:r>
        <w:rPr>
          <w:rFonts w:eastAsia="仿宋_GB2312" w:cs="Times New Roman"/>
          <w:b/>
          <w:sz w:val="24"/>
          <w:szCs w:val="20"/>
        </w:rPr>
        <w:fldChar w:fldCharType="begin"/>
      </w:r>
      <w:r>
        <w:rPr>
          <w:rFonts w:eastAsia="仿宋_GB2312" w:cs="Times New Roman"/>
          <w:b/>
          <w:sz w:val="24"/>
          <w:szCs w:val="20"/>
        </w:rPr>
        <w:instrText xml:space="preserve"> STYLEREF 1 \s </w:instrText>
      </w:r>
      <w:r>
        <w:rPr>
          <w:rFonts w:eastAsia="仿宋_GB2312" w:cs="Times New Roman"/>
          <w:b/>
          <w:sz w:val="24"/>
          <w:szCs w:val="20"/>
        </w:rPr>
        <w:fldChar w:fldCharType="separate"/>
      </w:r>
      <w:r>
        <w:rPr>
          <w:rFonts w:eastAsia="仿宋_GB2312" w:cs="Times New Roman"/>
          <w:b/>
          <w:sz w:val="24"/>
          <w:szCs w:val="20"/>
        </w:rPr>
        <w:t>4</w:t>
      </w:r>
      <w:r>
        <w:rPr>
          <w:rFonts w:eastAsia="仿宋_GB2312" w:cs="Times New Roman"/>
          <w:b/>
          <w:sz w:val="24"/>
          <w:szCs w:val="20"/>
        </w:rPr>
        <w:fldChar w:fldCharType="end"/>
      </w:r>
      <w:r>
        <w:rPr>
          <w:rFonts w:eastAsia="仿宋_GB2312" w:cs="Times New Roman"/>
          <w:b/>
          <w:sz w:val="24"/>
          <w:szCs w:val="20"/>
        </w:rPr>
        <w:noBreakHyphen/>
      </w:r>
      <w:r>
        <w:rPr>
          <w:rFonts w:eastAsia="仿宋_GB2312" w:cs="Times New Roman"/>
          <w:b/>
          <w:sz w:val="24"/>
          <w:szCs w:val="20"/>
        </w:rPr>
        <w:fldChar w:fldCharType="begin"/>
      </w:r>
      <w:r>
        <w:rPr>
          <w:rFonts w:eastAsia="仿宋_GB2312" w:cs="Times New Roman"/>
          <w:b/>
          <w:sz w:val="24"/>
          <w:szCs w:val="20"/>
        </w:rPr>
        <w:instrText xml:space="preserve"> SEQ 表 \* ARABIC \s 1 </w:instrText>
      </w:r>
      <w:r>
        <w:rPr>
          <w:rFonts w:eastAsia="仿宋_GB2312" w:cs="Times New Roman"/>
          <w:b/>
          <w:sz w:val="24"/>
          <w:szCs w:val="20"/>
        </w:rPr>
        <w:fldChar w:fldCharType="separate"/>
      </w:r>
      <w:r>
        <w:rPr>
          <w:rFonts w:eastAsia="仿宋_GB2312" w:cs="Times New Roman"/>
          <w:b/>
          <w:sz w:val="24"/>
          <w:szCs w:val="20"/>
        </w:rPr>
        <w:t>43</w:t>
      </w:r>
      <w:r>
        <w:rPr>
          <w:rFonts w:eastAsia="仿宋_GB2312" w:cs="Times New Roman"/>
          <w:b/>
          <w:sz w:val="24"/>
          <w:szCs w:val="20"/>
        </w:rPr>
        <w:fldChar w:fldCharType="end"/>
      </w:r>
      <w:bookmarkEnd w:id="231"/>
      <w:r>
        <w:rPr>
          <w:rFonts w:eastAsia="仿宋_GB2312" w:cs="Times New Roman"/>
          <w:b/>
          <w:sz w:val="24"/>
          <w:szCs w:val="20"/>
        </w:rPr>
        <w:t xml:space="preserve"> 武汉市至咸宁4A景点路线情况表</w:t>
      </w:r>
    </w:p>
    <w:tbl>
      <w:tblPr>
        <w:tblStyle w:val="76"/>
        <w:tblW w:w="8238" w:type="dxa"/>
        <w:jc w:val="center"/>
        <w:tblLayout w:type="autofit"/>
        <w:tblCellMar>
          <w:top w:w="0" w:type="dxa"/>
          <w:left w:w="108" w:type="dxa"/>
          <w:bottom w:w="0" w:type="dxa"/>
          <w:right w:w="108" w:type="dxa"/>
        </w:tblCellMar>
      </w:tblPr>
      <w:tblGrid>
        <w:gridCol w:w="898"/>
        <w:gridCol w:w="1786"/>
        <w:gridCol w:w="3981"/>
        <w:gridCol w:w="1573"/>
      </w:tblGrid>
      <w:tr>
        <w:tblPrEx>
          <w:tblCellMar>
            <w:top w:w="0" w:type="dxa"/>
            <w:left w:w="108" w:type="dxa"/>
            <w:bottom w:w="0" w:type="dxa"/>
            <w:right w:w="108" w:type="dxa"/>
          </w:tblCellMar>
        </w:tblPrEx>
        <w:trPr>
          <w:trHeight w:val="152" w:hRule="atLeast"/>
          <w:tblHeader/>
          <w:jc w:val="center"/>
        </w:trPr>
        <w:tc>
          <w:tcPr>
            <w:tcW w:w="898" w:type="dxa"/>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序号</w:t>
            </w:r>
          </w:p>
        </w:tc>
        <w:tc>
          <w:tcPr>
            <w:tcW w:w="1786" w:type="dxa"/>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景区名称</w:t>
            </w:r>
          </w:p>
        </w:tc>
        <w:tc>
          <w:tcPr>
            <w:tcW w:w="3981" w:type="dxa"/>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途经高速</w:t>
            </w:r>
          </w:p>
        </w:tc>
        <w:tc>
          <w:tcPr>
            <w:tcW w:w="1573" w:type="dxa"/>
            <w:tcBorders>
              <w:top w:val="single" w:color="auto" w:sz="8" w:space="0"/>
              <w:left w:val="nil"/>
              <w:bottom w:val="nil"/>
              <w:right w:val="single" w:color="auto" w:sz="8"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里程</w:t>
            </w:r>
          </w:p>
        </w:tc>
      </w:tr>
      <w:tr>
        <w:tblPrEx>
          <w:tblCellMar>
            <w:top w:w="0" w:type="dxa"/>
            <w:left w:w="108" w:type="dxa"/>
            <w:bottom w:w="0" w:type="dxa"/>
            <w:right w:w="108" w:type="dxa"/>
          </w:tblCellMar>
        </w:tblPrEx>
        <w:trPr>
          <w:trHeight w:val="159" w:hRule="atLeast"/>
          <w:tblHeader/>
          <w:jc w:val="center"/>
        </w:trPr>
        <w:tc>
          <w:tcPr>
            <w:tcW w:w="898" w:type="dxa"/>
            <w:vMerge w:val="continue"/>
            <w:tcBorders>
              <w:top w:val="single" w:color="auto" w:sz="8" w:space="0"/>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b/>
                <w:bCs/>
                <w:color w:val="000000"/>
                <w:kern w:val="0"/>
                <w:sz w:val="21"/>
                <w:szCs w:val="21"/>
              </w:rPr>
            </w:pPr>
          </w:p>
        </w:tc>
        <w:tc>
          <w:tcPr>
            <w:tcW w:w="1786" w:type="dxa"/>
            <w:vMerge w:val="continue"/>
            <w:tcBorders>
              <w:top w:val="single" w:color="auto" w:sz="8" w:space="0"/>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b/>
                <w:bCs/>
                <w:color w:val="000000"/>
                <w:kern w:val="0"/>
                <w:sz w:val="21"/>
                <w:szCs w:val="21"/>
              </w:rPr>
            </w:pPr>
          </w:p>
        </w:tc>
        <w:tc>
          <w:tcPr>
            <w:tcW w:w="3981" w:type="dxa"/>
            <w:vMerge w:val="continue"/>
            <w:tcBorders>
              <w:top w:val="single" w:color="auto" w:sz="8" w:space="0"/>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b/>
                <w:bCs/>
                <w:color w:val="000000"/>
                <w:kern w:val="0"/>
                <w:sz w:val="21"/>
                <w:szCs w:val="21"/>
              </w:rPr>
            </w:pP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（公里）</w:t>
            </w:r>
          </w:p>
        </w:tc>
      </w:tr>
      <w:tr>
        <w:tblPrEx>
          <w:tblCellMar>
            <w:top w:w="0" w:type="dxa"/>
            <w:left w:w="108" w:type="dxa"/>
            <w:bottom w:w="0" w:type="dxa"/>
            <w:right w:w="108" w:type="dxa"/>
          </w:tblCellMar>
        </w:tblPrEx>
        <w:trPr>
          <w:trHeight w:val="159" w:hRule="atLeast"/>
          <w:jc w:val="center"/>
        </w:trPr>
        <w:tc>
          <w:tcPr>
            <w:tcW w:w="89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w:t>
            </w:r>
          </w:p>
        </w:tc>
        <w:tc>
          <w:tcPr>
            <w:tcW w:w="1786" w:type="dxa"/>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三国赤壁古战场</w:t>
            </w: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路线一：武汉-武深高速-G351</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164</w:t>
            </w:r>
          </w:p>
        </w:tc>
      </w:tr>
      <w:tr>
        <w:tblPrEx>
          <w:tblCellMar>
            <w:top w:w="0" w:type="dxa"/>
            <w:left w:w="108" w:type="dxa"/>
            <w:bottom w:w="0" w:type="dxa"/>
            <w:right w:w="108" w:type="dxa"/>
          </w:tblCellMar>
        </w:tblPrEx>
        <w:trPr>
          <w:trHeight w:val="255"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路线二：武汉-武汉绕城高速-武深高速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150.9</w:t>
            </w:r>
          </w:p>
        </w:tc>
      </w:tr>
      <w:tr>
        <w:tblPrEx>
          <w:tblCellMar>
            <w:top w:w="0" w:type="dxa"/>
            <w:left w:w="108" w:type="dxa"/>
            <w:bottom w:w="0" w:type="dxa"/>
            <w:right w:w="108" w:type="dxa"/>
          </w:tblCellMar>
        </w:tblPrEx>
        <w:trPr>
          <w:trHeight w:val="159"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路线三：武汉-S102-G351</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141</w:t>
            </w:r>
          </w:p>
        </w:tc>
      </w:tr>
      <w:tr>
        <w:tblPrEx>
          <w:tblCellMar>
            <w:top w:w="0" w:type="dxa"/>
            <w:left w:w="108" w:type="dxa"/>
            <w:bottom w:w="0" w:type="dxa"/>
            <w:right w:w="108" w:type="dxa"/>
          </w:tblCellMar>
        </w:tblPrEx>
        <w:trPr>
          <w:trHeight w:val="152" w:hRule="atLeast"/>
          <w:jc w:val="center"/>
        </w:trPr>
        <w:tc>
          <w:tcPr>
            <w:tcW w:w="89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1786" w:type="dxa"/>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bookmarkStart w:id="232" w:name="_Hlk110497799"/>
            <w:r>
              <w:rPr>
                <w:rFonts w:eastAsia="仿宋_GB2312" w:cs="Times New Roman"/>
                <w:color w:val="000000"/>
                <w:kern w:val="0"/>
                <w:sz w:val="21"/>
                <w:szCs w:val="21"/>
              </w:rPr>
              <w:t>柃蜜小镇·白崖山景区</w:t>
            </w:r>
            <w:bookmarkEnd w:id="232"/>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路线一：武汉-京港澳高速-咸通高速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198</w:t>
            </w:r>
          </w:p>
        </w:tc>
      </w:tr>
      <w:tr>
        <w:tblPrEx>
          <w:tblCellMar>
            <w:top w:w="0" w:type="dxa"/>
            <w:left w:w="108" w:type="dxa"/>
            <w:bottom w:w="0" w:type="dxa"/>
            <w:right w:w="108" w:type="dxa"/>
          </w:tblCellMar>
        </w:tblPrEx>
        <w:trPr>
          <w:trHeight w:val="159"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路线二：武汉-鄂咸高速-咸通高速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211.8</w:t>
            </w:r>
          </w:p>
        </w:tc>
      </w:tr>
      <w:tr>
        <w:tblPrEx>
          <w:tblCellMar>
            <w:top w:w="0" w:type="dxa"/>
            <w:left w:w="108" w:type="dxa"/>
            <w:bottom w:w="0" w:type="dxa"/>
            <w:right w:w="108" w:type="dxa"/>
          </w:tblCellMar>
        </w:tblPrEx>
        <w:trPr>
          <w:trHeight w:val="159"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路线三：武汉-京港线-S208</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183.2</w:t>
            </w:r>
          </w:p>
        </w:tc>
      </w:tr>
      <w:tr>
        <w:tblPrEx>
          <w:tblCellMar>
            <w:top w:w="0" w:type="dxa"/>
            <w:left w:w="108" w:type="dxa"/>
            <w:bottom w:w="0" w:type="dxa"/>
            <w:right w:w="108" w:type="dxa"/>
          </w:tblCellMar>
        </w:tblPrEx>
        <w:trPr>
          <w:trHeight w:val="159" w:hRule="atLeast"/>
          <w:jc w:val="center"/>
        </w:trPr>
        <w:tc>
          <w:tcPr>
            <w:tcW w:w="89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w:t>
            </w:r>
          </w:p>
        </w:tc>
        <w:tc>
          <w:tcPr>
            <w:tcW w:w="1786" w:type="dxa"/>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通山九宫山风景区</w:t>
            </w: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路线一：武汉-沪渝高速-大广高速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196.2</w:t>
            </w:r>
          </w:p>
        </w:tc>
      </w:tr>
      <w:tr>
        <w:tblPrEx>
          <w:tblCellMar>
            <w:top w:w="0" w:type="dxa"/>
            <w:left w:w="108" w:type="dxa"/>
            <w:bottom w:w="0" w:type="dxa"/>
            <w:right w:w="108" w:type="dxa"/>
          </w:tblCellMar>
        </w:tblPrEx>
        <w:trPr>
          <w:trHeight w:val="159"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路线二：武汉-武鄂高速-大广高速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199.1</w:t>
            </w:r>
          </w:p>
        </w:tc>
      </w:tr>
      <w:tr>
        <w:tblPrEx>
          <w:tblCellMar>
            <w:top w:w="0" w:type="dxa"/>
            <w:left w:w="108" w:type="dxa"/>
            <w:bottom w:w="0" w:type="dxa"/>
            <w:right w:w="108" w:type="dxa"/>
          </w:tblCellMar>
        </w:tblPrEx>
        <w:trPr>
          <w:trHeight w:val="255" w:hRule="atLeast"/>
          <w:jc w:val="center"/>
        </w:trPr>
        <w:tc>
          <w:tcPr>
            <w:tcW w:w="89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1786" w:type="dxa"/>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龙佑赤壁温泉度假区</w:t>
            </w: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路线一：武汉-武汉绕城高速-武深高速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149.9</w:t>
            </w:r>
          </w:p>
        </w:tc>
      </w:tr>
      <w:tr>
        <w:tblPrEx>
          <w:tblCellMar>
            <w:top w:w="0" w:type="dxa"/>
            <w:left w:w="108" w:type="dxa"/>
            <w:bottom w:w="0" w:type="dxa"/>
            <w:right w:w="108" w:type="dxa"/>
          </w:tblCellMar>
        </w:tblPrEx>
        <w:trPr>
          <w:trHeight w:val="255"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路线二：武汉-武汉绕城高速-武深高速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163.5</w:t>
            </w:r>
          </w:p>
        </w:tc>
      </w:tr>
      <w:tr>
        <w:tblPrEx>
          <w:tblCellMar>
            <w:top w:w="0" w:type="dxa"/>
            <w:left w:w="108" w:type="dxa"/>
            <w:bottom w:w="0" w:type="dxa"/>
            <w:right w:w="108" w:type="dxa"/>
          </w:tblCellMar>
        </w:tblPrEx>
        <w:trPr>
          <w:trHeight w:val="255" w:hRule="atLeast"/>
          <w:jc w:val="center"/>
        </w:trPr>
        <w:tc>
          <w:tcPr>
            <w:tcW w:w="89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w:t>
            </w:r>
          </w:p>
        </w:tc>
        <w:tc>
          <w:tcPr>
            <w:tcW w:w="1786" w:type="dxa"/>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咸宁市陆水湖风景区</w:t>
            </w: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路线一：武汉-武汉绕城高速-京港澳高速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163.5</w:t>
            </w:r>
          </w:p>
        </w:tc>
      </w:tr>
      <w:tr>
        <w:tblPrEx>
          <w:tblCellMar>
            <w:top w:w="0" w:type="dxa"/>
            <w:left w:w="108" w:type="dxa"/>
            <w:bottom w:w="0" w:type="dxa"/>
            <w:right w:w="108" w:type="dxa"/>
          </w:tblCellMar>
        </w:tblPrEx>
        <w:trPr>
          <w:trHeight w:val="255"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路线二：武汉-武汉绕城高速-武深高速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157.4</w:t>
            </w:r>
          </w:p>
        </w:tc>
      </w:tr>
      <w:tr>
        <w:tblPrEx>
          <w:tblCellMar>
            <w:top w:w="0" w:type="dxa"/>
            <w:left w:w="108" w:type="dxa"/>
            <w:bottom w:w="0" w:type="dxa"/>
            <w:right w:w="108" w:type="dxa"/>
          </w:tblCellMar>
        </w:tblPrEx>
        <w:trPr>
          <w:trHeight w:val="159" w:hRule="atLeast"/>
          <w:jc w:val="center"/>
        </w:trPr>
        <w:tc>
          <w:tcPr>
            <w:tcW w:w="89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1786" w:type="dxa"/>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咸宁市隐水洞景区</w:t>
            </w: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路线一：武汉-武鄂高速-大广高速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178.5</w:t>
            </w:r>
          </w:p>
        </w:tc>
      </w:tr>
      <w:tr>
        <w:tblPrEx>
          <w:tblCellMar>
            <w:top w:w="0" w:type="dxa"/>
            <w:left w:w="108" w:type="dxa"/>
            <w:bottom w:w="0" w:type="dxa"/>
            <w:right w:w="108" w:type="dxa"/>
          </w:tblCellMar>
        </w:tblPrEx>
        <w:trPr>
          <w:trHeight w:val="159"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路线二：武汉-沪渝高速-大广高速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175.6</w:t>
            </w:r>
          </w:p>
        </w:tc>
      </w:tr>
      <w:tr>
        <w:tblPrEx>
          <w:tblCellMar>
            <w:top w:w="0" w:type="dxa"/>
            <w:left w:w="108" w:type="dxa"/>
            <w:bottom w:w="0" w:type="dxa"/>
            <w:right w:w="108" w:type="dxa"/>
          </w:tblCellMar>
        </w:tblPrEx>
        <w:trPr>
          <w:trHeight w:val="159" w:hRule="atLeast"/>
          <w:jc w:val="center"/>
        </w:trPr>
        <w:tc>
          <w:tcPr>
            <w:tcW w:w="89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7</w:t>
            </w:r>
          </w:p>
        </w:tc>
        <w:tc>
          <w:tcPr>
            <w:tcW w:w="1786" w:type="dxa"/>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咸宁市通圣太乙温泉</w:t>
            </w: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路线一：武汉-鄂咸高速-蕲嘉高速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137.4</w:t>
            </w:r>
          </w:p>
        </w:tc>
      </w:tr>
      <w:tr>
        <w:tblPrEx>
          <w:tblCellMar>
            <w:top w:w="0" w:type="dxa"/>
            <w:left w:w="108" w:type="dxa"/>
            <w:bottom w:w="0" w:type="dxa"/>
            <w:right w:w="108" w:type="dxa"/>
          </w:tblCellMar>
        </w:tblPrEx>
        <w:trPr>
          <w:trHeight w:val="255"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路线二：武汉-武汉绕城高速-京港澳高速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123.6</w:t>
            </w:r>
          </w:p>
        </w:tc>
      </w:tr>
      <w:tr>
        <w:tblPrEx>
          <w:tblCellMar>
            <w:top w:w="0" w:type="dxa"/>
            <w:left w:w="108" w:type="dxa"/>
            <w:bottom w:w="0" w:type="dxa"/>
            <w:right w:w="108" w:type="dxa"/>
          </w:tblCellMar>
        </w:tblPrEx>
        <w:trPr>
          <w:trHeight w:val="159" w:hRule="atLeast"/>
          <w:jc w:val="center"/>
        </w:trPr>
        <w:tc>
          <w:tcPr>
            <w:tcW w:w="89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1786" w:type="dxa"/>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咸宁市楚天瑶池温泉度假村</w:t>
            </w: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路线一：武汉-鄂咸高速-蕲嘉高速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134.5</w:t>
            </w:r>
          </w:p>
        </w:tc>
      </w:tr>
      <w:tr>
        <w:tblPrEx>
          <w:tblCellMar>
            <w:top w:w="0" w:type="dxa"/>
            <w:left w:w="108" w:type="dxa"/>
            <w:bottom w:w="0" w:type="dxa"/>
            <w:right w:w="108" w:type="dxa"/>
          </w:tblCellMar>
        </w:tblPrEx>
        <w:trPr>
          <w:trHeight w:val="255"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路线二：武汉-武汉绕城高速-京港澳高速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108.6</w:t>
            </w:r>
          </w:p>
        </w:tc>
      </w:tr>
      <w:tr>
        <w:tblPrEx>
          <w:tblCellMar>
            <w:top w:w="0" w:type="dxa"/>
            <w:left w:w="108" w:type="dxa"/>
            <w:bottom w:w="0" w:type="dxa"/>
            <w:right w:w="108" w:type="dxa"/>
          </w:tblCellMar>
        </w:tblPrEx>
        <w:trPr>
          <w:trHeight w:val="255" w:hRule="atLeast"/>
          <w:jc w:val="center"/>
        </w:trPr>
        <w:tc>
          <w:tcPr>
            <w:tcW w:w="89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9</w:t>
            </w:r>
          </w:p>
        </w:tc>
        <w:tc>
          <w:tcPr>
            <w:tcW w:w="1786" w:type="dxa"/>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嘉鱼县山湖温泉景区</w:t>
            </w: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路线一：武汉-武汉绕城高速-武深高速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115.1</w:t>
            </w:r>
          </w:p>
        </w:tc>
      </w:tr>
      <w:tr>
        <w:tblPrEx>
          <w:tblCellMar>
            <w:top w:w="0" w:type="dxa"/>
            <w:left w:w="108" w:type="dxa"/>
            <w:bottom w:w="0" w:type="dxa"/>
            <w:right w:w="108" w:type="dxa"/>
          </w:tblCellMar>
        </w:tblPrEx>
        <w:trPr>
          <w:trHeight w:val="159"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路线二：武汉-四环线-武深高速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122.4</w:t>
            </w:r>
          </w:p>
        </w:tc>
      </w:tr>
      <w:tr>
        <w:tblPrEx>
          <w:tblCellMar>
            <w:top w:w="0" w:type="dxa"/>
            <w:left w:w="108" w:type="dxa"/>
            <w:bottom w:w="0" w:type="dxa"/>
            <w:right w:w="108" w:type="dxa"/>
          </w:tblCellMar>
        </w:tblPrEx>
        <w:trPr>
          <w:trHeight w:val="255" w:hRule="atLeast"/>
          <w:jc w:val="center"/>
        </w:trPr>
        <w:tc>
          <w:tcPr>
            <w:tcW w:w="89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1786" w:type="dxa"/>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咸宁市温泉谷度假区</w:t>
            </w: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路线一：武汉-武汉绕城高速-京港澳高速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108.2</w:t>
            </w:r>
          </w:p>
        </w:tc>
      </w:tr>
      <w:tr>
        <w:tblPrEx>
          <w:tblCellMar>
            <w:top w:w="0" w:type="dxa"/>
            <w:left w:w="108" w:type="dxa"/>
            <w:bottom w:w="0" w:type="dxa"/>
            <w:right w:w="108" w:type="dxa"/>
          </w:tblCellMar>
        </w:tblPrEx>
        <w:trPr>
          <w:trHeight w:val="159"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路线二：武汉-鄂咸高速-蕲嘉高速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135.2</w:t>
            </w:r>
          </w:p>
        </w:tc>
      </w:tr>
      <w:tr>
        <w:tblPrEx>
          <w:tblCellMar>
            <w:top w:w="0" w:type="dxa"/>
            <w:left w:w="108" w:type="dxa"/>
            <w:bottom w:w="0" w:type="dxa"/>
            <w:right w:w="108" w:type="dxa"/>
          </w:tblCellMar>
        </w:tblPrEx>
        <w:trPr>
          <w:trHeight w:val="255" w:hRule="atLeast"/>
          <w:jc w:val="center"/>
        </w:trPr>
        <w:tc>
          <w:tcPr>
            <w:tcW w:w="89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w:t>
            </w:r>
          </w:p>
        </w:tc>
        <w:tc>
          <w:tcPr>
            <w:tcW w:w="1786" w:type="dxa"/>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三江森林旅游区</w:t>
            </w: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路线一：武汉-武汉绕城高速-京港澳高速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124.7</w:t>
            </w:r>
          </w:p>
        </w:tc>
      </w:tr>
      <w:tr>
        <w:tblPrEx>
          <w:tblCellMar>
            <w:top w:w="0" w:type="dxa"/>
            <w:left w:w="108" w:type="dxa"/>
            <w:bottom w:w="0" w:type="dxa"/>
            <w:right w:w="108" w:type="dxa"/>
          </w:tblCellMar>
        </w:tblPrEx>
        <w:trPr>
          <w:trHeight w:val="159"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路线二：武汉-鄂咸高速-蕲嘉高速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134.6</w:t>
            </w:r>
          </w:p>
        </w:tc>
      </w:tr>
      <w:tr>
        <w:tblPrEx>
          <w:tblCellMar>
            <w:top w:w="0" w:type="dxa"/>
            <w:left w:w="108" w:type="dxa"/>
            <w:bottom w:w="0" w:type="dxa"/>
            <w:right w:w="108" w:type="dxa"/>
          </w:tblCellMar>
        </w:tblPrEx>
        <w:trPr>
          <w:trHeight w:val="255" w:hRule="atLeast"/>
          <w:jc w:val="center"/>
        </w:trPr>
        <w:tc>
          <w:tcPr>
            <w:tcW w:w="89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w:t>
            </w:r>
          </w:p>
        </w:tc>
        <w:tc>
          <w:tcPr>
            <w:tcW w:w="1786" w:type="dxa"/>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黄鹤楼森林美酒小镇</w:t>
            </w: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路线一：武汉-武汉绕城高速-京港澳高速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108.7</w:t>
            </w:r>
          </w:p>
        </w:tc>
      </w:tr>
      <w:tr>
        <w:tblPrEx>
          <w:tblCellMar>
            <w:top w:w="0" w:type="dxa"/>
            <w:left w:w="108" w:type="dxa"/>
            <w:bottom w:w="0" w:type="dxa"/>
            <w:right w:w="108" w:type="dxa"/>
          </w:tblCellMar>
        </w:tblPrEx>
        <w:trPr>
          <w:trHeight w:val="159"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路线二：武汉-三环线-京港澳高速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107.5</w:t>
            </w:r>
          </w:p>
        </w:tc>
      </w:tr>
      <w:tr>
        <w:tblPrEx>
          <w:tblCellMar>
            <w:top w:w="0" w:type="dxa"/>
            <w:left w:w="108" w:type="dxa"/>
            <w:bottom w:w="0" w:type="dxa"/>
            <w:right w:w="108" w:type="dxa"/>
          </w:tblCellMar>
        </w:tblPrEx>
        <w:trPr>
          <w:trHeight w:val="255" w:hRule="atLeast"/>
          <w:jc w:val="center"/>
        </w:trPr>
        <w:tc>
          <w:tcPr>
            <w:tcW w:w="898" w:type="dxa"/>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13</w:t>
            </w:r>
          </w:p>
        </w:tc>
        <w:tc>
          <w:tcPr>
            <w:tcW w:w="1786" w:type="dxa"/>
            <w:vMerge w:val="restart"/>
            <w:tcBorders>
              <w:top w:val="nil"/>
              <w:left w:val="single" w:color="auto" w:sz="8" w:space="0"/>
              <w:bottom w:val="single" w:color="000000"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嘉鱼官桥田野乡村公园</w:t>
            </w: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left"/>
              <w:rPr>
                <w:rFonts w:eastAsia="仿宋_GB2312" w:cs="Times New Roman"/>
                <w:color w:val="000000"/>
                <w:kern w:val="0"/>
                <w:sz w:val="21"/>
                <w:szCs w:val="21"/>
              </w:rPr>
            </w:pPr>
            <w:r>
              <w:rPr>
                <w:rFonts w:eastAsia="仿宋_GB2312" w:cs="Times New Roman"/>
                <w:color w:val="000000"/>
                <w:kern w:val="0"/>
                <w:sz w:val="21"/>
                <w:szCs w:val="21"/>
              </w:rPr>
              <w:t>路线一：武汉-武汉绕城高速-武深高速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112</w:t>
            </w:r>
          </w:p>
        </w:tc>
      </w:tr>
      <w:tr>
        <w:tblPrEx>
          <w:tblCellMar>
            <w:top w:w="0" w:type="dxa"/>
            <w:left w:w="108" w:type="dxa"/>
            <w:bottom w:w="0" w:type="dxa"/>
            <w:right w:w="108" w:type="dxa"/>
          </w:tblCellMar>
        </w:tblPrEx>
        <w:trPr>
          <w:trHeight w:val="159" w:hRule="atLeast"/>
          <w:jc w:val="center"/>
        </w:trPr>
        <w:tc>
          <w:tcPr>
            <w:tcW w:w="898"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left"/>
              <w:rPr>
                <w:rFonts w:eastAsia="仿宋_GB2312" w:cs="Times New Roman"/>
                <w:color w:val="000000"/>
                <w:kern w:val="0"/>
                <w:sz w:val="21"/>
                <w:szCs w:val="21"/>
              </w:rPr>
            </w:pPr>
          </w:p>
        </w:tc>
        <w:tc>
          <w:tcPr>
            <w:tcW w:w="1786" w:type="dxa"/>
            <w:vMerge w:val="continue"/>
            <w:tcBorders>
              <w:top w:val="nil"/>
              <w:left w:val="single" w:color="auto" w:sz="8" w:space="0"/>
              <w:bottom w:val="single" w:color="000000" w:sz="8" w:space="0"/>
              <w:right w:val="single" w:color="auto" w:sz="8" w:space="0"/>
            </w:tcBorders>
            <w:vAlign w:val="center"/>
          </w:tcPr>
          <w:p>
            <w:pPr>
              <w:widowControl/>
              <w:snapToGrid w:val="0"/>
              <w:spacing w:line="240" w:lineRule="auto"/>
              <w:ind w:firstLine="0" w:firstLineChars="0"/>
              <w:jc w:val="left"/>
              <w:rPr>
                <w:rFonts w:eastAsia="仿宋_GB2312" w:cs="Times New Roman"/>
                <w:color w:val="000000"/>
                <w:kern w:val="0"/>
                <w:sz w:val="21"/>
                <w:szCs w:val="21"/>
              </w:rPr>
            </w:pPr>
          </w:p>
        </w:tc>
        <w:tc>
          <w:tcPr>
            <w:tcW w:w="3981" w:type="dxa"/>
            <w:tcBorders>
              <w:top w:val="nil"/>
              <w:left w:val="nil"/>
              <w:bottom w:val="single" w:color="auto" w:sz="8" w:space="0"/>
              <w:right w:val="single" w:color="auto" w:sz="8" w:space="0"/>
            </w:tcBorders>
            <w:shd w:val="clear" w:color="auto" w:fill="auto"/>
            <w:vAlign w:val="center"/>
          </w:tcPr>
          <w:p>
            <w:pPr>
              <w:widowControl/>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路线二：武汉-三环线-武深高速</w:t>
            </w:r>
          </w:p>
        </w:tc>
        <w:tc>
          <w:tcPr>
            <w:tcW w:w="157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107.6</w:t>
            </w:r>
          </w:p>
        </w:tc>
      </w:tr>
    </w:tbl>
    <w:p>
      <w:pPr>
        <w:numPr>
          <w:ilvl w:val="1"/>
          <w:numId w:val="23"/>
        </w:numPr>
        <w:snapToGrid w:val="0"/>
        <w:spacing w:before="156" w:beforeLines="50"/>
        <w:ind w:left="0" w:firstLine="562"/>
        <w:rPr>
          <w:rFonts w:eastAsia="仿宋_GB2312" w:cs="Times New Roman"/>
          <w:b/>
          <w:bCs/>
        </w:rPr>
      </w:pPr>
      <w:r>
        <w:rPr>
          <w:rFonts w:eastAsia="仿宋_GB2312" w:cs="Times New Roman"/>
          <w:b/>
          <w:bCs/>
        </w:rPr>
        <w:t>方案描述</w:t>
      </w:r>
    </w:p>
    <w:p>
      <w:pPr>
        <w:snapToGrid w:val="0"/>
        <w:ind w:firstLine="560"/>
        <w:rPr>
          <w:rFonts w:eastAsia="仿宋_GB2312" w:cs="Times New Roman"/>
        </w:rPr>
      </w:pPr>
      <w:r>
        <w:rPr>
          <w:rFonts w:eastAsia="仿宋_GB2312" w:cs="Times New Roman"/>
        </w:rPr>
        <w:t>以武汉为核心城市，从武汉出发去往柃蜜小镇·白崖山景区游玩，共有三个出行方案：</w:t>
      </w:r>
    </w:p>
    <w:p>
      <w:pPr>
        <w:numPr>
          <w:ilvl w:val="0"/>
          <w:numId w:val="24"/>
        </w:numPr>
        <w:snapToGrid w:val="0"/>
        <w:ind w:left="0" w:firstLine="560"/>
        <w:rPr>
          <w:rFonts w:eastAsia="仿宋_GB2312" w:cs="Times New Roman"/>
        </w:rPr>
      </w:pPr>
      <w:r>
        <w:rPr>
          <w:rFonts w:eastAsia="仿宋_GB2312" w:cs="Times New Roman"/>
        </w:rPr>
        <w:t>武汉站—京港澳高速—咸通高速，预计花费2小时46分钟，总路程为198公里，如</w:t>
      </w:r>
      <w:r>
        <w:rPr>
          <w:rFonts w:eastAsia="仿宋_GB2312" w:cs="Times New Roman"/>
        </w:rPr>
        <w:fldChar w:fldCharType="begin"/>
      </w:r>
      <w:r>
        <w:rPr>
          <w:rFonts w:eastAsia="仿宋_GB2312" w:cs="Times New Roman"/>
        </w:rPr>
        <w:instrText xml:space="preserve"> REF _Ref17312524 \h  \* MERGEFORMAT </w:instrText>
      </w:r>
      <w:r>
        <w:rPr>
          <w:rFonts w:eastAsia="仿宋_GB2312" w:cs="Times New Roman"/>
        </w:rPr>
        <w:fldChar w:fldCharType="separate"/>
      </w:r>
      <w:r>
        <w:rPr>
          <w:rFonts w:eastAsia="仿宋_GB2312" w:cs="Times New Roman"/>
          <w:szCs w:val="21"/>
        </w:rPr>
        <w:t>图 4</w:t>
      </w:r>
      <w:r>
        <w:rPr>
          <w:rFonts w:eastAsia="仿宋_GB2312" w:cs="Times New Roman"/>
          <w:szCs w:val="21"/>
        </w:rPr>
        <w:noBreakHyphen/>
      </w:r>
      <w:r>
        <w:rPr>
          <w:rFonts w:eastAsia="仿宋_GB2312" w:cs="Times New Roman"/>
          <w:szCs w:val="21"/>
        </w:rPr>
        <w:t>124</w:t>
      </w:r>
      <w:r>
        <w:rPr>
          <w:rFonts w:eastAsia="仿宋_GB2312" w:cs="Times New Roman"/>
        </w:rPr>
        <w:fldChar w:fldCharType="end"/>
      </w:r>
      <w:r>
        <w:rPr>
          <w:rFonts w:eastAsia="仿宋_GB2312" w:cs="Times New Roman"/>
        </w:rPr>
        <w:t>所示。</w:t>
      </w:r>
    </w:p>
    <w:p>
      <w:pPr>
        <w:snapToGrid w:val="0"/>
        <w:ind w:firstLine="0" w:firstLineChars="0"/>
        <w:jc w:val="center"/>
        <w:rPr>
          <w:rFonts w:eastAsia="仿宋_GB2312" w:cs="Times New Roman"/>
        </w:rPr>
      </w:pPr>
      <w:r>
        <w:rPr>
          <w:rFonts w:eastAsia="仿宋_GB2312" w:cs="Times New Roman"/>
        </w:rPr>
        <w:drawing>
          <wp:inline distT="0" distB="0" distL="0" distR="0">
            <wp:extent cx="4122420" cy="6749415"/>
            <wp:effectExtent l="0" t="0" r="0" b="0"/>
            <wp:docPr id="7177" name="图片 717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77" name="图片 7177"/>
                    <pic:cNvPicPr>
                      <a:picLocks noChangeAspect="true"/>
                    </pic:cNvPicPr>
                  </pic:nvPicPr>
                  <pic:blipFill>
                    <a:blip r:embed="rId239"/>
                    <a:stretch>
                      <a:fillRect/>
                    </a:stretch>
                  </pic:blipFill>
                  <pic:spPr>
                    <a:xfrm>
                      <a:off x="0" y="0"/>
                      <a:ext cx="4148339" cy="6791970"/>
                    </a:xfrm>
                    <a:prstGeom prst="rect">
                      <a:avLst/>
                    </a:prstGeom>
                  </pic:spPr>
                </pic:pic>
              </a:graphicData>
            </a:graphic>
          </wp:inline>
        </w:drawing>
      </w:r>
    </w:p>
    <w:p>
      <w:pPr>
        <w:snapToGrid w:val="0"/>
        <w:ind w:firstLine="482"/>
        <w:jc w:val="center"/>
        <w:rPr>
          <w:rFonts w:eastAsia="仿宋_GB2312" w:cs="Times New Roman"/>
          <w:b/>
        </w:rPr>
      </w:pPr>
      <w:bookmarkStart w:id="233" w:name="_Ref17312524"/>
      <w:r>
        <w:rPr>
          <w:rFonts w:eastAsia="仿宋_GB2312" w:cs="Times New Roman"/>
          <w:b/>
          <w:sz w:val="24"/>
          <w:szCs w:val="20"/>
        </w:rPr>
        <w:t xml:space="preserve">图 </w:t>
      </w:r>
      <w:r>
        <w:rPr>
          <w:rFonts w:eastAsia="仿宋_GB2312" w:cs="Times New Roman"/>
          <w:b/>
          <w:sz w:val="24"/>
          <w:szCs w:val="20"/>
        </w:rPr>
        <w:fldChar w:fldCharType="begin"/>
      </w:r>
      <w:r>
        <w:rPr>
          <w:rFonts w:eastAsia="仿宋_GB2312" w:cs="Times New Roman"/>
          <w:b/>
          <w:sz w:val="24"/>
          <w:szCs w:val="20"/>
        </w:rPr>
        <w:instrText xml:space="preserve"> STYLEREF 1 \s </w:instrText>
      </w:r>
      <w:r>
        <w:rPr>
          <w:rFonts w:eastAsia="仿宋_GB2312" w:cs="Times New Roman"/>
          <w:b/>
          <w:sz w:val="24"/>
          <w:szCs w:val="20"/>
        </w:rPr>
        <w:fldChar w:fldCharType="separate"/>
      </w:r>
      <w:r>
        <w:rPr>
          <w:rFonts w:eastAsia="仿宋_GB2312" w:cs="Times New Roman"/>
          <w:b/>
          <w:sz w:val="24"/>
          <w:szCs w:val="20"/>
        </w:rPr>
        <w:t>4</w:t>
      </w:r>
      <w:r>
        <w:rPr>
          <w:rFonts w:eastAsia="仿宋_GB2312" w:cs="Times New Roman"/>
          <w:b/>
          <w:sz w:val="24"/>
          <w:szCs w:val="20"/>
        </w:rPr>
        <w:fldChar w:fldCharType="end"/>
      </w:r>
      <w:r>
        <w:rPr>
          <w:rFonts w:eastAsia="仿宋_GB2312" w:cs="Times New Roman"/>
          <w:b/>
          <w:sz w:val="24"/>
          <w:szCs w:val="20"/>
        </w:rPr>
        <w:noBreakHyphen/>
      </w:r>
      <w:r>
        <w:rPr>
          <w:rFonts w:eastAsia="仿宋_GB2312" w:cs="Times New Roman"/>
          <w:b/>
          <w:sz w:val="24"/>
          <w:szCs w:val="20"/>
        </w:rPr>
        <w:fldChar w:fldCharType="begin"/>
      </w:r>
      <w:r>
        <w:rPr>
          <w:rFonts w:eastAsia="仿宋_GB2312" w:cs="Times New Roman"/>
          <w:b/>
          <w:sz w:val="24"/>
          <w:szCs w:val="20"/>
        </w:rPr>
        <w:instrText xml:space="preserve"> SEQ 图 \* ARABIC \s 1 </w:instrText>
      </w:r>
      <w:r>
        <w:rPr>
          <w:rFonts w:eastAsia="仿宋_GB2312" w:cs="Times New Roman"/>
          <w:b/>
          <w:sz w:val="24"/>
          <w:szCs w:val="20"/>
        </w:rPr>
        <w:fldChar w:fldCharType="separate"/>
      </w:r>
      <w:r>
        <w:rPr>
          <w:rFonts w:eastAsia="仿宋_GB2312" w:cs="Times New Roman"/>
          <w:b/>
          <w:sz w:val="24"/>
          <w:szCs w:val="20"/>
        </w:rPr>
        <w:t>124</w:t>
      </w:r>
      <w:r>
        <w:rPr>
          <w:rFonts w:eastAsia="仿宋_GB2312" w:cs="Times New Roman"/>
          <w:b/>
          <w:sz w:val="24"/>
          <w:szCs w:val="20"/>
        </w:rPr>
        <w:fldChar w:fldCharType="end"/>
      </w:r>
      <w:bookmarkEnd w:id="233"/>
      <w:r>
        <w:rPr>
          <w:rFonts w:eastAsia="仿宋_GB2312" w:cs="Times New Roman"/>
          <w:b/>
          <w:sz w:val="24"/>
          <w:szCs w:val="20"/>
        </w:rPr>
        <w:t xml:space="preserve"> 武汉站—京港澳高速—咸通高速</w:t>
      </w:r>
    </w:p>
    <w:p>
      <w:pPr>
        <w:numPr>
          <w:ilvl w:val="0"/>
          <w:numId w:val="24"/>
        </w:numPr>
        <w:snapToGrid w:val="0"/>
        <w:ind w:left="0" w:firstLine="560"/>
        <w:rPr>
          <w:rFonts w:eastAsia="仿宋_GB2312" w:cs="Times New Roman"/>
        </w:rPr>
      </w:pPr>
      <w:bookmarkStart w:id="234" w:name="_Hlk17312456"/>
      <w:r>
        <w:rPr>
          <w:rFonts w:eastAsia="仿宋_GB2312" w:cs="Times New Roman"/>
        </w:rPr>
        <w:t>武汉站—鄂咸高速—咸通高速</w:t>
      </w:r>
      <w:bookmarkEnd w:id="234"/>
      <w:r>
        <w:rPr>
          <w:rFonts w:eastAsia="仿宋_GB2312" w:cs="Times New Roman"/>
        </w:rPr>
        <w:t>，预计花费2小时38分钟，总路程为211.8公里，如</w:t>
      </w:r>
      <w:r>
        <w:rPr>
          <w:rFonts w:eastAsia="仿宋_GB2312" w:cs="Times New Roman"/>
        </w:rPr>
        <w:fldChar w:fldCharType="begin"/>
      </w:r>
      <w:r>
        <w:rPr>
          <w:rFonts w:eastAsia="仿宋_GB2312" w:cs="Times New Roman"/>
        </w:rPr>
        <w:instrText xml:space="preserve"> REF _Ref17312532 \h  \* MERGEFORMAT </w:instrText>
      </w:r>
      <w:r>
        <w:rPr>
          <w:rFonts w:eastAsia="仿宋_GB2312" w:cs="Times New Roman"/>
        </w:rPr>
        <w:fldChar w:fldCharType="separate"/>
      </w:r>
      <w:r>
        <w:rPr>
          <w:rFonts w:eastAsia="仿宋_GB2312" w:cs="Times New Roman"/>
          <w:szCs w:val="21"/>
        </w:rPr>
        <w:t>图 4</w:t>
      </w:r>
      <w:r>
        <w:rPr>
          <w:rFonts w:eastAsia="仿宋_GB2312" w:cs="Times New Roman"/>
          <w:szCs w:val="21"/>
        </w:rPr>
        <w:noBreakHyphen/>
      </w:r>
      <w:r>
        <w:rPr>
          <w:rFonts w:eastAsia="仿宋_GB2312" w:cs="Times New Roman"/>
          <w:szCs w:val="21"/>
        </w:rPr>
        <w:t>125</w:t>
      </w:r>
      <w:r>
        <w:rPr>
          <w:rFonts w:eastAsia="仿宋_GB2312" w:cs="Times New Roman"/>
        </w:rPr>
        <w:fldChar w:fldCharType="end"/>
      </w:r>
      <w:r>
        <w:rPr>
          <w:rFonts w:eastAsia="仿宋_GB2312" w:cs="Times New Roman"/>
        </w:rPr>
        <w:t>所示。</w:t>
      </w:r>
    </w:p>
    <w:p>
      <w:pPr>
        <w:snapToGrid w:val="0"/>
        <w:ind w:firstLine="560"/>
        <w:jc w:val="center"/>
        <w:rPr>
          <w:rFonts w:eastAsia="仿宋_GB2312" w:cs="Times New Roman"/>
        </w:rPr>
      </w:pPr>
      <w:r>
        <w:rPr>
          <w:rFonts w:eastAsia="仿宋_GB2312" w:cs="Times New Roman"/>
        </w:rPr>
        <w:drawing>
          <wp:inline distT="0" distB="0" distL="0" distR="0">
            <wp:extent cx="4409440" cy="7885430"/>
            <wp:effectExtent l="0" t="0" r="0" b="1270"/>
            <wp:docPr id="7178" name="图片 717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78" name="图片 7178"/>
                    <pic:cNvPicPr>
                      <a:picLocks noChangeAspect="true"/>
                    </pic:cNvPicPr>
                  </pic:nvPicPr>
                  <pic:blipFill>
                    <a:blip r:embed="rId240"/>
                    <a:stretch>
                      <a:fillRect/>
                    </a:stretch>
                  </pic:blipFill>
                  <pic:spPr>
                    <a:xfrm>
                      <a:off x="0" y="0"/>
                      <a:ext cx="4409524" cy="7885714"/>
                    </a:xfrm>
                    <a:prstGeom prst="rect">
                      <a:avLst/>
                    </a:prstGeom>
                  </pic:spPr>
                </pic:pic>
              </a:graphicData>
            </a:graphic>
          </wp:inline>
        </w:drawing>
      </w:r>
    </w:p>
    <w:p>
      <w:pPr>
        <w:snapToGrid w:val="0"/>
        <w:ind w:firstLine="482"/>
        <w:jc w:val="center"/>
        <w:rPr>
          <w:rFonts w:eastAsia="仿宋_GB2312" w:cs="Times New Roman"/>
          <w:b/>
        </w:rPr>
      </w:pPr>
      <w:bookmarkStart w:id="235" w:name="_Ref17312532"/>
      <w:r>
        <w:rPr>
          <w:rFonts w:eastAsia="仿宋_GB2312" w:cs="Times New Roman"/>
          <w:b/>
          <w:sz w:val="24"/>
          <w:szCs w:val="20"/>
        </w:rPr>
        <w:t xml:space="preserve">图 </w:t>
      </w:r>
      <w:r>
        <w:rPr>
          <w:rFonts w:eastAsia="仿宋_GB2312" w:cs="Times New Roman"/>
          <w:b/>
          <w:sz w:val="24"/>
          <w:szCs w:val="20"/>
        </w:rPr>
        <w:fldChar w:fldCharType="begin"/>
      </w:r>
      <w:r>
        <w:rPr>
          <w:rFonts w:eastAsia="仿宋_GB2312" w:cs="Times New Roman"/>
          <w:b/>
          <w:sz w:val="24"/>
          <w:szCs w:val="20"/>
        </w:rPr>
        <w:instrText xml:space="preserve"> STYLEREF 1 \s </w:instrText>
      </w:r>
      <w:r>
        <w:rPr>
          <w:rFonts w:eastAsia="仿宋_GB2312" w:cs="Times New Roman"/>
          <w:b/>
          <w:sz w:val="24"/>
          <w:szCs w:val="20"/>
        </w:rPr>
        <w:fldChar w:fldCharType="separate"/>
      </w:r>
      <w:r>
        <w:rPr>
          <w:rFonts w:eastAsia="仿宋_GB2312" w:cs="Times New Roman"/>
          <w:b/>
          <w:sz w:val="24"/>
          <w:szCs w:val="20"/>
        </w:rPr>
        <w:t>4</w:t>
      </w:r>
      <w:r>
        <w:rPr>
          <w:rFonts w:eastAsia="仿宋_GB2312" w:cs="Times New Roman"/>
          <w:b/>
          <w:sz w:val="24"/>
          <w:szCs w:val="20"/>
        </w:rPr>
        <w:fldChar w:fldCharType="end"/>
      </w:r>
      <w:r>
        <w:rPr>
          <w:rFonts w:eastAsia="仿宋_GB2312" w:cs="Times New Roman"/>
          <w:b/>
          <w:sz w:val="24"/>
          <w:szCs w:val="20"/>
        </w:rPr>
        <w:noBreakHyphen/>
      </w:r>
      <w:r>
        <w:rPr>
          <w:rFonts w:eastAsia="仿宋_GB2312" w:cs="Times New Roman"/>
          <w:b/>
          <w:sz w:val="24"/>
          <w:szCs w:val="20"/>
        </w:rPr>
        <w:fldChar w:fldCharType="begin"/>
      </w:r>
      <w:r>
        <w:rPr>
          <w:rFonts w:eastAsia="仿宋_GB2312" w:cs="Times New Roman"/>
          <w:b/>
          <w:sz w:val="24"/>
          <w:szCs w:val="20"/>
        </w:rPr>
        <w:instrText xml:space="preserve"> SEQ 图 \* ARABIC \s 1 </w:instrText>
      </w:r>
      <w:r>
        <w:rPr>
          <w:rFonts w:eastAsia="仿宋_GB2312" w:cs="Times New Roman"/>
          <w:b/>
          <w:sz w:val="24"/>
          <w:szCs w:val="20"/>
        </w:rPr>
        <w:fldChar w:fldCharType="separate"/>
      </w:r>
      <w:r>
        <w:rPr>
          <w:rFonts w:eastAsia="仿宋_GB2312" w:cs="Times New Roman"/>
          <w:b/>
          <w:sz w:val="24"/>
          <w:szCs w:val="20"/>
        </w:rPr>
        <w:t>125</w:t>
      </w:r>
      <w:r>
        <w:rPr>
          <w:rFonts w:eastAsia="仿宋_GB2312" w:cs="Times New Roman"/>
          <w:b/>
          <w:sz w:val="24"/>
          <w:szCs w:val="20"/>
        </w:rPr>
        <w:fldChar w:fldCharType="end"/>
      </w:r>
      <w:bookmarkEnd w:id="235"/>
      <w:r>
        <w:rPr>
          <w:rFonts w:eastAsia="仿宋_GB2312" w:cs="Times New Roman"/>
          <w:b/>
          <w:sz w:val="24"/>
          <w:szCs w:val="20"/>
        </w:rPr>
        <w:t xml:space="preserve"> 武汉站—鄂咸高速—咸通高速</w:t>
      </w:r>
    </w:p>
    <w:p>
      <w:pPr>
        <w:numPr>
          <w:ilvl w:val="0"/>
          <w:numId w:val="24"/>
        </w:numPr>
        <w:snapToGrid w:val="0"/>
        <w:ind w:left="0" w:firstLine="560"/>
        <w:rPr>
          <w:rFonts w:eastAsia="仿宋_GB2312" w:cs="Times New Roman"/>
        </w:rPr>
      </w:pPr>
      <w:r>
        <w:rPr>
          <w:rFonts w:eastAsia="仿宋_GB2312" w:cs="Times New Roman"/>
        </w:rPr>
        <w:t>武汉站—京港线—S208，预计花费4小时18分钟，183.2公里，如</w:t>
      </w:r>
      <w:r>
        <w:rPr>
          <w:rFonts w:eastAsia="仿宋_GB2312" w:cs="Times New Roman"/>
        </w:rPr>
        <w:fldChar w:fldCharType="begin"/>
      </w:r>
      <w:r>
        <w:rPr>
          <w:rFonts w:eastAsia="仿宋_GB2312" w:cs="Times New Roman"/>
        </w:rPr>
        <w:instrText xml:space="preserve"> REF _Ref17312538 \h  \* MERGEFORMAT </w:instrText>
      </w:r>
      <w:r>
        <w:rPr>
          <w:rFonts w:eastAsia="仿宋_GB2312" w:cs="Times New Roman"/>
        </w:rPr>
        <w:fldChar w:fldCharType="separate"/>
      </w:r>
      <w:r>
        <w:rPr>
          <w:rFonts w:eastAsia="仿宋_GB2312" w:cs="Times New Roman"/>
          <w:szCs w:val="21"/>
        </w:rPr>
        <w:t>图 4</w:t>
      </w:r>
      <w:r>
        <w:rPr>
          <w:rFonts w:eastAsia="仿宋_GB2312" w:cs="Times New Roman"/>
          <w:szCs w:val="21"/>
        </w:rPr>
        <w:noBreakHyphen/>
      </w:r>
      <w:r>
        <w:rPr>
          <w:rFonts w:eastAsia="仿宋_GB2312" w:cs="Times New Roman"/>
          <w:szCs w:val="21"/>
        </w:rPr>
        <w:t>126</w:t>
      </w:r>
      <w:r>
        <w:rPr>
          <w:rFonts w:eastAsia="仿宋_GB2312" w:cs="Times New Roman"/>
        </w:rPr>
        <w:fldChar w:fldCharType="end"/>
      </w:r>
      <w:r>
        <w:rPr>
          <w:rFonts w:eastAsia="仿宋_GB2312" w:cs="Times New Roman"/>
        </w:rPr>
        <w:t>所示。</w:t>
      </w:r>
    </w:p>
    <w:p>
      <w:pPr>
        <w:snapToGrid w:val="0"/>
        <w:ind w:firstLine="560"/>
        <w:jc w:val="center"/>
        <w:rPr>
          <w:rFonts w:eastAsia="仿宋_GB2312" w:cs="Times New Roman"/>
        </w:rPr>
      </w:pPr>
      <w:r>
        <w:rPr>
          <w:rFonts w:eastAsia="仿宋_GB2312" w:cs="Times New Roman"/>
        </w:rPr>
        <w:drawing>
          <wp:inline distT="0" distB="0" distL="0" distR="0">
            <wp:extent cx="4570730" cy="7272655"/>
            <wp:effectExtent l="0" t="0" r="1270" b="4445"/>
            <wp:docPr id="7179" name="图片 71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79" name="图片 7179"/>
                    <pic:cNvPicPr>
                      <a:picLocks noChangeAspect="true"/>
                    </pic:cNvPicPr>
                  </pic:nvPicPr>
                  <pic:blipFill>
                    <a:blip r:embed="rId241"/>
                    <a:stretch>
                      <a:fillRect/>
                    </a:stretch>
                  </pic:blipFill>
                  <pic:spPr>
                    <a:xfrm>
                      <a:off x="0" y="0"/>
                      <a:ext cx="4572204" cy="7275156"/>
                    </a:xfrm>
                    <a:prstGeom prst="rect">
                      <a:avLst/>
                    </a:prstGeom>
                  </pic:spPr>
                </pic:pic>
              </a:graphicData>
            </a:graphic>
          </wp:inline>
        </w:drawing>
      </w:r>
    </w:p>
    <w:p>
      <w:pPr>
        <w:snapToGrid w:val="0"/>
        <w:ind w:firstLine="482"/>
        <w:jc w:val="center"/>
        <w:rPr>
          <w:rFonts w:eastAsia="仿宋_GB2312" w:cs="Times New Roman"/>
          <w:b/>
        </w:rPr>
      </w:pPr>
      <w:bookmarkStart w:id="236" w:name="_Ref17312538"/>
      <w:r>
        <w:rPr>
          <w:rFonts w:eastAsia="仿宋_GB2312" w:cs="Times New Roman"/>
          <w:b/>
          <w:sz w:val="24"/>
          <w:szCs w:val="20"/>
        </w:rPr>
        <w:t xml:space="preserve">图 </w:t>
      </w:r>
      <w:r>
        <w:rPr>
          <w:rFonts w:eastAsia="仿宋_GB2312" w:cs="Times New Roman"/>
          <w:b/>
          <w:sz w:val="24"/>
          <w:szCs w:val="20"/>
        </w:rPr>
        <w:fldChar w:fldCharType="begin"/>
      </w:r>
      <w:r>
        <w:rPr>
          <w:rFonts w:eastAsia="仿宋_GB2312" w:cs="Times New Roman"/>
          <w:b/>
          <w:sz w:val="24"/>
          <w:szCs w:val="20"/>
        </w:rPr>
        <w:instrText xml:space="preserve"> STYLEREF 1 \s </w:instrText>
      </w:r>
      <w:r>
        <w:rPr>
          <w:rFonts w:eastAsia="仿宋_GB2312" w:cs="Times New Roman"/>
          <w:b/>
          <w:sz w:val="24"/>
          <w:szCs w:val="20"/>
        </w:rPr>
        <w:fldChar w:fldCharType="separate"/>
      </w:r>
      <w:r>
        <w:rPr>
          <w:rFonts w:eastAsia="仿宋_GB2312" w:cs="Times New Roman"/>
          <w:b/>
          <w:sz w:val="24"/>
          <w:szCs w:val="20"/>
        </w:rPr>
        <w:t>4</w:t>
      </w:r>
      <w:r>
        <w:rPr>
          <w:rFonts w:eastAsia="仿宋_GB2312" w:cs="Times New Roman"/>
          <w:b/>
          <w:sz w:val="24"/>
          <w:szCs w:val="20"/>
        </w:rPr>
        <w:fldChar w:fldCharType="end"/>
      </w:r>
      <w:r>
        <w:rPr>
          <w:rFonts w:eastAsia="仿宋_GB2312" w:cs="Times New Roman"/>
          <w:b/>
          <w:sz w:val="24"/>
          <w:szCs w:val="20"/>
        </w:rPr>
        <w:noBreakHyphen/>
      </w:r>
      <w:r>
        <w:rPr>
          <w:rFonts w:eastAsia="仿宋_GB2312" w:cs="Times New Roman"/>
          <w:b/>
          <w:sz w:val="24"/>
          <w:szCs w:val="20"/>
        </w:rPr>
        <w:fldChar w:fldCharType="begin"/>
      </w:r>
      <w:r>
        <w:rPr>
          <w:rFonts w:eastAsia="仿宋_GB2312" w:cs="Times New Roman"/>
          <w:b/>
          <w:sz w:val="24"/>
          <w:szCs w:val="20"/>
        </w:rPr>
        <w:instrText xml:space="preserve"> SEQ 图 \* ARABIC \s 1 </w:instrText>
      </w:r>
      <w:r>
        <w:rPr>
          <w:rFonts w:eastAsia="仿宋_GB2312" w:cs="Times New Roman"/>
          <w:b/>
          <w:sz w:val="24"/>
          <w:szCs w:val="20"/>
        </w:rPr>
        <w:fldChar w:fldCharType="separate"/>
      </w:r>
      <w:r>
        <w:rPr>
          <w:rFonts w:eastAsia="仿宋_GB2312" w:cs="Times New Roman"/>
          <w:b/>
          <w:sz w:val="24"/>
          <w:szCs w:val="20"/>
        </w:rPr>
        <w:t>126</w:t>
      </w:r>
      <w:r>
        <w:rPr>
          <w:rFonts w:eastAsia="仿宋_GB2312" w:cs="Times New Roman"/>
          <w:b/>
          <w:sz w:val="24"/>
          <w:szCs w:val="20"/>
        </w:rPr>
        <w:fldChar w:fldCharType="end"/>
      </w:r>
      <w:bookmarkEnd w:id="236"/>
      <w:r>
        <w:rPr>
          <w:rFonts w:eastAsia="仿宋_GB2312" w:cs="Times New Roman"/>
          <w:b/>
          <w:sz w:val="24"/>
          <w:szCs w:val="20"/>
        </w:rPr>
        <w:t xml:space="preserve"> 武汉站—京港线—S208</w:t>
      </w:r>
    </w:p>
    <w:p>
      <w:pPr>
        <w:numPr>
          <w:ilvl w:val="1"/>
          <w:numId w:val="23"/>
        </w:numPr>
        <w:snapToGrid w:val="0"/>
        <w:ind w:left="0" w:firstLine="562"/>
        <w:rPr>
          <w:rFonts w:eastAsia="仿宋_GB2312" w:cs="Times New Roman"/>
          <w:b/>
          <w:bCs/>
        </w:rPr>
      </w:pPr>
      <w:r>
        <w:rPr>
          <w:rFonts w:eastAsia="仿宋_GB2312" w:cs="Times New Roman"/>
          <w:b/>
          <w:bCs/>
        </w:rPr>
        <w:t>方案分析</w:t>
      </w:r>
    </w:p>
    <w:p>
      <w:pPr>
        <w:snapToGrid w:val="0"/>
        <w:ind w:firstLine="560"/>
        <w:rPr>
          <w:rFonts w:eastAsia="仿宋_GB2312" w:cs="Times New Roman"/>
        </w:rPr>
      </w:pPr>
      <w:r>
        <w:rPr>
          <w:rFonts w:eastAsia="仿宋_GB2312" w:cs="Times New Roman"/>
        </w:rPr>
        <w:t>以方案一为例，乘坐比亚迪e6电动汽车，从完全没电到完全充满电，大约需要82度电，能够行使400公里。1）按照理想情况，游客出发充满电，电量为100%，不开空调的情况下，按照续航里程400公里，每度电可以行驶7.69公里，从武汉站出发，到达白崖山景区大概需要198公里，大约需耗电25.8度，到达目的地还剩26.25度电，剩余的电量为50.5%，返程刚刚够；2）考虑到夏天需要开空调，续航里程以350公里为基准，每度电可行驶6.7公里，大约需耗电30度，到达目的地还剩22度电，考虑到剩余的电量为42%，返程不够，在景区设置充电站是十分有必要的。</w:t>
      </w:r>
    </w:p>
    <w:p>
      <w:pPr>
        <w:numPr>
          <w:ilvl w:val="0"/>
          <w:numId w:val="20"/>
        </w:numPr>
        <w:snapToGrid w:val="0"/>
        <w:ind w:left="0" w:firstLine="562"/>
        <w:rPr>
          <w:rFonts w:eastAsia="仿宋_GB2312" w:cs="Times New Roman"/>
          <w:b/>
          <w:bCs/>
        </w:rPr>
      </w:pPr>
      <w:r>
        <w:rPr>
          <w:rFonts w:eastAsia="仿宋_GB2312" w:cs="Times New Roman"/>
          <w:b/>
          <w:bCs/>
        </w:rPr>
        <w:t>场景三</w:t>
      </w:r>
    </w:p>
    <w:p>
      <w:pPr>
        <w:numPr>
          <w:ilvl w:val="0"/>
          <w:numId w:val="25"/>
        </w:numPr>
        <w:snapToGrid w:val="0"/>
        <w:ind w:left="0" w:firstLine="562"/>
        <w:rPr>
          <w:rFonts w:eastAsia="仿宋_GB2312" w:cs="Times New Roman"/>
          <w:b/>
          <w:bCs/>
        </w:rPr>
      </w:pPr>
      <w:r>
        <w:rPr>
          <w:rFonts w:eastAsia="仿宋_GB2312" w:cs="Times New Roman"/>
          <w:b/>
          <w:bCs/>
        </w:rPr>
        <w:t>方案描述</w:t>
      </w:r>
    </w:p>
    <w:p>
      <w:pPr>
        <w:snapToGrid w:val="0"/>
        <w:ind w:firstLine="560"/>
        <w:rPr>
          <w:rFonts w:eastAsia="仿宋_GB2312" w:cs="Times New Roman"/>
        </w:rPr>
      </w:pPr>
      <w:r>
        <w:rPr>
          <w:rFonts w:eastAsia="仿宋_GB2312" w:cs="Times New Roman"/>
        </w:rPr>
        <w:t>以通山九宫山风景区为核心地点，分别去往隐水洞景区继续游玩或返汉经过京港澳高速咸宁服务区，隐水洞景区充电站和京港澳咸宁服务区充电站位置如下图所示。</w:t>
      </w:r>
    </w:p>
    <w:p>
      <w:pPr>
        <w:snapToGrid w:val="0"/>
        <w:ind w:firstLine="0" w:firstLineChars="0"/>
        <w:rPr>
          <w:rFonts w:eastAsia="仿宋_GB2312" w:cs="Times New Roman"/>
        </w:rPr>
      </w:pPr>
      <w:r>
        <w:rPr>
          <w:rFonts w:eastAsia="仿宋_GB2312" w:cs="Times New Roman"/>
        </w:rPr>
        <w:drawing>
          <wp:inline distT="0" distB="0" distL="0" distR="0">
            <wp:extent cx="2438400" cy="2620010"/>
            <wp:effectExtent l="0" t="0" r="0" b="8890"/>
            <wp:docPr id="16"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true"/>
                    </pic:cNvPicPr>
                  </pic:nvPicPr>
                  <pic:blipFill>
                    <a:blip r:embed="rId242"/>
                    <a:srcRect l="1685" t="7134"/>
                    <a:stretch>
                      <a:fillRect/>
                    </a:stretch>
                  </pic:blipFill>
                  <pic:spPr>
                    <a:xfrm>
                      <a:off x="0" y="0"/>
                      <a:ext cx="2447993" cy="2630661"/>
                    </a:xfrm>
                    <a:prstGeom prst="rect">
                      <a:avLst/>
                    </a:prstGeom>
                    <a:ln>
                      <a:noFill/>
                    </a:ln>
                  </pic:spPr>
                </pic:pic>
              </a:graphicData>
            </a:graphic>
          </wp:inline>
        </w:drawing>
      </w:r>
      <w:r>
        <w:rPr>
          <w:rFonts w:hint="eastAsia" w:eastAsia="仿宋_GB2312" w:cs="Times New Roman"/>
        </w:rPr>
        <w:t xml:space="preserve"> </w:t>
      </w:r>
      <w:r>
        <w:rPr>
          <w:rFonts w:eastAsia="仿宋_GB2312" w:cs="Times New Roman"/>
        </w:rPr>
        <w:t xml:space="preserve">       </w:t>
      </w:r>
      <w:r>
        <w:rPr>
          <w:rFonts w:eastAsia="仿宋_GB2312" w:cs="Times New Roman"/>
        </w:rPr>
        <w:drawing>
          <wp:inline distT="0" distB="0" distL="0" distR="0">
            <wp:extent cx="2324100" cy="2625725"/>
            <wp:effectExtent l="0" t="0" r="0" b="3175"/>
            <wp:docPr id="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true"/>
                    </pic:cNvPicPr>
                  </pic:nvPicPr>
                  <pic:blipFill>
                    <a:blip r:embed="rId243"/>
                    <a:stretch>
                      <a:fillRect/>
                    </a:stretch>
                  </pic:blipFill>
                  <pic:spPr>
                    <a:xfrm>
                      <a:off x="0" y="0"/>
                      <a:ext cx="2335694" cy="2639335"/>
                    </a:xfrm>
                    <a:prstGeom prst="rect">
                      <a:avLst/>
                    </a:prstGeom>
                  </pic:spPr>
                </pic:pic>
              </a:graphicData>
            </a:graphic>
          </wp:inline>
        </w:drawing>
      </w:r>
    </w:p>
    <w:p>
      <w:pPr>
        <w:snapToGrid w:val="0"/>
        <w:ind w:firstLine="619" w:firstLineChars="294"/>
        <w:rPr>
          <w:rFonts w:eastAsia="仿宋_GB2312" w:cs="Times New Roman"/>
          <w:b/>
          <w:bCs/>
          <w:sz w:val="21"/>
          <w:szCs w:val="21"/>
        </w:rPr>
      </w:pPr>
      <w:r>
        <w:rPr>
          <w:rFonts w:eastAsia="仿宋_GB2312" w:cs="Times New Roman"/>
          <w:b/>
          <w:bCs/>
          <w:sz w:val="21"/>
          <w:szCs w:val="21"/>
        </w:rPr>
        <w:t xml:space="preserve">图 </w:t>
      </w:r>
      <w:r>
        <w:rPr>
          <w:rFonts w:eastAsia="仿宋_GB2312" w:cs="Times New Roman"/>
          <w:b/>
          <w:bCs/>
          <w:sz w:val="21"/>
          <w:szCs w:val="21"/>
        </w:rPr>
        <w:fldChar w:fldCharType="begin"/>
      </w:r>
      <w:r>
        <w:rPr>
          <w:rFonts w:eastAsia="仿宋_GB2312" w:cs="Times New Roman"/>
          <w:b/>
          <w:bCs/>
          <w:sz w:val="21"/>
          <w:szCs w:val="21"/>
        </w:rPr>
        <w:instrText xml:space="preserve"> STYLEREF 1 \s </w:instrText>
      </w:r>
      <w:r>
        <w:rPr>
          <w:rFonts w:eastAsia="仿宋_GB2312" w:cs="Times New Roman"/>
          <w:b/>
          <w:bCs/>
          <w:sz w:val="21"/>
          <w:szCs w:val="21"/>
        </w:rPr>
        <w:fldChar w:fldCharType="separate"/>
      </w:r>
      <w:r>
        <w:rPr>
          <w:rFonts w:eastAsia="仿宋_GB2312" w:cs="Times New Roman"/>
          <w:b/>
          <w:bCs/>
          <w:sz w:val="21"/>
          <w:szCs w:val="21"/>
        </w:rPr>
        <w:t>4</w:t>
      </w:r>
      <w:r>
        <w:rPr>
          <w:rFonts w:eastAsia="仿宋_GB2312" w:cs="Times New Roman"/>
          <w:b/>
          <w:bCs/>
          <w:sz w:val="21"/>
          <w:szCs w:val="21"/>
        </w:rPr>
        <w:fldChar w:fldCharType="end"/>
      </w:r>
      <w:r>
        <w:rPr>
          <w:rFonts w:eastAsia="仿宋_GB2312" w:cs="Times New Roman"/>
          <w:b/>
          <w:bCs/>
          <w:sz w:val="21"/>
          <w:szCs w:val="21"/>
        </w:rPr>
        <w:noBreakHyphen/>
      </w:r>
      <w:r>
        <w:rPr>
          <w:rFonts w:eastAsia="仿宋_GB2312" w:cs="Times New Roman"/>
          <w:b/>
          <w:bCs/>
          <w:sz w:val="21"/>
          <w:szCs w:val="21"/>
        </w:rPr>
        <w:fldChar w:fldCharType="begin"/>
      </w:r>
      <w:r>
        <w:rPr>
          <w:rFonts w:eastAsia="仿宋_GB2312" w:cs="Times New Roman"/>
          <w:b/>
          <w:bCs/>
          <w:sz w:val="21"/>
          <w:szCs w:val="21"/>
        </w:rPr>
        <w:instrText xml:space="preserve"> SEQ 图 \* ARABIC \s 1 </w:instrText>
      </w:r>
      <w:r>
        <w:rPr>
          <w:rFonts w:eastAsia="仿宋_GB2312" w:cs="Times New Roman"/>
          <w:b/>
          <w:bCs/>
          <w:sz w:val="21"/>
          <w:szCs w:val="21"/>
        </w:rPr>
        <w:fldChar w:fldCharType="separate"/>
      </w:r>
      <w:r>
        <w:rPr>
          <w:rFonts w:eastAsia="仿宋_GB2312" w:cs="Times New Roman"/>
          <w:b/>
          <w:bCs/>
          <w:sz w:val="21"/>
          <w:szCs w:val="21"/>
        </w:rPr>
        <w:t>127</w:t>
      </w:r>
      <w:r>
        <w:rPr>
          <w:rFonts w:eastAsia="仿宋_GB2312" w:cs="Times New Roman"/>
          <w:b/>
          <w:bCs/>
          <w:sz w:val="21"/>
          <w:szCs w:val="21"/>
        </w:rPr>
        <w:fldChar w:fldCharType="end"/>
      </w:r>
      <w:r>
        <w:rPr>
          <w:rFonts w:eastAsia="仿宋_GB2312" w:cs="Times New Roman"/>
          <w:b/>
          <w:bCs/>
          <w:sz w:val="21"/>
          <w:szCs w:val="21"/>
        </w:rPr>
        <w:t xml:space="preserve"> 九宫山—隐水洞路线</w:t>
      </w:r>
      <w:r>
        <w:rPr>
          <w:rFonts w:hint="eastAsia" w:eastAsia="仿宋_GB2312" w:cs="Times New Roman"/>
          <w:b/>
          <w:bCs/>
          <w:sz w:val="21"/>
          <w:szCs w:val="21"/>
        </w:rPr>
        <w:t xml:space="preserve"> </w:t>
      </w:r>
      <w:r>
        <w:rPr>
          <w:rFonts w:eastAsia="仿宋_GB2312" w:cs="Times New Roman"/>
          <w:b/>
          <w:bCs/>
          <w:sz w:val="21"/>
          <w:szCs w:val="21"/>
        </w:rPr>
        <w:t xml:space="preserve">               图 </w:t>
      </w:r>
      <w:r>
        <w:rPr>
          <w:rFonts w:eastAsia="仿宋_GB2312" w:cs="Times New Roman"/>
          <w:b/>
          <w:bCs/>
          <w:sz w:val="21"/>
          <w:szCs w:val="21"/>
        </w:rPr>
        <w:fldChar w:fldCharType="begin"/>
      </w:r>
      <w:r>
        <w:rPr>
          <w:rFonts w:eastAsia="仿宋_GB2312" w:cs="Times New Roman"/>
          <w:b/>
          <w:bCs/>
          <w:sz w:val="21"/>
          <w:szCs w:val="21"/>
        </w:rPr>
        <w:instrText xml:space="preserve"> STYLEREF 1 \s </w:instrText>
      </w:r>
      <w:r>
        <w:rPr>
          <w:rFonts w:eastAsia="仿宋_GB2312" w:cs="Times New Roman"/>
          <w:b/>
          <w:bCs/>
          <w:sz w:val="21"/>
          <w:szCs w:val="21"/>
        </w:rPr>
        <w:fldChar w:fldCharType="separate"/>
      </w:r>
      <w:r>
        <w:rPr>
          <w:rFonts w:eastAsia="仿宋_GB2312" w:cs="Times New Roman"/>
          <w:b/>
          <w:bCs/>
          <w:sz w:val="21"/>
          <w:szCs w:val="21"/>
        </w:rPr>
        <w:t>4</w:t>
      </w:r>
      <w:r>
        <w:rPr>
          <w:rFonts w:eastAsia="仿宋_GB2312" w:cs="Times New Roman"/>
          <w:b/>
          <w:bCs/>
          <w:sz w:val="21"/>
          <w:szCs w:val="21"/>
        </w:rPr>
        <w:fldChar w:fldCharType="end"/>
      </w:r>
      <w:r>
        <w:rPr>
          <w:rFonts w:eastAsia="仿宋_GB2312" w:cs="Times New Roman"/>
          <w:b/>
          <w:bCs/>
          <w:sz w:val="21"/>
          <w:szCs w:val="21"/>
        </w:rPr>
        <w:noBreakHyphen/>
      </w:r>
      <w:r>
        <w:rPr>
          <w:rFonts w:eastAsia="仿宋_GB2312" w:cs="Times New Roman"/>
          <w:b/>
          <w:bCs/>
          <w:sz w:val="21"/>
          <w:szCs w:val="21"/>
        </w:rPr>
        <w:fldChar w:fldCharType="begin"/>
      </w:r>
      <w:r>
        <w:rPr>
          <w:rFonts w:eastAsia="仿宋_GB2312" w:cs="Times New Roman"/>
          <w:b/>
          <w:bCs/>
          <w:sz w:val="21"/>
          <w:szCs w:val="21"/>
        </w:rPr>
        <w:instrText xml:space="preserve"> SEQ 图 \* ARABIC \s 1 </w:instrText>
      </w:r>
      <w:r>
        <w:rPr>
          <w:rFonts w:eastAsia="仿宋_GB2312" w:cs="Times New Roman"/>
          <w:b/>
          <w:bCs/>
          <w:sz w:val="21"/>
          <w:szCs w:val="21"/>
        </w:rPr>
        <w:fldChar w:fldCharType="separate"/>
      </w:r>
      <w:r>
        <w:rPr>
          <w:rFonts w:eastAsia="仿宋_GB2312" w:cs="Times New Roman"/>
          <w:b/>
          <w:bCs/>
          <w:sz w:val="21"/>
          <w:szCs w:val="21"/>
        </w:rPr>
        <w:t>128</w:t>
      </w:r>
      <w:r>
        <w:rPr>
          <w:rFonts w:eastAsia="仿宋_GB2312" w:cs="Times New Roman"/>
          <w:b/>
          <w:bCs/>
          <w:sz w:val="21"/>
          <w:szCs w:val="21"/>
        </w:rPr>
        <w:fldChar w:fldCharType="end"/>
      </w:r>
      <w:r>
        <w:rPr>
          <w:rFonts w:eastAsia="仿宋_GB2312" w:cs="Times New Roman"/>
          <w:b/>
          <w:bCs/>
          <w:sz w:val="21"/>
          <w:szCs w:val="21"/>
        </w:rPr>
        <w:t xml:space="preserve"> 九宫山—京港澳高速咸宁服务区路线</w:t>
      </w:r>
    </w:p>
    <w:p>
      <w:pPr>
        <w:numPr>
          <w:ilvl w:val="1"/>
          <w:numId w:val="26"/>
        </w:numPr>
        <w:snapToGrid w:val="0"/>
        <w:ind w:left="0" w:firstLine="560"/>
        <w:rPr>
          <w:rFonts w:eastAsia="仿宋_GB2312" w:cs="Times New Roman"/>
        </w:rPr>
      </w:pPr>
      <w:r>
        <w:rPr>
          <w:rFonts w:eastAsia="仿宋_GB2312" w:cs="Times New Roman"/>
        </w:rPr>
        <w:t>九宫山风景区—隐水洞景区充电站，总路程为55.8公里。</w:t>
      </w:r>
    </w:p>
    <w:p>
      <w:pPr>
        <w:numPr>
          <w:ilvl w:val="1"/>
          <w:numId w:val="26"/>
        </w:numPr>
        <w:snapToGrid w:val="0"/>
        <w:ind w:left="0" w:firstLine="560"/>
        <w:rPr>
          <w:rFonts w:eastAsia="仿宋_GB2312" w:cs="Times New Roman"/>
        </w:rPr>
      </w:pPr>
      <w:r>
        <w:rPr>
          <w:rFonts w:eastAsia="仿宋_GB2312" w:cs="Times New Roman"/>
        </w:rPr>
        <w:t>九宫山风景区—京港澳高速咸宁服务区充电站，总路程为102.2公里。</w:t>
      </w:r>
    </w:p>
    <w:p>
      <w:pPr>
        <w:numPr>
          <w:ilvl w:val="0"/>
          <w:numId w:val="25"/>
        </w:numPr>
        <w:snapToGrid w:val="0"/>
        <w:ind w:left="0" w:firstLine="562"/>
        <w:rPr>
          <w:rFonts w:eastAsia="仿宋_GB2312" w:cs="Times New Roman"/>
          <w:b/>
          <w:bCs/>
        </w:rPr>
      </w:pPr>
      <w:r>
        <w:rPr>
          <w:rFonts w:eastAsia="仿宋_GB2312" w:cs="Times New Roman"/>
          <w:b/>
          <w:bCs/>
        </w:rPr>
        <w:t>方案分析</w:t>
      </w:r>
    </w:p>
    <w:p>
      <w:pPr>
        <w:adjustRightInd w:val="0"/>
        <w:snapToGrid w:val="0"/>
        <w:ind w:firstLine="560"/>
        <w:rPr>
          <w:rFonts w:eastAsia="仿宋_GB2312" w:cs="Times New Roman"/>
        </w:rPr>
      </w:pPr>
      <w:r>
        <w:rPr>
          <w:rFonts w:eastAsia="仿宋_GB2312" w:cs="Times New Roman"/>
        </w:rPr>
        <w:t>游客从九宫山风景区出发去隐水洞景区继续游玩，或者走京广澳高速返汉，经过咸宁服务站，需考虑离九宫山景区离两个充电站的距离是否能满足汽车航程需求。它们距离九宫山景区的距离分别是55.8公里和102.2公里，考虑到爬坡，温度等客观原因，续航里程可能会有所损耗，但是目前电动车续航里程一般都在250公里以上，可以满足续航需求。只需在景区设置一个充电站，即可满足汽车回程需求。</w:t>
      </w:r>
    </w:p>
    <w:p>
      <w:pPr>
        <w:pStyle w:val="3"/>
        <w:adjustRightInd w:val="0"/>
        <w:rPr>
          <w:rFonts w:eastAsia="仿宋_GB2312" w:cs="Times New Roman"/>
        </w:rPr>
      </w:pPr>
      <w:bookmarkStart w:id="237" w:name="_Toc117243229"/>
      <w:r>
        <w:rPr>
          <w:rFonts w:eastAsia="仿宋_GB2312" w:cs="Times New Roman"/>
        </w:rPr>
        <w:t>远景年充电设施布局规划方案</w:t>
      </w:r>
      <w:bookmarkEnd w:id="237"/>
    </w:p>
    <w:p>
      <w:pPr>
        <w:pStyle w:val="4"/>
        <w:spacing w:before="156"/>
        <w:rPr>
          <w:rFonts w:eastAsia="仿宋_GB2312"/>
        </w:rPr>
      </w:pPr>
      <w:bookmarkStart w:id="238" w:name="_Toc117243230"/>
      <w:r>
        <w:rPr>
          <w:rFonts w:eastAsia="仿宋_GB2312"/>
        </w:rPr>
        <w:t>高速</w:t>
      </w:r>
      <w:r>
        <w:rPr>
          <w:rFonts w:hint="eastAsia" w:eastAsia="仿宋_GB2312"/>
        </w:rPr>
        <w:t>充电设施</w:t>
      </w:r>
      <w:bookmarkEnd w:id="238"/>
    </w:p>
    <w:p>
      <w:pPr>
        <w:ind w:firstLine="560"/>
        <w:rPr>
          <w:rFonts w:eastAsia="仿宋_GB2312" w:cs="Times New Roman"/>
        </w:rPr>
      </w:pPr>
      <w:r>
        <w:rPr>
          <w:rFonts w:eastAsia="仿宋_GB2312" w:cs="Times New Roman"/>
        </w:rPr>
        <w:t>远景年在“十四五”期间已建充电站基础上扩建22个高速服务区充电站，扩建采用</w:t>
      </w:r>
      <w:r>
        <w:rPr>
          <w:rFonts w:hint="eastAsia" w:eastAsia="仿宋_GB2312" w:cs="Times New Roman"/>
        </w:rPr>
        <w:t>光</w:t>
      </w:r>
      <w:r>
        <w:rPr>
          <w:rFonts w:eastAsia="仿宋_GB2312" w:cs="Times New Roman"/>
        </w:rPr>
        <w:t>储充一体化模式。考虑远景年新能源重卡逐步普及，虽然60kW充电桩可以通用，但充电时间相对较长，为满足重卡等大型新能源车辆充电需求，高速服务区采用大功率充电设施，选用240kW与120kW双枪组合方案，共扩建176个充电桩。</w:t>
      </w:r>
    </w:p>
    <w:p>
      <w:pPr>
        <w:pStyle w:val="19"/>
        <w:ind w:left="1600" w:hanging="480"/>
        <w:rPr>
          <w:rFonts w:eastAsia="仿宋_GB2312" w:cs="Times New Roman"/>
          <w:szCs w:val="24"/>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44</w:t>
      </w:r>
      <w:r>
        <w:rPr>
          <w:rFonts w:eastAsia="仿宋_GB2312" w:cs="Times New Roman"/>
        </w:rPr>
        <w:fldChar w:fldCharType="end"/>
      </w:r>
      <w:r>
        <w:rPr>
          <w:rFonts w:eastAsia="仿宋_GB2312" w:cs="Times New Roman"/>
        </w:rPr>
        <w:t xml:space="preserve"> 2030年高速充电站规划表</w:t>
      </w:r>
    </w:p>
    <w:tbl>
      <w:tblPr>
        <w:tblStyle w:val="76"/>
        <w:tblW w:w="0" w:type="auto"/>
        <w:tblInd w:w="0" w:type="dxa"/>
        <w:tblLayout w:type="fixed"/>
        <w:tblCellMar>
          <w:top w:w="0" w:type="dxa"/>
          <w:left w:w="108" w:type="dxa"/>
          <w:bottom w:w="0" w:type="dxa"/>
          <w:right w:w="108" w:type="dxa"/>
        </w:tblCellMar>
      </w:tblPr>
      <w:tblGrid>
        <w:gridCol w:w="981"/>
        <w:gridCol w:w="4646"/>
        <w:gridCol w:w="2011"/>
        <w:gridCol w:w="601"/>
      </w:tblGrid>
      <w:tr>
        <w:tblPrEx>
          <w:tblCellMar>
            <w:top w:w="0" w:type="dxa"/>
            <w:left w:w="108" w:type="dxa"/>
            <w:bottom w:w="0" w:type="dxa"/>
            <w:right w:w="108" w:type="dxa"/>
          </w:tblCellMar>
        </w:tblPrEx>
        <w:trPr>
          <w:trHeight w:val="261" w:hRule="atLeast"/>
          <w:tblHeader/>
        </w:trPr>
        <w:tc>
          <w:tcPr>
            <w:tcW w:w="981"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区县</w:t>
            </w:r>
          </w:p>
        </w:tc>
        <w:tc>
          <w:tcPr>
            <w:tcW w:w="4646"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充电站名称</w:t>
            </w:r>
          </w:p>
        </w:tc>
        <w:tc>
          <w:tcPr>
            <w:tcW w:w="2011"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方案</w:t>
            </w:r>
          </w:p>
        </w:tc>
        <w:tc>
          <w:tcPr>
            <w:tcW w:w="601"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规模</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蕲嘉高速双溪服务区（蕲春方向）充电站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蕲嘉高速双溪服务区（嘉鱼方向）充电站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咸通高速咸安服务区(公路西)充电站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咸通高速咸安服务区(公路东)充电站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京港澳高速咸宁服区（北京方向）充电站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京港澳高速咸宁服区（港澳方向）充电站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武深高速嘉鱼东服务区（武汉方向）充电站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武深高速嘉鱼南停车区（武汉方向）充电站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国家电网充电站(大广高速燕</w:t>
            </w:r>
            <w:r>
              <w:rPr>
                <w:rFonts w:hint="eastAsia" w:eastAsia="仿宋_GB2312" w:cs="Times New Roman"/>
                <w:sz w:val="21"/>
                <w:szCs w:val="21"/>
              </w:rPr>
              <w:t>厦</w:t>
            </w:r>
            <w:r>
              <w:rPr>
                <w:rFonts w:eastAsia="仿宋_GB2312" w:cs="Times New Roman"/>
                <w:color w:val="000000"/>
                <w:kern w:val="0"/>
                <w:sz w:val="21"/>
                <w:szCs w:val="21"/>
              </w:rPr>
              <w:t>服务区广州方向)</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国家电网充电站(大广高速燕</w:t>
            </w:r>
            <w:r>
              <w:rPr>
                <w:rFonts w:hint="eastAsia" w:eastAsia="仿宋_GB2312" w:cs="Times New Roman"/>
                <w:sz w:val="21"/>
                <w:szCs w:val="21"/>
              </w:rPr>
              <w:t>厦</w:t>
            </w:r>
            <w:r>
              <w:rPr>
                <w:rFonts w:eastAsia="仿宋_GB2312" w:cs="Times New Roman"/>
                <w:color w:val="000000"/>
                <w:kern w:val="0"/>
                <w:sz w:val="21"/>
                <w:szCs w:val="21"/>
              </w:rPr>
              <w:t>服务区北京方向)</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武深高速茶庵岭服务区（武汉方向）充电站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国家电网充电站(京港澳高速赤壁服务区北京方向）充电站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国家电网充电站(京港澳高速赤壁服务区港澳方向）充电站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杭瑞高速通山服务区(瑞丽方向）充电站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杭瑞高速通山服务区(杭州方向）充电站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蕲嘉高速嘉鱼服务区（嘉鱼方向）充电站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蕲嘉高速嘉鱼服务区（蕲春方向）充电站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杭瑞高速崇阳服务站(瑞丽方向）充电站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杭瑞高速崇阳服务站(杭州方向）充电站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武汉小充科技有限公司（茶庵岭服务区）充电站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武深高速嘉鱼东服务区（深圳方向）充电站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r>
        <w:tblPrEx>
          <w:tblCellMar>
            <w:top w:w="0" w:type="dxa"/>
            <w:left w:w="108" w:type="dxa"/>
            <w:bottom w:w="0" w:type="dxa"/>
            <w:right w:w="108" w:type="dxa"/>
          </w:tblCellMar>
        </w:tblPrEx>
        <w:trPr>
          <w:trHeight w:val="261" w:hRule="atLeast"/>
        </w:trPr>
        <w:tc>
          <w:tcPr>
            <w:tcW w:w="981"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4646"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武深高速嘉鱼南停车区（深圳方向）充电站</w:t>
            </w:r>
          </w:p>
        </w:tc>
        <w:tc>
          <w:tcPr>
            <w:tcW w:w="201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扩建光储充一体化</w:t>
            </w:r>
          </w:p>
        </w:tc>
        <w:tc>
          <w:tcPr>
            <w:tcW w:w="601"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r>
    </w:tbl>
    <w:p>
      <w:pPr>
        <w:ind w:firstLine="0" w:firstLineChars="0"/>
        <w:rPr>
          <w:rFonts w:eastAsia="仿宋_GB2312" w:cs="Times New Roman"/>
        </w:rPr>
      </w:pPr>
    </w:p>
    <w:p>
      <w:pPr>
        <w:pStyle w:val="19"/>
        <w:rPr>
          <w:rFonts w:eastAsia="仿宋_GB2312" w:cs="Times New Roman"/>
        </w:rPr>
      </w:pPr>
      <w:r>
        <w:rPr>
          <w:rFonts w:eastAsia="仿宋_GB2312" w:cs="Times New Roman"/>
        </w:rPr>
        <w:drawing>
          <wp:inline distT="0" distB="0" distL="0" distR="0">
            <wp:extent cx="5229860" cy="4128135"/>
            <wp:effectExtent l="0" t="0" r="8890" b="5715"/>
            <wp:docPr id="197" name="图片 1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true"/>
                    </pic:cNvPicPr>
                  </pic:nvPicPr>
                  <pic:blipFill>
                    <a:blip r:embed="rId244"/>
                    <a:srcRect r="838" b="371"/>
                    <a:stretch>
                      <a:fillRect/>
                    </a:stretch>
                  </pic:blipFill>
                  <pic:spPr>
                    <a:xfrm>
                      <a:off x="0" y="0"/>
                      <a:ext cx="5230091" cy="4128655"/>
                    </a:xfrm>
                    <a:prstGeom prst="rect">
                      <a:avLst/>
                    </a:prstGeom>
                    <a:ln>
                      <a:noFill/>
                    </a:ln>
                  </pic:spPr>
                </pic:pic>
              </a:graphicData>
            </a:graphic>
          </wp:inline>
        </w:drawing>
      </w: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129</w:t>
      </w:r>
      <w:r>
        <w:rPr>
          <w:rFonts w:eastAsia="仿宋_GB2312" w:cs="Times New Roman"/>
        </w:rPr>
        <w:fldChar w:fldCharType="end"/>
      </w:r>
      <w:r>
        <w:rPr>
          <w:rFonts w:eastAsia="仿宋_GB2312" w:cs="Times New Roman"/>
        </w:rPr>
        <w:t xml:space="preserve"> 2030年高速充电站布点图</w:t>
      </w:r>
    </w:p>
    <w:p>
      <w:pPr>
        <w:pStyle w:val="4"/>
        <w:spacing w:before="156"/>
        <w:rPr>
          <w:rFonts w:eastAsia="仿宋_GB2312"/>
        </w:rPr>
      </w:pPr>
      <w:bookmarkStart w:id="239" w:name="_Toc117243231"/>
      <w:r>
        <w:rPr>
          <w:rFonts w:eastAsia="仿宋_GB2312"/>
        </w:rPr>
        <w:t>专用充电设施</w:t>
      </w:r>
      <w:bookmarkEnd w:id="239"/>
    </w:p>
    <w:p>
      <w:pPr>
        <w:ind w:firstLineChars="71"/>
        <w:rPr>
          <w:rFonts w:eastAsia="仿宋_GB2312" w:cs="Times New Roman"/>
          <w:b/>
          <w:bCs/>
        </w:rPr>
      </w:pPr>
      <w:r>
        <w:rPr>
          <w:rFonts w:eastAsia="仿宋_GB2312" w:cs="Times New Roman"/>
          <w:b/>
          <w:bCs/>
        </w:rPr>
        <w:t>1.物流专用充电设施</w:t>
      </w:r>
    </w:p>
    <w:p>
      <w:pPr>
        <w:ind w:firstLine="560"/>
        <w:rPr>
          <w:rFonts w:eastAsia="仿宋_GB2312" w:cs="Times New Roman"/>
        </w:rPr>
      </w:pPr>
      <w:r>
        <w:rPr>
          <w:rFonts w:eastAsia="仿宋_GB2312" w:cs="Times New Roman"/>
        </w:rPr>
        <w:t>参考咸宁市现代物流业发展规划(2015-2030)中物流园区规划，结合咸宁现状物流园建设情况，远景年规划新建38个物流充电站，605个直流充电桩。</w:t>
      </w:r>
    </w:p>
    <w:p>
      <w:pPr>
        <w:ind w:firstLine="560"/>
        <w:rPr>
          <w:rFonts w:eastAsia="仿宋_GB2312" w:cs="Times New Roman"/>
        </w:rPr>
      </w:pPr>
    </w:p>
    <w:p>
      <w:pPr>
        <w:pStyle w:val="19"/>
        <w:ind w:left="1600" w:hanging="480"/>
        <w:rPr>
          <w:rFonts w:eastAsia="仿宋_GB2312" w:cs="Times New Roman"/>
        </w:rPr>
      </w:pPr>
    </w:p>
    <w:p>
      <w:pPr>
        <w:pStyle w:val="19"/>
        <w:rPr>
          <w:rFonts w:eastAsia="仿宋_GB2312" w:cs="Times New Roman"/>
          <w:szCs w:val="24"/>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45</w:t>
      </w:r>
      <w:r>
        <w:rPr>
          <w:rFonts w:eastAsia="仿宋_GB2312" w:cs="Times New Roman"/>
        </w:rPr>
        <w:fldChar w:fldCharType="end"/>
      </w:r>
      <w:r>
        <w:rPr>
          <w:rFonts w:eastAsia="仿宋_GB2312" w:cs="Times New Roman"/>
        </w:rPr>
        <w:t xml:space="preserve"> 2030年物流园充电站规划表</w:t>
      </w:r>
    </w:p>
    <w:tbl>
      <w:tblPr>
        <w:tblStyle w:val="76"/>
        <w:tblW w:w="4978" w:type="pct"/>
        <w:tblInd w:w="0" w:type="dxa"/>
        <w:tblLayout w:type="fixed"/>
        <w:tblCellMar>
          <w:top w:w="0" w:type="dxa"/>
          <w:left w:w="108" w:type="dxa"/>
          <w:bottom w:w="0" w:type="dxa"/>
          <w:right w:w="108" w:type="dxa"/>
        </w:tblCellMar>
      </w:tblPr>
      <w:tblGrid>
        <w:gridCol w:w="677"/>
        <w:gridCol w:w="1635"/>
        <w:gridCol w:w="4788"/>
        <w:gridCol w:w="1385"/>
      </w:tblGrid>
      <w:tr>
        <w:tblPrEx>
          <w:tblCellMar>
            <w:top w:w="0" w:type="dxa"/>
            <w:left w:w="108" w:type="dxa"/>
            <w:bottom w:w="0" w:type="dxa"/>
            <w:right w:w="108" w:type="dxa"/>
          </w:tblCellMar>
        </w:tblPrEx>
        <w:trPr>
          <w:trHeight w:val="251" w:hRule="atLeast"/>
          <w:tblHeader/>
        </w:trPr>
        <w:tc>
          <w:tcPr>
            <w:tcW w:w="39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kern w:val="0"/>
                <w:sz w:val="21"/>
                <w:szCs w:val="21"/>
              </w:rPr>
            </w:pPr>
            <w:r>
              <w:rPr>
                <w:rFonts w:eastAsia="仿宋_GB2312" w:cs="Times New Roman"/>
                <w:b/>
                <w:bCs/>
                <w:kern w:val="0"/>
                <w:sz w:val="21"/>
                <w:szCs w:val="21"/>
              </w:rPr>
              <w:t>名称</w:t>
            </w:r>
          </w:p>
        </w:tc>
        <w:tc>
          <w:tcPr>
            <w:tcW w:w="963"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kern w:val="0"/>
                <w:sz w:val="21"/>
                <w:szCs w:val="21"/>
              </w:rPr>
            </w:pPr>
            <w:r>
              <w:rPr>
                <w:rFonts w:eastAsia="仿宋_GB2312" w:cs="Times New Roman"/>
                <w:b/>
                <w:bCs/>
                <w:kern w:val="0"/>
                <w:sz w:val="21"/>
                <w:szCs w:val="21"/>
              </w:rPr>
              <w:t>园区名称</w:t>
            </w:r>
          </w:p>
        </w:tc>
        <w:tc>
          <w:tcPr>
            <w:tcW w:w="2822"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kern w:val="0"/>
                <w:sz w:val="21"/>
                <w:szCs w:val="21"/>
              </w:rPr>
            </w:pPr>
            <w:r>
              <w:rPr>
                <w:rFonts w:eastAsia="仿宋_GB2312" w:cs="Times New Roman"/>
                <w:b/>
                <w:bCs/>
                <w:kern w:val="0"/>
                <w:sz w:val="21"/>
                <w:szCs w:val="21"/>
              </w:rPr>
              <w:t>功能定位</w:t>
            </w:r>
          </w:p>
        </w:tc>
        <w:tc>
          <w:tcPr>
            <w:tcW w:w="81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kern w:val="0"/>
                <w:sz w:val="21"/>
                <w:szCs w:val="21"/>
              </w:rPr>
            </w:pPr>
            <w:r>
              <w:rPr>
                <w:rFonts w:eastAsia="仿宋_GB2312" w:cs="Times New Roman"/>
                <w:b/>
                <w:bCs/>
                <w:kern w:val="0"/>
                <w:sz w:val="21"/>
                <w:szCs w:val="21"/>
              </w:rPr>
              <w:t>充电桩数量（60kW）</w:t>
            </w:r>
          </w:p>
        </w:tc>
      </w:tr>
      <w:tr>
        <w:tblPrEx>
          <w:tblCellMar>
            <w:top w:w="0" w:type="dxa"/>
            <w:left w:w="108" w:type="dxa"/>
            <w:bottom w:w="0" w:type="dxa"/>
            <w:right w:w="108" w:type="dxa"/>
          </w:tblCellMar>
        </w:tblPrEx>
        <w:trPr>
          <w:trHeight w:val="217" w:hRule="atLeast"/>
        </w:trPr>
        <w:tc>
          <w:tcPr>
            <w:tcW w:w="399"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成安区</w:t>
            </w:r>
          </w:p>
        </w:tc>
        <w:tc>
          <w:tcPr>
            <w:tcW w:w="9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咸宁市物流聚集园区</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以咸宁市城市物流需求增长为基础，重点发展城市配送、电商物流等</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20</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成安综合配送中心</w:t>
            </w:r>
          </w:p>
        </w:tc>
        <w:tc>
          <w:tcPr>
            <w:tcW w:w="28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重点发展仓储配送、加工流通等，配套发展餐饮、住宿、汽车修理、物流金融、物流保险等</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20</w:t>
            </w:r>
          </w:p>
        </w:tc>
      </w:tr>
      <w:tr>
        <w:tblPrEx>
          <w:tblCellMar>
            <w:top w:w="0" w:type="dxa"/>
            <w:left w:w="108" w:type="dxa"/>
            <w:bottom w:w="0" w:type="dxa"/>
            <w:right w:w="108" w:type="dxa"/>
          </w:tblCellMar>
        </w:tblPrEx>
        <w:trPr>
          <w:trHeight w:val="108"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咸宁临港物流园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依托临港工业的发展，为其提供必要的物流服务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20</w:t>
            </w:r>
          </w:p>
        </w:tc>
      </w:tr>
      <w:tr>
        <w:tblPrEx>
          <w:tblCellMar>
            <w:top w:w="0" w:type="dxa"/>
            <w:left w:w="108" w:type="dxa"/>
            <w:bottom w:w="0" w:type="dxa"/>
            <w:right w:w="108" w:type="dxa"/>
          </w:tblCellMar>
        </w:tblPrEx>
        <w:trPr>
          <w:trHeight w:val="108"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冷链物流园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重点发展冷链配送、冷链仓储，为咸宁市提供专业化的冷链物流服务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20</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咸安经济技术开发区物流产业园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依托成安经济技术开发区的发展，为其提供配套的物流服务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20</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鄂南物流园</w:t>
            </w:r>
          </w:p>
        </w:tc>
        <w:tc>
          <w:tcPr>
            <w:tcW w:w="28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重点发展货物运输、仓储、中转、集散、信息等，打造湖北南大门的综合型交通物流枢纽</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20</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泉都物流中心</w:t>
            </w:r>
          </w:p>
        </w:tc>
        <w:tc>
          <w:tcPr>
            <w:tcW w:w="28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立足成宁市长江工业园区，与城市商贸经苜相结合，重点发展商品流通加工、物流配送、货物转运、信息服务等</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20</w:t>
            </w:r>
          </w:p>
        </w:tc>
      </w:tr>
      <w:tr>
        <w:tblPrEx>
          <w:tblCellMar>
            <w:top w:w="0" w:type="dxa"/>
            <w:left w:w="108" w:type="dxa"/>
            <w:bottom w:w="0" w:type="dxa"/>
            <w:right w:w="108" w:type="dxa"/>
          </w:tblCellMar>
        </w:tblPrEx>
        <w:trPr>
          <w:trHeight w:val="108" w:hRule="atLeast"/>
        </w:trPr>
        <w:tc>
          <w:tcPr>
            <w:tcW w:w="39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赤壁市</w:t>
            </w: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武汉新港赤壁物流中心</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依托武汉新港赤壁港区的发展，配套发展水路运输、公水联运等</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亿丰国际商贸物流园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打造专业化的商贸物流市场，提供运输、交易、仓储等服务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永和港航物流园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重点发展运输、仓储等</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长江赤壁临港综合物流园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重点为煤炭、水泥、造纸、建材、等产业提供物流服务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交通综合物流园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赤壁市交通货运场站，为交通运输提供服务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望家欢农副产品物流园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依托农副产品资源，重点发展农副产品的加工、流通、交易、配送、仓储等</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赤壁市现代物流园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赤壁市大型现代化物流园，提供完善的物流服务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赤壁公铁物流中心</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依托赤壁火车站，重点发展公铁联运等多式联运服务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赤壁经济开发区物流园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依托赤壁开发区的发展，为其提供必要的物流服务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赤壁市粮食物流园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重点发展农副产品的仓储、加工、批发交易等</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嘉鱼县</w:t>
            </w:r>
          </w:p>
        </w:tc>
        <w:tc>
          <w:tcPr>
            <w:tcW w:w="9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潘家湾新港（物流）工业园</w:t>
            </w:r>
          </w:p>
        </w:tc>
        <w:tc>
          <w:tcPr>
            <w:tcW w:w="28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分为临港保税物流集散区、生产制造区、生活居住配套区三个板块，重点发展保税物流、流通加工、仓储、运输、多式联运等</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326"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咸嘉临港新城物流园区</w:t>
            </w:r>
          </w:p>
        </w:tc>
        <w:tc>
          <w:tcPr>
            <w:tcW w:w="28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未来将打造成为国内一流的综合型的低碳物流园区：长江中游经济带及中三角城市群重要的区域性物流中心之一：武汉（1+8）城市</w:t>
            </w:r>
            <w:r>
              <w:rPr>
                <w:rFonts w:hint="eastAsia" w:ascii="微软雅黑" w:hAnsi="微软雅黑" w:eastAsia="微软雅黑" w:cs="微软雅黑"/>
                <w:kern w:val="0"/>
                <w:sz w:val="21"/>
                <w:szCs w:val="21"/>
              </w:rPr>
              <w:t>圏</w:t>
            </w:r>
            <w:r>
              <w:rPr>
                <w:rFonts w:eastAsia="仿宋_GB2312" w:cs="Times New Roman"/>
                <w:kern w:val="0"/>
                <w:sz w:val="21"/>
                <w:szCs w:val="21"/>
              </w:rPr>
              <w:t>重要的物流基地：武汉新港战略型节点</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潘家湾物流聚集园区</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重点发展农产品、化工材料、商贸物流的仓储及配送运输</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龙浩航空物流园</w:t>
            </w:r>
          </w:p>
        </w:tc>
        <w:tc>
          <w:tcPr>
            <w:tcW w:w="28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依托航空货运机场的建设，重点发展航空物流、多式联运等，依托综合保税区的建设，大力发展保税物流</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326"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嘉安综合物流园</w:t>
            </w:r>
          </w:p>
        </w:tc>
        <w:tc>
          <w:tcPr>
            <w:tcW w:w="28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集蔬菜、水产品交易，加工，仓储中转，冷链物流配送，现代农业及产品综合展示，农业参观及旅游接待服务，大型停车场、修理厂、内部加油站综合配套服务等多功能于一体的专业物流园区</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城市物流配送中心</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重点发展城市配送、电商物流等</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临江山物流园区</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重点发展仓储、中转及水运物流</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崇阳县</w:t>
            </w:r>
          </w:p>
        </w:tc>
        <w:tc>
          <w:tcPr>
            <w:tcW w:w="9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崇阳经济开发区物流园区</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为崇阳经济开发区提供配套的物流服务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天成物流园</w:t>
            </w:r>
          </w:p>
        </w:tc>
        <w:tc>
          <w:tcPr>
            <w:tcW w:w="28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重点发展集运输、仓储、包装、配送、装卸搬运、车辆集散、物流信息服务等基本功能及食宿、维修等辅助服务功能为一体的现代化货运服务型物流园区</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崇阳县现代物流产业园</w:t>
            </w:r>
          </w:p>
        </w:tc>
        <w:tc>
          <w:tcPr>
            <w:tcW w:w="28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重点发展运输、包装、配送、加工、装卸、搬运、车辆集散、专线物流、物流信息服务等</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崇阳县综合仓储中心</w:t>
            </w:r>
          </w:p>
        </w:tc>
        <w:tc>
          <w:tcPr>
            <w:tcW w:w="28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建设成集运输、仓储、包装、配送、装卸、搬运等多功能为一体的大型综合仓储中心</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一马建材城</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打造建材商贸物流市场</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restart"/>
            <w:tcBorders>
              <w:top w:val="nil"/>
              <w:left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通山县</w:t>
            </w:r>
          </w:p>
          <w:p>
            <w:pPr>
              <w:spacing w:line="240" w:lineRule="auto"/>
              <w:ind w:firstLine="420"/>
              <w:jc w:val="center"/>
              <w:rPr>
                <w:rFonts w:eastAsia="仿宋_GB2312" w:cs="Times New Roman"/>
                <w:kern w:val="0"/>
                <w:sz w:val="21"/>
                <w:szCs w:val="21"/>
              </w:rPr>
            </w:pPr>
            <w:r>
              <w:rPr>
                <w:rFonts w:eastAsia="仿宋_GB2312" w:cs="Times New Roman"/>
                <w:kern w:val="0"/>
                <w:sz w:val="21"/>
                <w:szCs w:val="21"/>
              </w:rPr>
              <w:t>　</w:t>
            </w: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石材物流园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为通山县石材产业的发展提供物流服务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continue"/>
            <w:tcBorders>
              <w:left w:val="single" w:color="auto" w:sz="4" w:space="0"/>
              <w:right w:val="single" w:color="auto" w:sz="4" w:space="0"/>
            </w:tcBorders>
            <w:vAlign w:val="center"/>
          </w:tcPr>
          <w:p>
            <w:pPr>
              <w:spacing w:line="240" w:lineRule="auto"/>
              <w:ind w:firstLine="420"/>
              <w:jc w:val="center"/>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楠林桥现代物流园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为通山县企业提供第三方物流服务，包括货物的中转、托运、配送、仓储等</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continue"/>
            <w:tcBorders>
              <w:left w:val="single" w:color="auto" w:sz="4" w:space="0"/>
              <w:right w:val="single" w:color="auto" w:sz="4" w:space="0"/>
            </w:tcBorders>
            <w:vAlign w:val="center"/>
          </w:tcPr>
          <w:p>
            <w:pPr>
              <w:spacing w:line="240" w:lineRule="auto"/>
              <w:ind w:firstLine="420"/>
              <w:jc w:val="center"/>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核电物流园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为通山县核电站的建设提供配套的物流服务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continue"/>
            <w:tcBorders>
              <w:left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通山国际商贸城</w:t>
            </w:r>
          </w:p>
        </w:tc>
        <w:tc>
          <w:tcPr>
            <w:tcW w:w="28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建设建材装饰、家居、五金机电、小商品及日用品的专业市场，配套发展仓储、信息、货代、配送等物流服务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continue"/>
            <w:tcBorders>
              <w:left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鑫新红门物流园</w:t>
            </w:r>
          </w:p>
        </w:tc>
        <w:tc>
          <w:tcPr>
            <w:tcW w:w="28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对县城及其周边一定范用进行货物集中、共同配送，最终将园区打造成为咸宁乃至湖北的重要物流节点之一</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continue"/>
            <w:tcBorders>
              <w:left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通山县交通物流园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通山县大型货运场站</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continue"/>
            <w:tcBorders>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景晨综合物流园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通山县大型货运场站</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108" w:hRule="atLeast"/>
        </w:trPr>
        <w:tc>
          <w:tcPr>
            <w:tcW w:w="399"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通城县</w:t>
            </w:r>
          </w:p>
        </w:tc>
        <w:tc>
          <w:tcPr>
            <w:tcW w:w="9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泽中物流园</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为通城县农、工、商企业的货物提供装卸、搬运及仓储等服务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r>
        <w:tblPrEx>
          <w:tblCellMar>
            <w:top w:w="0" w:type="dxa"/>
            <w:left w:w="108" w:type="dxa"/>
            <w:bottom w:w="0" w:type="dxa"/>
            <w:right w:w="108" w:type="dxa"/>
          </w:tblCellMar>
        </w:tblPrEx>
        <w:trPr>
          <w:trHeight w:val="217" w:hRule="atLeast"/>
        </w:trPr>
        <w:tc>
          <w:tcPr>
            <w:tcW w:w="39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kern w:val="0"/>
                <w:sz w:val="21"/>
                <w:szCs w:val="21"/>
              </w:rPr>
            </w:pPr>
          </w:p>
        </w:tc>
        <w:tc>
          <w:tcPr>
            <w:tcW w:w="9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石材工业园物流中心</w:t>
            </w:r>
          </w:p>
        </w:tc>
        <w:tc>
          <w:tcPr>
            <w:tcW w:w="282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为区域内石材产业发展提供物流服务</w:t>
            </w:r>
          </w:p>
        </w:tc>
        <w:tc>
          <w:tcPr>
            <w:tcW w:w="81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kern w:val="0"/>
                <w:sz w:val="21"/>
                <w:szCs w:val="21"/>
              </w:rPr>
            </w:pPr>
            <w:r>
              <w:rPr>
                <w:rFonts w:eastAsia="仿宋_GB2312" w:cs="Times New Roman"/>
                <w:kern w:val="0"/>
                <w:sz w:val="21"/>
                <w:szCs w:val="21"/>
              </w:rPr>
              <w:t>15</w:t>
            </w:r>
          </w:p>
        </w:tc>
      </w:tr>
    </w:tbl>
    <w:p>
      <w:pPr>
        <w:ind w:firstLine="0" w:firstLineChars="0"/>
        <w:rPr>
          <w:rFonts w:eastAsia="仿宋_GB2312" w:cs="Times New Roman"/>
        </w:rPr>
      </w:pPr>
    </w:p>
    <w:p>
      <w:pPr>
        <w:ind w:firstLine="0" w:firstLineChars="0"/>
        <w:jc w:val="center"/>
        <w:rPr>
          <w:rFonts w:eastAsia="仿宋_GB2312" w:cs="Times New Roman"/>
        </w:rPr>
      </w:pPr>
      <w:r>
        <w:rPr>
          <w:rFonts w:eastAsia="仿宋_GB2312" w:cs="Times New Roman"/>
        </w:rPr>
        <w:drawing>
          <wp:inline distT="0" distB="0" distL="0" distR="0">
            <wp:extent cx="5198110" cy="4157980"/>
            <wp:effectExtent l="0" t="0" r="2540" b="0"/>
            <wp:docPr id="195" name="图片 1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true" noChangeArrowheads="true"/>
                    </pic:cNvPicPr>
                  </pic:nvPicPr>
                  <pic:blipFill>
                    <a:blip r:embed="rId245">
                      <a:extLst>
                        <a:ext uri="{28A0092B-C50C-407E-A947-70E740481C1C}">
                          <a14:useLocalDpi xmlns:a14="http://schemas.microsoft.com/office/drawing/2010/main" val="false"/>
                        </a:ext>
                      </a:extLst>
                    </a:blip>
                    <a:srcRect l="15029" t="29140" r="11868" b="29518"/>
                    <a:stretch>
                      <a:fillRect/>
                    </a:stretch>
                  </pic:blipFill>
                  <pic:spPr>
                    <a:xfrm>
                      <a:off x="0" y="0"/>
                      <a:ext cx="5214078" cy="4170705"/>
                    </a:xfrm>
                    <a:prstGeom prst="rect">
                      <a:avLst/>
                    </a:prstGeom>
                    <a:noFill/>
                    <a:ln>
                      <a:noFill/>
                    </a:ln>
                  </pic:spPr>
                </pic:pic>
              </a:graphicData>
            </a:graphic>
          </wp:inline>
        </w:drawing>
      </w:r>
    </w:p>
    <w:p>
      <w:pPr>
        <w:pStyle w:val="19"/>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130</w:t>
      </w:r>
      <w:r>
        <w:rPr>
          <w:rFonts w:eastAsia="仿宋_GB2312" w:cs="Times New Roman"/>
        </w:rPr>
        <w:fldChar w:fldCharType="end"/>
      </w:r>
      <w:r>
        <w:rPr>
          <w:rFonts w:eastAsia="仿宋_GB2312" w:cs="Times New Roman"/>
        </w:rPr>
        <w:t xml:space="preserve"> 2030年物流充电站布点图</w:t>
      </w:r>
    </w:p>
    <w:p>
      <w:pPr>
        <w:pStyle w:val="4"/>
        <w:spacing w:before="156"/>
        <w:rPr>
          <w:rFonts w:eastAsia="仿宋_GB2312"/>
        </w:rPr>
      </w:pPr>
      <w:bookmarkStart w:id="240" w:name="_Toc117243232"/>
      <w:r>
        <w:rPr>
          <w:rFonts w:eastAsia="仿宋_GB2312"/>
        </w:rPr>
        <w:t>公用</w:t>
      </w:r>
      <w:r>
        <w:rPr>
          <w:rFonts w:hint="eastAsia" w:eastAsia="仿宋_GB2312"/>
        </w:rPr>
        <w:t>充电设施</w:t>
      </w:r>
      <w:bookmarkEnd w:id="240"/>
    </w:p>
    <w:p>
      <w:pPr>
        <w:adjustRightInd w:val="0"/>
        <w:snapToGrid w:val="0"/>
        <w:ind w:firstLine="560"/>
        <w:rPr>
          <w:rFonts w:eastAsia="仿宋_GB2312" w:cs="Times New Roman"/>
        </w:rPr>
      </w:pPr>
      <w:r>
        <w:rPr>
          <w:rFonts w:eastAsia="仿宋_GB2312" w:cs="Times New Roman"/>
        </w:rPr>
        <w:t>因远景年新能源汽车增长主要为私家电动车增长，远景年公用充电设施规划主要以小区公共充电桩建设为主，在现有小区基础上改造扩建充电桩或新建小区新建充电桩，远景年新建小区公用充电桩</w:t>
      </w:r>
      <w:r>
        <w:rPr>
          <w:rFonts w:hint="eastAsia" w:eastAsia="仿宋_GB2312" w:cs="Times New Roman"/>
        </w:rPr>
        <w:t>4</w:t>
      </w:r>
      <w:r>
        <w:rPr>
          <w:rFonts w:eastAsia="仿宋_GB2312" w:cs="Times New Roman"/>
        </w:rPr>
        <w:t>656个。</w:t>
      </w:r>
    </w:p>
    <w:p>
      <w:pPr>
        <w:pStyle w:val="4"/>
        <w:spacing w:before="156"/>
        <w:rPr>
          <w:rFonts w:eastAsia="仿宋_GB2312"/>
        </w:rPr>
      </w:pPr>
      <w:bookmarkStart w:id="241" w:name="_Toc117243233"/>
      <w:r>
        <w:rPr>
          <w:rFonts w:eastAsia="仿宋_GB2312"/>
        </w:rPr>
        <w:t>自用</w:t>
      </w:r>
      <w:r>
        <w:rPr>
          <w:rFonts w:hint="eastAsia" w:eastAsia="仿宋_GB2312"/>
        </w:rPr>
        <w:t>充电设施</w:t>
      </w:r>
      <w:bookmarkEnd w:id="241"/>
    </w:p>
    <w:p>
      <w:pPr>
        <w:adjustRightInd w:val="0"/>
        <w:snapToGrid w:val="0"/>
        <w:ind w:firstLine="560"/>
        <w:rPr>
          <w:rFonts w:eastAsia="仿宋_GB2312" w:cs="Times New Roman"/>
        </w:rPr>
      </w:pPr>
      <w:r>
        <w:rPr>
          <w:rFonts w:eastAsia="仿宋_GB2312" w:cs="Times New Roman"/>
        </w:rPr>
        <w:t>远景年自用充电桩以远景年私家车保有量为依据，新建自用桩18622个。</w:t>
      </w:r>
    </w:p>
    <w:p>
      <w:pPr>
        <w:pStyle w:val="2"/>
        <w:rPr>
          <w:rFonts w:eastAsia="仿宋_GB2312" w:cs="Times New Roman"/>
        </w:rPr>
      </w:pPr>
      <w:bookmarkStart w:id="242" w:name="_Toc117243234"/>
      <w:r>
        <w:rPr>
          <w:rFonts w:eastAsia="仿宋_GB2312" w:cs="Times New Roman"/>
        </w:rPr>
        <w:t>充换电设施实施保障措施</w:t>
      </w:r>
      <w:bookmarkEnd w:id="242"/>
    </w:p>
    <w:p>
      <w:pPr>
        <w:pStyle w:val="3"/>
        <w:adjustRightInd w:val="0"/>
        <w:rPr>
          <w:rFonts w:eastAsia="仿宋_GB2312" w:cs="Times New Roman"/>
        </w:rPr>
      </w:pPr>
      <w:bookmarkStart w:id="243" w:name="_Toc117243235"/>
      <w:bookmarkStart w:id="244" w:name="_Toc525072722"/>
      <w:r>
        <w:rPr>
          <w:rFonts w:eastAsia="仿宋_GB2312" w:cs="Times New Roman"/>
        </w:rPr>
        <w:t>电网影响</w:t>
      </w:r>
      <w:bookmarkEnd w:id="243"/>
    </w:p>
    <w:p>
      <w:pPr>
        <w:pStyle w:val="4"/>
        <w:spacing w:before="156"/>
        <w:rPr>
          <w:rFonts w:eastAsia="仿宋_GB2312"/>
        </w:rPr>
      </w:pPr>
      <w:bookmarkStart w:id="245" w:name="_Toc117243236"/>
      <w:r>
        <w:rPr>
          <w:rFonts w:eastAsia="仿宋_GB2312"/>
        </w:rPr>
        <w:t>充电设施供电需求影响</w:t>
      </w:r>
      <w:bookmarkEnd w:id="245"/>
    </w:p>
    <w:p>
      <w:pPr>
        <w:pStyle w:val="5"/>
        <w:adjustRightInd w:val="0"/>
        <w:snapToGrid w:val="0"/>
        <w:rPr>
          <w:rFonts w:eastAsia="仿宋_GB2312" w:cs="Times New Roman"/>
        </w:rPr>
      </w:pPr>
      <w:r>
        <w:rPr>
          <w:rFonts w:eastAsia="仿宋_GB2312" w:cs="Times New Roman"/>
        </w:rPr>
        <w:t>容量测算原则</w:t>
      </w:r>
    </w:p>
    <w:p>
      <w:pPr>
        <w:adjustRightInd w:val="0"/>
        <w:snapToGrid w:val="0"/>
        <w:ind w:firstLine="560"/>
        <w:rPr>
          <w:rFonts w:eastAsia="仿宋_GB2312" w:cs="Times New Roman"/>
        </w:rPr>
      </w:pPr>
      <w:r>
        <w:rPr>
          <w:rFonts w:eastAsia="仿宋_GB2312" w:cs="Times New Roman"/>
        </w:rPr>
        <w:t>1、根据不同充电设施所对应的用户服务对象重要程度，并结合具体的充电设施典型设计方案来看，充电设施的供电保障需要针对各</w:t>
      </w:r>
      <w:r>
        <w:rPr>
          <w:rFonts w:hint="eastAsia" w:eastAsia="仿宋_GB2312" w:cs="Times New Roman"/>
        </w:rPr>
        <w:t>类</w:t>
      </w:r>
      <w:r>
        <w:rPr>
          <w:rFonts w:eastAsia="仿宋_GB2312" w:cs="Times New Roman"/>
        </w:rPr>
        <w:t>充电设施的供电需求进行测算，因此本次规划采用分类负荷预测对充电设施的供电需求进行分类测算。</w:t>
      </w:r>
    </w:p>
    <w:p>
      <w:pPr>
        <w:adjustRightInd w:val="0"/>
        <w:snapToGrid w:val="0"/>
        <w:ind w:firstLine="560"/>
        <w:rPr>
          <w:rFonts w:eastAsia="仿宋_GB2312" w:cs="Times New Roman"/>
        </w:rPr>
      </w:pPr>
      <w:r>
        <w:rPr>
          <w:rFonts w:eastAsia="仿宋_GB2312" w:cs="Times New Roman"/>
        </w:rPr>
        <w:t>2、测算方法</w:t>
      </w:r>
    </w:p>
    <w:p>
      <w:pPr>
        <w:adjustRightInd w:val="0"/>
        <w:snapToGrid w:val="0"/>
        <w:ind w:firstLine="560"/>
        <w:rPr>
          <w:rFonts w:eastAsia="仿宋_GB2312" w:cs="Times New Roman"/>
        </w:rPr>
      </w:pPr>
      <w:r>
        <w:rPr>
          <w:rFonts w:eastAsia="仿宋_GB2312" w:cs="Times New Roman"/>
        </w:rPr>
        <w:t>（1）充电站总容量计算：</w:t>
      </w:r>
    </w:p>
    <w:p>
      <w:pPr>
        <w:adjustRightInd w:val="0"/>
        <w:snapToGrid w:val="0"/>
        <w:ind w:firstLine="560"/>
        <w:rPr>
          <w:rFonts w:eastAsia="仿宋_GB2312" w:cs="Times New Roman"/>
        </w:rPr>
      </w:pPr>
      <m:oMath>
        <m:sSub>
          <m:sSubPr>
            <m:ctrlPr>
              <w:rPr>
                <w:rFonts w:ascii="Cambria Math" w:hAnsi="Cambria Math" w:eastAsia="仿宋_GB2312" w:cs="Times New Roman"/>
              </w:rPr>
            </m:ctrlPr>
          </m:sSubPr>
          <m:e>
            <m:r>
              <m:rPr>
                <m:sty m:val="p"/>
              </m:rPr>
              <w:rPr>
                <w:rFonts w:ascii="Cambria Math" w:hAnsi="Cambria Math" w:eastAsia="仿宋_GB2312" w:cs="Times New Roman"/>
              </w:rPr>
              <m:t>S</m:t>
            </m:r>
            <m:ctrlPr>
              <w:rPr>
                <w:rFonts w:ascii="Cambria Math" w:hAnsi="Cambria Math" w:eastAsia="仿宋_GB2312" w:cs="Times New Roman"/>
              </w:rPr>
            </m:ctrlPr>
          </m:e>
          <m:sub>
            <m:r>
              <m:rPr>
                <m:sty m:val="p"/>
              </m:rPr>
              <w:rPr>
                <w:rFonts w:ascii="Cambria Math" w:hAnsi="Cambria Math" w:eastAsia="仿宋_GB2312" w:cs="Times New Roman"/>
              </w:rPr>
              <m:t>Σ</m:t>
            </m:r>
            <m:ctrlPr>
              <w:rPr>
                <w:rFonts w:ascii="Cambria Math" w:hAnsi="Cambria Math" w:eastAsia="仿宋_GB2312" w:cs="Times New Roman"/>
              </w:rPr>
            </m:ctrlPr>
          </m:sub>
        </m:sSub>
      </m:oMath>
      <w:r>
        <w:rPr>
          <w:rFonts w:eastAsia="仿宋_GB2312" w:cs="Times New Roman"/>
        </w:rPr>
        <w:t>=</w:t>
      </w:r>
      <m:oMath>
        <m:sSub>
          <m:sSubPr>
            <m:ctrlPr>
              <w:rPr>
                <w:rFonts w:ascii="Cambria Math" w:hAnsi="Cambria Math" w:eastAsia="仿宋_GB2312" w:cs="Times New Roman"/>
              </w:rPr>
            </m:ctrlPr>
          </m:sSubPr>
          <m:e>
            <m:r>
              <m:rPr>
                <m:sty m:val="p"/>
              </m:rPr>
              <w:rPr>
                <w:rFonts w:ascii="Cambria Math" w:hAnsi="Cambria Math" w:eastAsia="仿宋_GB2312" w:cs="Times New Roman"/>
              </w:rPr>
              <m:t>S</m:t>
            </m:r>
            <m:ctrlPr>
              <w:rPr>
                <w:rFonts w:ascii="Cambria Math" w:hAnsi="Cambria Math" w:eastAsia="仿宋_GB2312" w:cs="Times New Roman"/>
              </w:rPr>
            </m:ctrlPr>
          </m:e>
          <m:sub>
            <m:r>
              <m:rPr>
                <m:sty m:val="p"/>
              </m:rPr>
              <w:rPr>
                <w:rFonts w:ascii="Cambria Math" w:hAnsi="Cambria Math" w:eastAsia="仿宋_GB2312" w:cs="Times New Roman"/>
              </w:rPr>
              <m:t xml:space="preserve">1 </m:t>
            </m:r>
            <m:ctrlPr>
              <w:rPr>
                <w:rFonts w:ascii="Cambria Math" w:hAnsi="Cambria Math" w:eastAsia="仿宋_GB2312" w:cs="Times New Roman"/>
              </w:rPr>
            </m:ctrlPr>
          </m:sub>
        </m:sSub>
      </m:oMath>
      <w:r>
        <w:rPr>
          <w:rFonts w:eastAsia="仿宋_GB2312" w:cs="Times New Roman"/>
        </w:rPr>
        <w:t>+</w:t>
      </w:r>
      <m:oMath>
        <m:sSub>
          <m:sSubPr>
            <m:ctrlPr>
              <w:rPr>
                <w:rFonts w:ascii="Cambria Math" w:hAnsi="Cambria Math" w:eastAsia="仿宋_GB2312" w:cs="Times New Roman"/>
              </w:rPr>
            </m:ctrlPr>
          </m:sSubPr>
          <m:e>
            <m:r>
              <m:rPr>
                <m:sty m:val="p"/>
              </m:rPr>
              <w:rPr>
                <w:rFonts w:ascii="Cambria Math" w:hAnsi="Cambria Math" w:eastAsia="仿宋_GB2312" w:cs="Times New Roman"/>
              </w:rPr>
              <m:t>S</m:t>
            </m:r>
            <m:ctrlPr>
              <w:rPr>
                <w:rFonts w:ascii="Cambria Math" w:hAnsi="Cambria Math" w:eastAsia="仿宋_GB2312" w:cs="Times New Roman"/>
              </w:rPr>
            </m:ctrlPr>
          </m:e>
          <m:sub>
            <m:r>
              <m:rPr>
                <m:sty m:val="p"/>
              </m:rPr>
              <w:rPr>
                <w:rFonts w:ascii="Cambria Math" w:hAnsi="Cambria Math" w:eastAsia="仿宋_GB2312" w:cs="Times New Roman"/>
              </w:rPr>
              <m:t xml:space="preserve">2 </m:t>
            </m:r>
            <m:ctrlPr>
              <w:rPr>
                <w:rFonts w:ascii="Cambria Math" w:hAnsi="Cambria Math" w:eastAsia="仿宋_GB2312" w:cs="Times New Roman"/>
              </w:rPr>
            </m:ctrlPr>
          </m:sub>
        </m:sSub>
      </m:oMath>
    </w:p>
    <w:p>
      <w:pPr>
        <w:adjustRightInd w:val="0"/>
        <w:snapToGrid w:val="0"/>
        <w:ind w:firstLine="560"/>
        <w:rPr>
          <w:rFonts w:eastAsia="仿宋_GB2312" w:cs="Times New Roman"/>
        </w:rPr>
      </w:pPr>
      <w:r>
        <w:rPr>
          <w:rFonts w:eastAsia="仿宋_GB2312" w:cs="Times New Roman"/>
        </w:rPr>
        <w:t>S1-直流/交流充电机总容量；</w:t>
      </w:r>
    </w:p>
    <w:p>
      <w:pPr>
        <w:adjustRightInd w:val="0"/>
        <w:snapToGrid w:val="0"/>
        <w:ind w:firstLine="560"/>
        <w:rPr>
          <w:rFonts w:eastAsia="仿宋_GB2312" w:cs="Times New Roman"/>
        </w:rPr>
      </w:pPr>
      <w:r>
        <w:rPr>
          <w:rFonts w:eastAsia="仿宋_GB2312" w:cs="Times New Roman"/>
        </w:rPr>
        <w:t>S2-公共服务设施、监控、照明、空调和办公用电容量；</w:t>
      </w:r>
    </w:p>
    <w:p>
      <w:pPr>
        <w:adjustRightInd w:val="0"/>
        <w:snapToGrid w:val="0"/>
        <w:ind w:firstLine="560"/>
        <w:rPr>
          <w:rFonts w:eastAsia="仿宋_GB2312" w:cs="Times New Roman"/>
        </w:rPr>
      </w:pPr>
      <w:r>
        <w:rPr>
          <w:rFonts w:eastAsia="仿宋_GB2312" w:cs="Times New Roman"/>
        </w:rPr>
        <w:t>（2）其中</w:t>
      </w:r>
      <m:oMath>
        <m:sSub>
          <m:sSubPr>
            <m:ctrlPr>
              <w:rPr>
                <w:rFonts w:ascii="Cambria Math" w:hAnsi="Cambria Math" w:eastAsia="仿宋_GB2312" w:cs="Times New Roman"/>
              </w:rPr>
            </m:ctrlPr>
          </m:sSubPr>
          <m:e>
            <m:r>
              <m:rPr>
                <m:sty m:val="p"/>
              </m:rPr>
              <w:rPr>
                <w:rFonts w:ascii="Cambria Math" w:hAnsi="Cambria Math" w:eastAsia="仿宋_GB2312" w:cs="Times New Roman"/>
              </w:rPr>
              <m:t>S</m:t>
            </m:r>
            <m:ctrlPr>
              <w:rPr>
                <w:rFonts w:ascii="Cambria Math" w:hAnsi="Cambria Math" w:eastAsia="仿宋_GB2312" w:cs="Times New Roman"/>
              </w:rPr>
            </m:ctrlPr>
          </m:e>
          <m:sub>
            <m:r>
              <m:rPr>
                <m:sty m:val="p"/>
              </m:rPr>
              <w:rPr>
                <w:rFonts w:ascii="Cambria Math" w:hAnsi="Cambria Math" w:eastAsia="仿宋_GB2312" w:cs="Times New Roman"/>
              </w:rPr>
              <m:t xml:space="preserve">1  </m:t>
            </m:r>
            <m:ctrlPr>
              <w:rPr>
                <w:rFonts w:ascii="Cambria Math" w:hAnsi="Cambria Math" w:eastAsia="仿宋_GB2312" w:cs="Times New Roman"/>
              </w:rPr>
            </m:ctrlPr>
          </m:sub>
        </m:sSub>
      </m:oMath>
      <w:r>
        <w:rPr>
          <w:rFonts w:eastAsia="仿宋_GB2312" w:cs="Times New Roman"/>
        </w:rPr>
        <w:t>计算如下：</w:t>
      </w:r>
    </w:p>
    <w:p>
      <w:pPr>
        <w:adjustRightInd w:val="0"/>
        <w:snapToGrid w:val="0"/>
        <w:ind w:firstLine="560"/>
        <w:rPr>
          <w:rFonts w:eastAsia="仿宋_GB2312" w:cs="Times New Roman"/>
        </w:rPr>
      </w:pPr>
      <m:oMath>
        <m:sSub>
          <w:bookmarkStart w:id="246" w:name="_Hlk65163130"/>
          <m:sSubPr>
            <m:ctrlPr>
              <w:rPr>
                <w:rFonts w:ascii="Cambria Math" w:hAnsi="Cambria Math" w:eastAsia="仿宋_GB2312" w:cs="Times New Roman"/>
              </w:rPr>
            </m:ctrlPr>
          </m:sSubPr>
          <m:e>
            <m:r>
              <m:rPr>
                <m:sty m:val="p"/>
              </m:rPr>
              <w:rPr>
                <w:rFonts w:ascii="Cambria Math" w:hAnsi="Cambria Math" w:eastAsia="仿宋_GB2312" w:cs="Times New Roman"/>
              </w:rPr>
              <m:t>S</m:t>
            </m:r>
            <m:ctrlPr>
              <w:rPr>
                <w:rFonts w:ascii="Cambria Math" w:hAnsi="Cambria Math" w:eastAsia="仿宋_GB2312" w:cs="Times New Roman"/>
              </w:rPr>
            </m:ctrlPr>
          </m:e>
          <m:sub>
            <m:r>
              <m:rPr>
                <m:sty m:val="p"/>
              </m:rPr>
              <w:rPr>
                <w:rFonts w:ascii="Cambria Math" w:hAnsi="Cambria Math" w:eastAsia="仿宋_GB2312" w:cs="Times New Roman"/>
              </w:rPr>
              <m:t xml:space="preserve">1 </m:t>
            </m:r>
            <m:ctrlPr>
              <w:rPr>
                <w:rFonts w:ascii="Cambria Math" w:hAnsi="Cambria Math" w:eastAsia="仿宋_GB2312" w:cs="Times New Roman"/>
              </w:rPr>
            </m:ctrlPr>
          </m:sub>
        </m:sSub>
      </m:oMath>
      <w:r>
        <w:rPr>
          <w:rFonts w:eastAsia="仿宋_GB2312" w:cs="Times New Roman"/>
        </w:rPr>
        <w:t>=</w:t>
      </w:r>
      <m:oMath>
        <m:f>
          <m:fPr>
            <m:ctrlPr>
              <w:rPr>
                <w:rFonts w:ascii="Cambria Math" w:hAnsi="Cambria Math" w:eastAsia="仿宋_GB2312" w:cs="Times New Roman"/>
              </w:rPr>
            </m:ctrlPr>
          </m:fPr>
          <m:num>
            <m:r>
              <m:rPr>
                <m:sty m:val="p"/>
              </m:rPr>
              <w:rPr>
                <w:rFonts w:ascii="Cambria Math" w:hAnsi="Cambria Math" w:eastAsia="仿宋_GB2312" w:cs="Times New Roman"/>
              </w:rPr>
              <m:t>P</m:t>
            </m:r>
            <m:ctrlPr>
              <w:rPr>
                <w:rFonts w:ascii="Cambria Math" w:hAnsi="Cambria Math" w:eastAsia="仿宋_GB2312" w:cs="Times New Roman"/>
              </w:rPr>
            </m:ctrlPr>
          </m:num>
          <m:den>
            <m:func>
              <m:funcPr>
                <m:ctrlPr>
                  <w:rPr>
                    <w:rFonts w:ascii="Cambria Math" w:hAnsi="Cambria Math" w:eastAsia="仿宋_GB2312" w:cs="Times New Roman"/>
                  </w:rPr>
                </m:ctrlPr>
              </m:funcPr>
              <m:fName>
                <m:r>
                  <m:rPr>
                    <m:sty m:val="p"/>
                  </m:rPr>
                  <w:rPr>
                    <w:rFonts w:ascii="Cambria Math" w:hAnsi="Cambria Math" w:eastAsia="仿宋_GB2312" w:cs="Times New Roman"/>
                  </w:rPr>
                  <m:t>cos</m:t>
                </m:r>
                <m:ctrlPr>
                  <w:rPr>
                    <w:rFonts w:ascii="Cambria Math" w:hAnsi="Cambria Math" w:eastAsia="仿宋_GB2312" w:cs="Times New Roman"/>
                  </w:rPr>
                </m:ctrlPr>
              </m:fName>
              <m:e>
                <m:r>
                  <m:rPr>
                    <m:sty m:val="p"/>
                  </m:rPr>
                  <w:rPr>
                    <w:rFonts w:ascii="Cambria Math" w:hAnsi="Cambria Math" w:eastAsia="仿宋_GB2312" w:cs="Times New Roman"/>
                  </w:rPr>
                  <m:t>φ</m:t>
                </m:r>
                <m:ctrlPr>
                  <w:rPr>
                    <w:rFonts w:ascii="Cambria Math" w:hAnsi="Cambria Math" w:eastAsia="仿宋_GB2312" w:cs="Times New Roman"/>
                  </w:rPr>
                </m:ctrlPr>
              </m:e>
            </m:func>
            <m:r>
              <m:rPr>
                <m:sty m:val="p"/>
              </m:rPr>
              <w:rPr>
                <w:rFonts w:ascii="Cambria Math" w:hAnsi="Cambria Math" w:eastAsia="仿宋_GB2312" w:cs="Times New Roman"/>
              </w:rPr>
              <m:t>×η</m:t>
            </m:r>
            <m:ctrlPr>
              <w:rPr>
                <w:rFonts w:ascii="Cambria Math" w:hAnsi="Cambria Math" w:eastAsia="仿宋_GB2312" w:cs="Times New Roman"/>
              </w:rPr>
            </m:ctrlPr>
          </m:den>
        </m:f>
        <m:r>
          <m:rPr>
            <m:sty m:val="p"/>
          </m:rPr>
          <w:rPr>
            <w:rFonts w:ascii="Cambria Math" w:hAnsi="Cambria Math" w:eastAsia="仿宋_GB2312" w:cs="Times New Roman"/>
          </w:rPr>
          <m:t>×n</m:t>
        </m:r>
      </m:oMath>
    </w:p>
    <w:bookmarkEnd w:id="246"/>
    <w:p>
      <w:pPr>
        <w:adjustRightInd w:val="0"/>
        <w:snapToGrid w:val="0"/>
        <w:ind w:firstLine="560"/>
        <w:rPr>
          <w:rFonts w:eastAsia="仿宋_GB2312" w:cs="Times New Roman"/>
        </w:rPr>
      </w:pPr>
      <w:r>
        <w:rPr>
          <w:rFonts w:eastAsia="仿宋_GB2312" w:cs="Times New Roman"/>
        </w:rPr>
        <w:t>上式中：</w:t>
      </w:r>
    </w:p>
    <w:p>
      <w:pPr>
        <w:adjustRightInd w:val="0"/>
        <w:snapToGrid w:val="0"/>
        <w:ind w:firstLine="560"/>
        <w:rPr>
          <w:rFonts w:eastAsia="仿宋_GB2312" w:cs="Times New Roman"/>
        </w:rPr>
      </w:pPr>
      <w:r>
        <w:rPr>
          <w:rFonts w:eastAsia="仿宋_GB2312" w:cs="Times New Roman"/>
        </w:rPr>
        <w:t>P-充电机的输出功率；</w:t>
      </w:r>
    </w:p>
    <w:p>
      <w:pPr>
        <w:adjustRightInd w:val="0"/>
        <w:snapToGrid w:val="0"/>
        <w:ind w:firstLine="560"/>
        <w:rPr>
          <w:rFonts w:eastAsia="仿宋_GB2312" w:cs="Times New Roman"/>
        </w:rPr>
      </w:pPr>
      <m:oMath>
        <m:r>
          <m:rPr>
            <m:sty m:val="p"/>
          </m:rPr>
          <w:rPr>
            <w:rFonts w:ascii="Cambria Math" w:hAnsi="Cambria Math" w:eastAsia="仿宋_GB2312" w:cs="Times New Roman"/>
          </w:rPr>
          <m:t>cosφ</m:t>
        </m:r>
      </m:oMath>
      <w:r>
        <w:rPr>
          <w:rFonts w:eastAsia="仿宋_GB2312" w:cs="Times New Roman"/>
        </w:rPr>
        <w:t>-功率因数，取0.98；</w:t>
      </w:r>
    </w:p>
    <w:p>
      <w:pPr>
        <w:adjustRightInd w:val="0"/>
        <w:snapToGrid w:val="0"/>
        <w:ind w:firstLine="560"/>
        <w:rPr>
          <w:rFonts w:eastAsia="仿宋_GB2312" w:cs="Times New Roman"/>
        </w:rPr>
      </w:pPr>
      <m:oMath>
        <m:r>
          <m:rPr>
            <m:sty m:val="p"/>
          </m:rPr>
          <w:rPr>
            <w:rFonts w:ascii="Cambria Math" w:hAnsi="Cambria Math" w:eastAsia="仿宋_GB2312" w:cs="Times New Roman"/>
          </w:rPr>
          <m:t xml:space="preserve"> η</m:t>
        </m:r>
      </m:oMath>
      <w:r>
        <w:rPr>
          <w:rFonts w:eastAsia="仿宋_GB2312" w:cs="Times New Roman"/>
        </w:rPr>
        <w:t>-充电机工作效率，高频开关整流充电机取0.93；</w:t>
      </w:r>
    </w:p>
    <w:p>
      <w:pPr>
        <w:adjustRightInd w:val="0"/>
        <w:snapToGrid w:val="0"/>
        <w:ind w:firstLine="560"/>
        <w:rPr>
          <w:rFonts w:eastAsia="仿宋_GB2312" w:cs="Times New Roman"/>
        </w:rPr>
      </w:pPr>
      <w:r>
        <w:rPr>
          <w:rFonts w:eastAsia="仿宋_GB2312" w:cs="Times New Roman"/>
        </w:rPr>
        <w:t>n-充电机数量。</w:t>
      </w:r>
    </w:p>
    <w:p>
      <w:pPr>
        <w:adjustRightInd w:val="0"/>
        <w:snapToGrid w:val="0"/>
        <w:ind w:firstLine="560"/>
        <w:rPr>
          <w:rFonts w:eastAsia="仿宋_GB2312" w:cs="Times New Roman"/>
        </w:rPr>
      </w:pPr>
      <w:r>
        <w:rPr>
          <w:rFonts w:eastAsia="仿宋_GB2312" w:cs="Times New Roman"/>
        </w:rPr>
        <w:t>（3）</w:t>
      </w:r>
      <m:oMath>
        <m:sSub>
          <m:sSubPr>
            <m:ctrlPr>
              <w:rPr>
                <w:rFonts w:ascii="Cambria Math" w:hAnsi="Cambria Math" w:eastAsia="仿宋_GB2312" w:cs="Times New Roman"/>
              </w:rPr>
            </m:ctrlPr>
          </m:sSubPr>
          <m:e>
            <m:r>
              <m:rPr>
                <m:sty m:val="p"/>
              </m:rPr>
              <w:rPr>
                <w:rFonts w:ascii="Cambria Math" w:hAnsi="Cambria Math" w:eastAsia="仿宋_GB2312" w:cs="Times New Roman"/>
              </w:rPr>
              <m:t>S</m:t>
            </m:r>
            <m:ctrlPr>
              <w:rPr>
                <w:rFonts w:ascii="Cambria Math" w:hAnsi="Cambria Math" w:eastAsia="仿宋_GB2312" w:cs="Times New Roman"/>
              </w:rPr>
            </m:ctrlPr>
          </m:e>
          <m:sub>
            <m:r>
              <m:rPr>
                <m:sty m:val="p"/>
              </m:rPr>
              <w:rPr>
                <w:rFonts w:ascii="Cambria Math" w:hAnsi="Cambria Math" w:eastAsia="仿宋_GB2312" w:cs="Times New Roman"/>
              </w:rPr>
              <m:t xml:space="preserve">2  </m:t>
            </m:r>
            <m:ctrlPr>
              <w:rPr>
                <w:rFonts w:ascii="Cambria Math" w:hAnsi="Cambria Math" w:eastAsia="仿宋_GB2312" w:cs="Times New Roman"/>
              </w:rPr>
            </m:ctrlPr>
          </m:sub>
        </m:sSub>
      </m:oMath>
      <w:r>
        <w:rPr>
          <w:rFonts w:eastAsia="仿宋_GB2312" w:cs="Times New Roman"/>
        </w:rPr>
        <w:t>计算：为简化计算，S2按S1的5%计算。</w:t>
      </w:r>
    </w:p>
    <w:p>
      <w:pPr>
        <w:pStyle w:val="5"/>
        <w:adjustRightInd w:val="0"/>
        <w:snapToGrid w:val="0"/>
        <w:rPr>
          <w:rFonts w:eastAsia="仿宋_GB2312" w:cs="Times New Roman"/>
        </w:rPr>
      </w:pPr>
      <w:r>
        <w:rPr>
          <w:rFonts w:eastAsia="仿宋_GB2312" w:cs="Times New Roman"/>
        </w:rPr>
        <w:t>测算结果</w:t>
      </w:r>
    </w:p>
    <w:p>
      <w:pPr>
        <w:adjustRightInd w:val="0"/>
        <w:snapToGrid w:val="0"/>
        <w:ind w:firstLine="560"/>
        <w:rPr>
          <w:rFonts w:eastAsia="仿宋_GB2312" w:cs="Times New Roman"/>
        </w:rPr>
      </w:pPr>
      <w:r>
        <w:rPr>
          <w:rFonts w:eastAsia="仿宋_GB2312" w:cs="Times New Roman"/>
        </w:rPr>
        <w:t>以充电设施布局规划结果为基础，以上述测算原则为依据，测算本次规划的充电设施需要的供电容量（不含现状）。</w:t>
      </w:r>
    </w:p>
    <w:p>
      <w:pPr>
        <w:pStyle w:val="583"/>
        <w:numPr>
          <w:ilvl w:val="0"/>
          <w:numId w:val="27"/>
        </w:numPr>
        <w:ind w:firstLine="562"/>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公交车专用网供电需求预测</w:t>
      </w:r>
    </w:p>
    <w:p>
      <w:pPr>
        <w:adjustRightInd w:val="0"/>
        <w:snapToGrid w:val="0"/>
        <w:ind w:firstLine="560"/>
        <w:rPr>
          <w:rFonts w:eastAsia="仿宋_GB2312" w:cs="Times New Roman"/>
        </w:rPr>
      </w:pPr>
      <w:r>
        <w:rPr>
          <w:rFonts w:eastAsia="仿宋_GB2312" w:cs="Times New Roman"/>
        </w:rPr>
        <w:t>至2025年，咸宁市公交充电站新增1个，新增公交充电桩有10个，均为直流充电桩，充电功率60kW，总容量计算结果如下：</w:t>
      </w:r>
    </w:p>
    <w:p>
      <w:pPr>
        <w:pStyle w:val="583"/>
        <w:numPr>
          <w:ilvl w:val="0"/>
          <w:numId w:val="28"/>
        </w:numPr>
        <w:ind w:firstLineChars="0"/>
        <w:jc w:val="left"/>
        <w:rPr>
          <w:rFonts w:eastAsia="仿宋_GB2312"/>
          <w:color w:val="000000" w:themeColor="text1"/>
          <w14:textFill>
            <w14:solidFill>
              <w14:schemeClr w14:val="tx1"/>
            </w14:solidFill>
          </w14:textFill>
        </w:rPr>
      </w:pPr>
      <w:r>
        <w:rPr>
          <w:rFonts w:eastAsia="仿宋_GB2312"/>
          <w:color w:val="000000" w:themeColor="text1"/>
          <w14:textFill>
            <w14:solidFill>
              <w14:schemeClr w14:val="tx1"/>
            </w14:solidFill>
          </w14:textFill>
        </w:rPr>
        <w:t>充电机总容量：</w:t>
      </w:r>
    </w:p>
    <w:p>
      <w:pPr>
        <w:pStyle w:val="583"/>
        <w:ind w:left="920" w:firstLine="0" w:firstLineChars="0"/>
        <w:jc w:val="left"/>
        <w:rPr>
          <w:rFonts w:eastAsia="仿宋_GB2312"/>
          <w:color w:val="000000" w:themeColor="text1"/>
          <w14:textFill>
            <w14:solidFill>
              <w14:schemeClr w14:val="tx1"/>
            </w14:solidFill>
          </w14:textFill>
        </w:rPr>
      </w:pPr>
      <m:oMath>
        <m:sSub>
          <m:sSubPr>
            <m:ctrlPr>
              <w:rPr>
                <w:rFonts w:ascii="Cambria Math" w:hAnsi="Cambria Math" w:eastAsia="仿宋_GB2312"/>
                <w:color w:val="000000" w:themeColor="text1"/>
                <w14:textFill>
                  <w14:solidFill>
                    <w14:schemeClr w14:val="tx1"/>
                  </w14:solidFill>
                </w14:textFill>
              </w:rPr>
            </m:ctrlPr>
          </m:sSubPr>
          <m:e>
            <m:r>
              <m:rPr/>
              <w:rPr>
                <w:rFonts w:ascii="Cambria Math" w:hAnsi="Cambria Math" w:eastAsia="仿宋_GB2312"/>
                <w:color w:val="000000" w:themeColor="text1"/>
                <w14:textFill>
                  <w14:solidFill>
                    <w14:schemeClr w14:val="tx1"/>
                  </w14:solidFill>
                </w14:textFill>
              </w:rPr>
              <m:t>S</m:t>
            </m:r>
            <m:ctrlPr>
              <w:rPr>
                <w:rFonts w:ascii="Cambria Math" w:hAnsi="Cambria Math" w:eastAsia="仿宋_GB2312"/>
                <w:color w:val="000000" w:themeColor="text1"/>
                <w14:textFill>
                  <w14:solidFill>
                    <w14:schemeClr w14:val="tx1"/>
                  </w14:solidFill>
                </w14:textFill>
              </w:rPr>
            </m:ctrlPr>
          </m:e>
          <m:sub>
            <m:r>
              <m:rPr>
                <m:sty m:val="p"/>
              </m:rPr>
              <w:rPr>
                <w:rFonts w:ascii="Cambria Math" w:hAnsi="Cambria Math" w:eastAsia="仿宋_GB2312"/>
                <w:color w:val="000000" w:themeColor="text1"/>
                <w14:textFill>
                  <w14:solidFill>
                    <w14:schemeClr w14:val="tx1"/>
                  </w14:solidFill>
                </w14:textFill>
              </w:rPr>
              <m:t xml:space="preserve">1 </m:t>
            </m:r>
            <m:ctrlPr>
              <w:rPr>
                <w:rFonts w:ascii="Cambria Math" w:hAnsi="Cambria Math" w:eastAsia="仿宋_GB2312"/>
                <w:color w:val="000000" w:themeColor="text1"/>
                <w14:textFill>
                  <w14:solidFill>
                    <w14:schemeClr w14:val="tx1"/>
                  </w14:solidFill>
                </w14:textFill>
              </w:rPr>
            </m:ctrlPr>
          </m:sub>
        </m:sSub>
      </m:oMath>
      <w:r>
        <w:rPr>
          <w:rFonts w:eastAsia="仿宋_GB2312"/>
          <w:color w:val="000000" w:themeColor="text1"/>
          <w14:textFill>
            <w14:solidFill>
              <w14:schemeClr w14:val="tx1"/>
            </w14:solidFill>
          </w14:textFill>
        </w:rPr>
        <w:t>=</w:t>
      </w:r>
      <m:oMath>
        <m:f>
          <m:fPr>
            <m:ctrlPr>
              <w:rPr>
                <w:rFonts w:ascii="Cambria Math" w:hAnsi="Cambria Math" w:eastAsia="仿宋_GB2312"/>
                <w:color w:val="000000" w:themeColor="text1"/>
                <w14:textFill>
                  <w14:solidFill>
                    <w14:schemeClr w14:val="tx1"/>
                  </w14:solidFill>
                </w14:textFill>
              </w:rPr>
            </m:ctrlPr>
          </m:fPr>
          <m:num>
            <m:r>
              <m:rPr/>
              <w:rPr>
                <w:rFonts w:ascii="Cambria Math" w:hAnsi="Cambria Math" w:eastAsia="仿宋_GB2312"/>
                <w:color w:val="000000" w:themeColor="text1"/>
                <w14:textFill>
                  <w14:solidFill>
                    <w14:schemeClr w14:val="tx1"/>
                  </w14:solidFill>
                </w14:textFill>
              </w:rPr>
              <m:t>P</m:t>
            </m:r>
            <m:ctrlPr>
              <w:rPr>
                <w:rFonts w:ascii="Cambria Math" w:hAnsi="Cambria Math" w:eastAsia="仿宋_GB2312"/>
                <w:color w:val="000000" w:themeColor="text1"/>
                <w14:textFill>
                  <w14:solidFill>
                    <w14:schemeClr w14:val="tx1"/>
                  </w14:solidFill>
                </w14:textFill>
              </w:rPr>
            </m:ctrlPr>
          </m:num>
          <m:den>
            <m:func>
              <m:funcPr>
                <m:ctrlPr>
                  <w:rPr>
                    <w:rFonts w:ascii="Cambria Math" w:hAnsi="Cambria Math" w:eastAsia="仿宋_GB2312"/>
                    <w:color w:val="000000" w:themeColor="text1"/>
                    <w14:textFill>
                      <w14:solidFill>
                        <w14:schemeClr w14:val="tx1"/>
                      </w14:solidFill>
                    </w14:textFill>
                  </w:rPr>
                </m:ctrlPr>
              </m:funcPr>
              <m:fName>
                <m:r>
                  <m:rPr>
                    <m:sty m:val="p"/>
                  </m:rPr>
                  <w:rPr>
                    <w:rFonts w:ascii="Cambria Math" w:hAnsi="Cambria Math" w:eastAsia="仿宋_GB2312"/>
                    <w:color w:val="000000" w:themeColor="text1"/>
                    <w14:textFill>
                      <w14:solidFill>
                        <w14:schemeClr w14:val="tx1"/>
                      </w14:solidFill>
                    </w14:textFill>
                  </w:rPr>
                  <m:t>cos</m:t>
                </m:r>
                <m:ctrlPr>
                  <w:rPr>
                    <w:rFonts w:ascii="Cambria Math" w:hAnsi="Cambria Math" w:eastAsia="仿宋_GB2312"/>
                    <w:color w:val="000000" w:themeColor="text1"/>
                    <w14:textFill>
                      <w14:solidFill>
                        <w14:schemeClr w14:val="tx1"/>
                      </w14:solidFill>
                    </w14:textFill>
                  </w:rPr>
                </m:ctrlPr>
              </m:fName>
              <m:e>
                <m:r>
                  <m:rPr/>
                  <w:rPr>
                    <w:rFonts w:ascii="Cambria Math" w:hAnsi="Cambria Math" w:eastAsia="仿宋_GB2312"/>
                    <w:color w:val="000000" w:themeColor="text1"/>
                    <w14:textFill>
                      <w14:solidFill>
                        <w14:schemeClr w14:val="tx1"/>
                      </w14:solidFill>
                    </w14:textFill>
                  </w:rPr>
                  <m:t>φ</m:t>
                </m:r>
                <m:ctrlPr>
                  <w:rPr>
                    <w:rFonts w:ascii="Cambria Math" w:hAnsi="Cambria Math" w:eastAsia="仿宋_GB2312"/>
                    <w:color w:val="000000" w:themeColor="text1"/>
                    <w14:textFill>
                      <w14:solidFill>
                        <w14:schemeClr w14:val="tx1"/>
                      </w14:solidFill>
                    </w14:textFill>
                  </w:rPr>
                </m:ctrlPr>
              </m:e>
            </m:func>
            <m:r>
              <m:rPr>
                <m:sty m:val="p"/>
              </m:rPr>
              <w:rPr>
                <w:rFonts w:ascii="Cambria Math" w:hAnsi="Cambria Math" w:eastAsia="仿宋_GB2312"/>
                <w:color w:val="000000" w:themeColor="text1"/>
                <w14:textFill>
                  <w14:solidFill>
                    <w14:schemeClr w14:val="tx1"/>
                  </w14:solidFill>
                </w14:textFill>
              </w:rPr>
              <m:t>×</m:t>
            </m:r>
            <m:r>
              <m:rPr/>
              <w:rPr>
                <w:rFonts w:ascii="Cambria Math" w:hAnsi="Cambria Math" w:eastAsia="仿宋_GB2312"/>
                <w:color w:val="000000" w:themeColor="text1"/>
                <w14:textFill>
                  <w14:solidFill>
                    <w14:schemeClr w14:val="tx1"/>
                  </w14:solidFill>
                </w14:textFill>
              </w:rPr>
              <m:t>η</m:t>
            </m:r>
            <m:ctrlPr>
              <w:rPr>
                <w:rFonts w:ascii="Cambria Math" w:hAnsi="Cambria Math" w:eastAsia="仿宋_GB2312"/>
                <w:color w:val="000000" w:themeColor="text1"/>
                <w14:textFill>
                  <w14:solidFill>
                    <w14:schemeClr w14:val="tx1"/>
                  </w14:solidFill>
                </w14:textFill>
              </w:rPr>
            </m:ctrlPr>
          </m:den>
        </m:f>
        <m:r>
          <m:rPr>
            <m:sty m:val="p"/>
          </m:rPr>
          <w:rPr>
            <w:rFonts w:ascii="Cambria Math" w:hAnsi="Cambria Math" w:eastAsia="仿宋_GB2312"/>
            <w:color w:val="000000" w:themeColor="text1"/>
            <w14:textFill>
              <w14:solidFill>
                <w14:schemeClr w14:val="tx1"/>
              </w14:solidFill>
            </w14:textFill>
          </w:rPr>
          <m:t>×</m:t>
        </m:r>
        <m:r>
          <m:rPr/>
          <w:rPr>
            <w:rFonts w:ascii="Cambria Math" w:hAnsi="Cambria Math" w:eastAsia="仿宋_GB2312"/>
            <w:color w:val="000000" w:themeColor="text1"/>
            <w14:textFill>
              <w14:solidFill>
                <w14:schemeClr w14:val="tx1"/>
              </w14:solidFill>
            </w14:textFill>
          </w:rPr>
          <m:t>n</m:t>
        </m:r>
      </m:oMath>
      <w:r>
        <w:rPr>
          <w:rFonts w:eastAsia="仿宋_GB2312"/>
          <w:color w:val="000000" w:themeColor="text1"/>
          <w14:textFill>
            <w14:solidFill>
              <w14:schemeClr w14:val="tx1"/>
            </w14:solidFill>
          </w14:textFill>
        </w:rPr>
        <w:t>=60÷0.98÷0.93×30÷1000=1.98MVA</w:t>
      </w:r>
    </w:p>
    <w:p>
      <w:pPr>
        <w:pStyle w:val="106"/>
        <w:numPr>
          <w:ilvl w:val="0"/>
          <w:numId w:val="28"/>
        </w:numPr>
        <w:adjustRightInd w:val="0"/>
        <w:snapToGrid w:val="0"/>
        <w:ind w:firstLineChars="0"/>
        <w:jc w:val="left"/>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其它设施容量（除充电机外）：</w:t>
      </w:r>
    </w:p>
    <w:p>
      <w:pPr>
        <w:adjustRightInd w:val="0"/>
        <w:snapToGrid w:val="0"/>
        <w:ind w:firstLine="56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监控、照明、空调和办公用电负荷等按充电机容量5%计。</w:t>
      </w:r>
    </w:p>
    <w:p>
      <w:pPr>
        <w:adjustRightInd w:val="0"/>
        <w:snapToGrid w:val="0"/>
        <w:ind w:firstLine="560"/>
        <w:jc w:val="center"/>
        <w:rPr>
          <w:rFonts w:eastAsia="仿宋_GB2312" w:cs="Times New Roman"/>
          <w:color w:val="000000" w:themeColor="text1"/>
          <w14:textFill>
            <w14:solidFill>
              <w14:schemeClr w14:val="tx1"/>
            </w14:solidFill>
          </w14:textFill>
        </w:rPr>
      </w:pPr>
      <m:oMath>
        <m:sSub>
          <m:sSubPr>
            <m:ctrlPr>
              <w:rPr>
                <w:rFonts w:ascii="Cambria Math" w:hAnsi="Cambria Math" w:eastAsia="仿宋_GB2312" w:cs="Times New Roman"/>
                <w:i/>
                <w:color w:val="000000" w:themeColor="text1"/>
                <w14:textFill>
                  <w14:solidFill>
                    <w14:schemeClr w14:val="tx1"/>
                  </w14:solidFill>
                </w14:textFill>
              </w:rPr>
            </m:ctrlPr>
          </m:sSubPr>
          <m:e>
            <m:r>
              <m:rPr/>
              <w:rPr>
                <w:rFonts w:ascii="Cambria Math" w:hAnsi="Cambria Math" w:eastAsia="仿宋_GB2312" w:cs="Times New Roman"/>
                <w:color w:val="000000" w:themeColor="text1"/>
                <w14:textFill>
                  <w14:solidFill>
                    <w14:schemeClr w14:val="tx1"/>
                  </w14:solidFill>
                </w14:textFill>
              </w:rPr>
              <m:t>S</m:t>
            </m:r>
            <m:ctrlPr>
              <w:rPr>
                <w:rFonts w:ascii="Cambria Math" w:hAnsi="Cambria Math" w:eastAsia="仿宋_GB2312" w:cs="Times New Roman"/>
                <w:i/>
                <w:color w:val="000000" w:themeColor="text1"/>
                <w14:textFill>
                  <w14:solidFill>
                    <w14:schemeClr w14:val="tx1"/>
                  </w14:solidFill>
                </w14:textFill>
              </w:rPr>
            </m:ctrlPr>
          </m:e>
          <m:sub>
            <m:r>
              <m:rPr/>
              <w:rPr>
                <w:rFonts w:ascii="Cambria Math" w:hAnsi="Cambria Math" w:eastAsia="仿宋_GB2312" w:cs="Times New Roman"/>
                <w:color w:val="000000" w:themeColor="text1"/>
                <w14:textFill>
                  <w14:solidFill>
                    <w14:schemeClr w14:val="tx1"/>
                  </w14:solidFill>
                </w14:textFill>
              </w:rPr>
              <m:t xml:space="preserve">2 </m:t>
            </m:r>
            <m:ctrlPr>
              <w:rPr>
                <w:rFonts w:ascii="Cambria Math" w:hAnsi="Cambria Math" w:eastAsia="仿宋_GB2312" w:cs="Times New Roman"/>
                <w:i/>
                <w:color w:val="000000" w:themeColor="text1"/>
                <w14:textFill>
                  <w14:solidFill>
                    <w14:schemeClr w14:val="tx1"/>
                  </w14:solidFill>
                </w14:textFill>
              </w:rPr>
            </m:ctrlPr>
          </m:sub>
        </m:sSub>
      </m:oMath>
      <w:r>
        <w:rPr>
          <w:rFonts w:eastAsia="仿宋_GB2312" w:cs="Times New Roman"/>
          <w:color w:val="000000" w:themeColor="text1"/>
          <w14:textFill>
            <w14:solidFill>
              <w14:schemeClr w14:val="tx1"/>
            </w14:solidFill>
          </w14:textFill>
        </w:rPr>
        <w:t>=0.05×</w:t>
      </w:r>
      <m:oMath>
        <m:sSub>
          <m:sSubPr>
            <m:ctrlPr>
              <w:rPr>
                <w:rFonts w:ascii="Cambria Math" w:hAnsi="Cambria Math" w:eastAsia="仿宋_GB2312" w:cs="Times New Roman"/>
                <w:color w:val="000000" w:themeColor="text1"/>
                <w14:textFill>
                  <w14:solidFill>
                    <w14:schemeClr w14:val="tx1"/>
                  </w14:solidFill>
                </w14:textFill>
              </w:rPr>
            </m:ctrlPr>
          </m:sSubPr>
          <m:e>
            <m:r>
              <m:rPr/>
              <w:rPr>
                <w:rFonts w:ascii="Cambria Math" w:hAnsi="Cambria Math" w:eastAsia="仿宋_GB2312" w:cs="Times New Roman"/>
                <w:color w:val="000000" w:themeColor="text1"/>
                <w14:textFill>
                  <w14:solidFill>
                    <w14:schemeClr w14:val="tx1"/>
                  </w14:solidFill>
                </w14:textFill>
              </w:rPr>
              <m:t>S</m:t>
            </m:r>
            <m:ctrlPr>
              <w:rPr>
                <w:rFonts w:ascii="Cambria Math" w:hAnsi="Cambria Math" w:eastAsia="仿宋_GB2312" w:cs="Times New Roman"/>
                <w:color w:val="000000" w:themeColor="text1"/>
                <w14:textFill>
                  <w14:solidFill>
                    <w14:schemeClr w14:val="tx1"/>
                  </w14:solidFill>
                </w14:textFill>
              </w:rPr>
            </m:ctrlPr>
          </m:e>
          <m:sub>
            <m:r>
              <m:rPr>
                <m:sty m:val="p"/>
              </m:rPr>
              <w:rPr>
                <w:rFonts w:ascii="Cambria Math" w:hAnsi="Cambria Math" w:eastAsia="仿宋_GB2312" w:cs="Times New Roman"/>
                <w:color w:val="000000" w:themeColor="text1"/>
                <w14:textFill>
                  <w14:solidFill>
                    <w14:schemeClr w14:val="tx1"/>
                  </w14:solidFill>
                </w14:textFill>
              </w:rPr>
              <m:t xml:space="preserve">1 </m:t>
            </m:r>
            <m:ctrlPr>
              <w:rPr>
                <w:rFonts w:ascii="Cambria Math" w:hAnsi="Cambria Math" w:eastAsia="仿宋_GB2312" w:cs="Times New Roman"/>
                <w:color w:val="000000" w:themeColor="text1"/>
                <w14:textFill>
                  <w14:solidFill>
                    <w14:schemeClr w14:val="tx1"/>
                  </w14:solidFill>
                </w14:textFill>
              </w:rPr>
            </m:ctrlPr>
          </m:sub>
        </m:sSub>
      </m:oMath>
      <w:r>
        <w:rPr>
          <w:rFonts w:eastAsia="仿宋_GB2312" w:cs="Times New Roman"/>
          <w:color w:val="000000" w:themeColor="text1"/>
          <w14:textFill>
            <w14:solidFill>
              <w14:schemeClr w14:val="tx1"/>
            </w14:solidFill>
          </w14:textFill>
        </w:rPr>
        <w:t>=0.09MVA</w:t>
      </w:r>
    </w:p>
    <w:p>
      <w:pPr>
        <w:pStyle w:val="106"/>
        <w:numPr>
          <w:ilvl w:val="0"/>
          <w:numId w:val="28"/>
        </w:numPr>
        <w:adjustRightInd w:val="0"/>
        <w:snapToGrid w:val="0"/>
        <w:ind w:firstLineChars="0"/>
        <w:jc w:val="left"/>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总容量计算如下：</w:t>
      </w:r>
    </w:p>
    <w:p>
      <w:pPr>
        <w:adjustRightInd w:val="0"/>
        <w:snapToGrid w:val="0"/>
        <w:ind w:firstLine="560"/>
        <w:jc w:val="center"/>
        <w:rPr>
          <w:rFonts w:eastAsia="仿宋_GB2312" w:cs="Times New Roman"/>
          <w:color w:val="000000" w:themeColor="text1"/>
          <w14:textFill>
            <w14:solidFill>
              <w14:schemeClr w14:val="tx1"/>
            </w14:solidFill>
          </w14:textFill>
        </w:rPr>
      </w:pPr>
      <m:oMath>
        <m:sSub>
          <m:sSubPr>
            <m:ctrlPr>
              <w:rPr>
                <w:rFonts w:ascii="Cambria Math" w:hAnsi="Cambria Math" w:eastAsia="仿宋_GB2312" w:cs="Times New Roman"/>
                <w:i/>
              </w:rPr>
            </m:ctrlPr>
          </m:sSubPr>
          <m:e>
            <m:r>
              <m:rPr/>
              <w:rPr>
                <w:rFonts w:ascii="Cambria Math" w:hAnsi="Cambria Math" w:eastAsia="仿宋_GB2312" w:cs="Times New Roman"/>
              </w:rPr>
              <m:t>S</m:t>
            </m:r>
            <m:ctrlPr>
              <w:rPr>
                <w:rFonts w:ascii="Cambria Math" w:hAnsi="Cambria Math" w:eastAsia="仿宋_GB2312" w:cs="Times New Roman"/>
                <w:i/>
              </w:rPr>
            </m:ctrlPr>
          </m:e>
          <m:sub>
            <m:r>
              <m:rPr/>
              <w:rPr>
                <w:rFonts w:ascii="Cambria Math" w:hAnsi="Cambria Math" w:eastAsia="仿宋_GB2312" w:cs="Times New Roman"/>
              </w:rPr>
              <m:t>Σ</m:t>
            </m:r>
            <m:ctrlPr>
              <w:rPr>
                <w:rFonts w:ascii="Cambria Math" w:hAnsi="Cambria Math" w:eastAsia="仿宋_GB2312" w:cs="Times New Roman"/>
                <w:i/>
              </w:rPr>
            </m:ctrlPr>
          </m:sub>
        </m:sSub>
      </m:oMath>
      <w:r>
        <w:rPr>
          <w:rFonts w:eastAsia="仿宋_GB2312" w:cs="Times New Roman"/>
        </w:rPr>
        <w:t>=</w:t>
      </w:r>
      <m:oMath>
        <m:sSub>
          <m:sSubPr>
            <m:ctrlPr>
              <w:rPr>
                <w:rFonts w:ascii="Cambria Math" w:hAnsi="Cambria Math" w:eastAsia="仿宋_GB2312" w:cs="Times New Roman"/>
                <w:i/>
              </w:rPr>
            </m:ctrlPr>
          </m:sSubPr>
          <m:e>
            <m:r>
              <m:rPr/>
              <w:rPr>
                <w:rFonts w:ascii="Cambria Math" w:hAnsi="Cambria Math" w:eastAsia="仿宋_GB2312" w:cs="Times New Roman"/>
              </w:rPr>
              <m:t>S</m:t>
            </m:r>
            <m:ctrlPr>
              <w:rPr>
                <w:rFonts w:ascii="Cambria Math" w:hAnsi="Cambria Math" w:eastAsia="仿宋_GB2312" w:cs="Times New Roman"/>
                <w:i/>
              </w:rPr>
            </m:ctrlPr>
          </m:e>
          <m:sub>
            <m:r>
              <m:rPr/>
              <w:rPr>
                <w:rFonts w:ascii="Cambria Math" w:hAnsi="Cambria Math" w:eastAsia="仿宋_GB2312" w:cs="Times New Roman"/>
              </w:rPr>
              <m:t xml:space="preserve">1 </m:t>
            </m:r>
            <m:ctrlPr>
              <w:rPr>
                <w:rFonts w:ascii="Cambria Math" w:hAnsi="Cambria Math" w:eastAsia="仿宋_GB2312" w:cs="Times New Roman"/>
                <w:i/>
              </w:rPr>
            </m:ctrlPr>
          </m:sub>
        </m:sSub>
      </m:oMath>
      <w:r>
        <w:rPr>
          <w:rFonts w:eastAsia="仿宋_GB2312" w:cs="Times New Roman"/>
        </w:rPr>
        <w:t>+</w:t>
      </w:r>
      <m:oMath>
        <m:sSub>
          <m:sSubPr>
            <m:ctrlPr>
              <w:rPr>
                <w:rFonts w:ascii="Cambria Math" w:hAnsi="Cambria Math" w:eastAsia="仿宋_GB2312" w:cs="Times New Roman"/>
                <w:i/>
              </w:rPr>
            </m:ctrlPr>
          </m:sSubPr>
          <m:e>
            <m:r>
              <m:rPr/>
              <w:rPr>
                <w:rFonts w:ascii="Cambria Math" w:hAnsi="Cambria Math" w:eastAsia="仿宋_GB2312" w:cs="Times New Roman"/>
              </w:rPr>
              <m:t>S</m:t>
            </m:r>
            <m:ctrlPr>
              <w:rPr>
                <w:rFonts w:ascii="Cambria Math" w:hAnsi="Cambria Math" w:eastAsia="仿宋_GB2312" w:cs="Times New Roman"/>
                <w:i/>
              </w:rPr>
            </m:ctrlPr>
          </m:e>
          <m:sub>
            <m:r>
              <m:rPr/>
              <w:rPr>
                <w:rFonts w:ascii="Cambria Math" w:hAnsi="Cambria Math" w:eastAsia="仿宋_GB2312" w:cs="Times New Roman"/>
              </w:rPr>
              <m:t xml:space="preserve">2 </m:t>
            </m:r>
            <m:ctrlPr>
              <w:rPr>
                <w:rFonts w:ascii="Cambria Math" w:hAnsi="Cambria Math" w:eastAsia="仿宋_GB2312" w:cs="Times New Roman"/>
                <w:i/>
              </w:rPr>
            </m:ctrlPr>
          </m:sub>
        </m:sSub>
      </m:oMath>
      <w:r>
        <w:rPr>
          <w:rFonts w:eastAsia="仿宋_GB2312" w:cs="Times New Roman"/>
        </w:rPr>
        <w:t>=2.07</w:t>
      </w:r>
      <w:r>
        <w:rPr>
          <w:rFonts w:eastAsia="仿宋_GB2312" w:cs="Times New Roman"/>
          <w:color w:val="000000" w:themeColor="text1"/>
          <w14:textFill>
            <w14:solidFill>
              <w14:schemeClr w14:val="tx1"/>
            </w14:solidFill>
          </w14:textFill>
        </w:rPr>
        <w:t>MVA</w:t>
      </w:r>
    </w:p>
    <w:p>
      <w:pPr>
        <w:pStyle w:val="583"/>
        <w:numPr>
          <w:ilvl w:val="0"/>
          <w:numId w:val="27"/>
        </w:numPr>
        <w:ind w:firstLine="562"/>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物流车专用供电需求预测</w:t>
      </w:r>
    </w:p>
    <w:p>
      <w:pPr>
        <w:adjustRightInd w:val="0"/>
        <w:snapToGrid w:val="0"/>
        <w:ind w:firstLine="560"/>
        <w:rPr>
          <w:rFonts w:eastAsia="仿宋_GB2312" w:cs="Times New Roman"/>
        </w:rPr>
      </w:pPr>
      <w:r>
        <w:rPr>
          <w:rFonts w:eastAsia="仿宋_GB2312" w:cs="Times New Roman"/>
        </w:rPr>
        <w:t>根据上述的计算方法，至2025年，物流车专用网充电设施的供电需求总容量为17.83MVA。</w:t>
      </w:r>
    </w:p>
    <w:p>
      <w:pPr>
        <w:pStyle w:val="583"/>
        <w:numPr>
          <w:ilvl w:val="0"/>
          <w:numId w:val="27"/>
        </w:numPr>
        <w:ind w:firstLine="562"/>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环卫车专用供电需求预测</w:t>
      </w:r>
    </w:p>
    <w:p>
      <w:pPr>
        <w:adjustRightInd w:val="0"/>
        <w:snapToGrid w:val="0"/>
        <w:ind w:firstLine="560"/>
        <w:rPr>
          <w:rFonts w:eastAsia="仿宋_GB2312" w:cs="Times New Roman"/>
        </w:rPr>
      </w:pPr>
      <w:r>
        <w:rPr>
          <w:rFonts w:eastAsia="仿宋_GB2312" w:cs="Times New Roman"/>
        </w:rPr>
        <w:t>至2025年，物流车专用网充电设施的供电需求总容量为9.54MVA。</w:t>
      </w:r>
    </w:p>
    <w:p>
      <w:pPr>
        <w:pStyle w:val="583"/>
        <w:numPr>
          <w:ilvl w:val="0"/>
          <w:numId w:val="27"/>
        </w:numPr>
        <w:ind w:firstLine="562"/>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公务车专用供电需求预测</w:t>
      </w:r>
    </w:p>
    <w:p>
      <w:pPr>
        <w:adjustRightInd w:val="0"/>
        <w:snapToGrid w:val="0"/>
        <w:ind w:firstLine="560"/>
        <w:rPr>
          <w:rFonts w:eastAsia="仿宋_GB2312" w:cs="Times New Roman"/>
        </w:rPr>
      </w:pPr>
      <w:r>
        <w:rPr>
          <w:rFonts w:eastAsia="仿宋_GB2312" w:cs="Times New Roman"/>
        </w:rPr>
        <w:t>至2025年，公务车充电设施的供电需求总容量为30.41MVA。</w:t>
      </w:r>
    </w:p>
    <w:p>
      <w:pPr>
        <w:pStyle w:val="583"/>
        <w:numPr>
          <w:ilvl w:val="0"/>
          <w:numId w:val="27"/>
        </w:numPr>
        <w:ind w:firstLine="562"/>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公用设施供电需求预测</w:t>
      </w:r>
    </w:p>
    <w:p>
      <w:pPr>
        <w:adjustRightInd w:val="0"/>
        <w:snapToGrid w:val="0"/>
        <w:ind w:firstLine="560"/>
        <w:rPr>
          <w:rFonts w:eastAsia="仿宋_GB2312" w:cs="Times New Roman"/>
        </w:rPr>
      </w:pPr>
      <w:r>
        <w:rPr>
          <w:rFonts w:eastAsia="仿宋_GB2312" w:cs="Times New Roman"/>
        </w:rPr>
        <w:t>至2025年，外部公用充电设施的供电需求总容量为122.21MVA，小区内部小区公用充电设施供电需求容量为90.07MVA。</w:t>
      </w:r>
    </w:p>
    <w:p>
      <w:pPr>
        <w:pStyle w:val="583"/>
        <w:numPr>
          <w:ilvl w:val="0"/>
          <w:numId w:val="27"/>
        </w:numPr>
        <w:ind w:firstLine="562"/>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高速服务区供电需求预测</w:t>
      </w:r>
    </w:p>
    <w:p>
      <w:pPr>
        <w:adjustRightInd w:val="0"/>
        <w:snapToGrid w:val="0"/>
        <w:ind w:firstLine="560"/>
        <w:rPr>
          <w:rFonts w:eastAsia="仿宋_GB2312" w:cs="Times New Roman"/>
        </w:rPr>
      </w:pPr>
      <w:r>
        <w:rPr>
          <w:rFonts w:eastAsia="仿宋_GB2312" w:cs="Times New Roman"/>
        </w:rPr>
        <w:t>至2025年，高速服务区充电设施的供电需求总容量为7.19MVA。</w:t>
      </w:r>
    </w:p>
    <w:p>
      <w:pPr>
        <w:pStyle w:val="583"/>
        <w:numPr>
          <w:ilvl w:val="0"/>
          <w:numId w:val="27"/>
        </w:numPr>
        <w:ind w:firstLine="562"/>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私家车自用桩供电需求预测</w:t>
      </w:r>
    </w:p>
    <w:p>
      <w:pPr>
        <w:adjustRightInd w:val="0"/>
        <w:snapToGrid w:val="0"/>
        <w:ind w:firstLine="560"/>
        <w:rPr>
          <w:rFonts w:eastAsia="仿宋_GB2312" w:cs="Times New Roman"/>
        </w:rPr>
      </w:pPr>
      <w:r>
        <w:rPr>
          <w:rFonts w:eastAsia="仿宋_GB2312" w:cs="Times New Roman"/>
        </w:rPr>
        <w:t>至2025年，私家车自用充电设施的供电需求总容量为42.03MVA。</w:t>
      </w:r>
    </w:p>
    <w:p>
      <w:pPr>
        <w:pStyle w:val="583"/>
        <w:numPr>
          <w:ilvl w:val="0"/>
          <w:numId w:val="27"/>
        </w:numPr>
        <w:ind w:firstLine="562"/>
        <w:rPr>
          <w:rFonts w:eastAsia="仿宋_GB2312"/>
          <w:b/>
          <w:bCs/>
          <w:color w:val="000000" w:themeColor="text1"/>
          <w14:textFill>
            <w14:solidFill>
              <w14:schemeClr w14:val="tx1"/>
            </w14:solidFill>
          </w14:textFill>
        </w:rPr>
      </w:pPr>
      <w:r>
        <w:rPr>
          <w:rFonts w:eastAsia="仿宋_GB2312"/>
          <w:b/>
          <w:bCs/>
          <w:color w:val="000000" w:themeColor="text1"/>
          <w14:textFill>
            <w14:solidFill>
              <w14:schemeClr w14:val="tx1"/>
            </w14:solidFill>
          </w14:textFill>
        </w:rPr>
        <w:t>小结</w:t>
      </w:r>
    </w:p>
    <w:p>
      <w:pPr>
        <w:adjustRightInd w:val="0"/>
        <w:snapToGrid w:val="0"/>
        <w:ind w:firstLine="560"/>
        <w:rPr>
          <w:rFonts w:eastAsia="仿宋_GB2312" w:cs="Times New Roman"/>
        </w:rPr>
      </w:pPr>
      <w:r>
        <w:rPr>
          <w:rFonts w:eastAsia="仿宋_GB2312" w:cs="Times New Roman"/>
        </w:rPr>
        <w:t>至2025年，公交、物流、环卫、公务专用充电设施供电需求总容量为59.86MVA；公共及高速服务区充电设施的供电需求总容量为219.47MVA，小区自用充电设施的供电需求总容量为42.03MVA，</w:t>
      </w:r>
      <w:r>
        <w:rPr>
          <w:rFonts w:hint="eastAsia" w:eastAsia="仿宋_GB2312" w:cs="Times New Roman"/>
        </w:rPr>
        <w:t>“</w:t>
      </w:r>
      <w:r>
        <w:rPr>
          <w:rFonts w:eastAsia="仿宋_GB2312" w:cs="Times New Roman"/>
        </w:rPr>
        <w:t>十四五</w:t>
      </w:r>
      <w:r>
        <w:rPr>
          <w:rFonts w:hint="eastAsia" w:eastAsia="仿宋_GB2312" w:cs="Times New Roman"/>
        </w:rPr>
        <w:t>”</w:t>
      </w:r>
      <w:r>
        <w:rPr>
          <w:rFonts w:eastAsia="仿宋_GB2312" w:cs="Times New Roman"/>
        </w:rPr>
        <w:t>期间</w:t>
      </w:r>
      <w:r>
        <w:rPr>
          <w:rFonts w:hint="eastAsia" w:eastAsia="仿宋_GB2312" w:cs="Times New Roman"/>
        </w:rPr>
        <w:t>需</w:t>
      </w:r>
      <w:r>
        <w:rPr>
          <w:rFonts w:eastAsia="仿宋_GB2312" w:cs="Times New Roman"/>
        </w:rPr>
        <w:t>规划建设充电设施供电总容量为321.36MVA。</w:t>
      </w:r>
    </w:p>
    <w:p>
      <w:pPr>
        <w:pStyle w:val="19"/>
        <w:adjustRightInd w:val="0"/>
        <w:snapToGrid w:val="0"/>
        <w:ind w:firstLine="360"/>
        <w:rPr>
          <w:rFonts w:eastAsia="仿宋_GB2312" w:cs="Times New Roman"/>
          <w:szCs w:val="24"/>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5</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r>
        <w:rPr>
          <w:rFonts w:eastAsia="仿宋_GB2312" w:cs="Times New Roman"/>
          <w:szCs w:val="24"/>
        </w:rPr>
        <w:t>充电设施容量测算表</w:t>
      </w:r>
    </w:p>
    <w:bookmarkEnd w:id="244"/>
    <w:tbl>
      <w:tblPr>
        <w:tblStyle w:val="76"/>
        <w:tblW w:w="4973" w:type="pct"/>
        <w:tblInd w:w="0" w:type="dxa"/>
        <w:tblLayout w:type="autofit"/>
        <w:tblCellMar>
          <w:top w:w="0" w:type="dxa"/>
          <w:left w:w="108" w:type="dxa"/>
          <w:bottom w:w="0" w:type="dxa"/>
          <w:right w:w="108" w:type="dxa"/>
        </w:tblCellMar>
      </w:tblPr>
      <w:tblGrid>
        <w:gridCol w:w="592"/>
        <w:gridCol w:w="547"/>
        <w:gridCol w:w="641"/>
        <w:gridCol w:w="641"/>
        <w:gridCol w:w="548"/>
        <w:gridCol w:w="642"/>
        <w:gridCol w:w="734"/>
        <w:gridCol w:w="641"/>
        <w:gridCol w:w="548"/>
        <w:gridCol w:w="736"/>
        <w:gridCol w:w="1041"/>
        <w:gridCol w:w="1165"/>
      </w:tblGrid>
      <w:tr>
        <w:tblPrEx>
          <w:tblCellMar>
            <w:top w:w="0" w:type="dxa"/>
            <w:left w:w="108" w:type="dxa"/>
            <w:bottom w:w="0" w:type="dxa"/>
            <w:right w:w="108" w:type="dxa"/>
          </w:tblCellMar>
        </w:tblPrEx>
        <w:trPr>
          <w:trHeight w:val="135" w:hRule="atLeast"/>
        </w:trPr>
        <w:tc>
          <w:tcPr>
            <w:tcW w:w="35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年份</w:t>
            </w:r>
          </w:p>
        </w:tc>
        <w:tc>
          <w:tcPr>
            <w:tcW w:w="1781" w:type="pct"/>
            <w:gridSpan w:val="5"/>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专用桩（MVA）</w:t>
            </w:r>
          </w:p>
        </w:tc>
        <w:tc>
          <w:tcPr>
            <w:tcW w:w="1568" w:type="pct"/>
            <w:gridSpan w:val="4"/>
            <w:tcBorders>
              <w:top w:val="single" w:color="auto" w:sz="4" w:space="0"/>
              <w:left w:val="nil"/>
              <w:bottom w:val="single" w:color="auto" w:sz="4" w:space="0"/>
              <w:right w:val="single" w:color="000000"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公用桩（MVA）</w:t>
            </w:r>
          </w:p>
        </w:tc>
        <w:tc>
          <w:tcPr>
            <w:tcW w:w="614"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自用桩</w:t>
            </w:r>
          </w:p>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（MVA）</w:t>
            </w:r>
          </w:p>
        </w:tc>
        <w:tc>
          <w:tcPr>
            <w:tcW w:w="687"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总需求容量合计（MVA）</w:t>
            </w:r>
          </w:p>
        </w:tc>
      </w:tr>
      <w:tr>
        <w:tblPrEx>
          <w:tblCellMar>
            <w:top w:w="0" w:type="dxa"/>
            <w:left w:w="108" w:type="dxa"/>
            <w:bottom w:w="0" w:type="dxa"/>
            <w:right w:w="108" w:type="dxa"/>
          </w:tblCellMar>
        </w:tblPrEx>
        <w:trPr>
          <w:trHeight w:val="208" w:hRule="atLeast"/>
        </w:trPr>
        <w:tc>
          <w:tcPr>
            <w:tcW w:w="350"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18"/>
                <w:szCs w:val="18"/>
              </w:rPr>
            </w:pP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公交</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公务</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物流</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环卫</w:t>
            </w:r>
          </w:p>
        </w:tc>
        <w:tc>
          <w:tcPr>
            <w:tcW w:w="37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汇总</w:t>
            </w:r>
          </w:p>
        </w:tc>
        <w:tc>
          <w:tcPr>
            <w:tcW w:w="43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社会公用</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小区公用</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高速</w:t>
            </w:r>
          </w:p>
        </w:tc>
        <w:tc>
          <w:tcPr>
            <w:tcW w:w="4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汇总</w:t>
            </w:r>
          </w:p>
        </w:tc>
        <w:tc>
          <w:tcPr>
            <w:tcW w:w="614"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18"/>
                <w:szCs w:val="18"/>
              </w:rPr>
            </w:pPr>
          </w:p>
        </w:tc>
        <w:tc>
          <w:tcPr>
            <w:tcW w:w="687" w:type="pct"/>
            <w:vMerge w:val="continue"/>
            <w:tcBorders>
              <w:top w:val="single" w:color="auto" w:sz="4" w:space="0"/>
              <w:left w:val="single" w:color="auto" w:sz="4" w:space="0"/>
              <w:bottom w:val="single" w:color="000000"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18"/>
                <w:szCs w:val="18"/>
              </w:rPr>
            </w:pPr>
          </w:p>
        </w:tc>
      </w:tr>
      <w:tr>
        <w:tblPrEx>
          <w:tblCellMar>
            <w:top w:w="0" w:type="dxa"/>
            <w:left w:w="108" w:type="dxa"/>
            <w:bottom w:w="0" w:type="dxa"/>
            <w:right w:w="108" w:type="dxa"/>
          </w:tblCellMar>
        </w:tblPrEx>
        <w:trPr>
          <w:trHeight w:val="135" w:hRule="atLeast"/>
        </w:trPr>
        <w:tc>
          <w:tcPr>
            <w:tcW w:w="350"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2022</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0.55</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w:t>
            </w:r>
          </w:p>
        </w:tc>
        <w:tc>
          <w:tcPr>
            <w:tcW w:w="37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0.55</w:t>
            </w:r>
          </w:p>
        </w:tc>
        <w:tc>
          <w:tcPr>
            <w:tcW w:w="43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23.92</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15.00</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w:t>
            </w:r>
          </w:p>
        </w:tc>
        <w:tc>
          <w:tcPr>
            <w:tcW w:w="4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38.92</w:t>
            </w:r>
          </w:p>
        </w:tc>
        <w:tc>
          <w:tcPr>
            <w:tcW w:w="61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等线" w:cs="Times New Roman"/>
                <w:color w:val="000000"/>
                <w:sz w:val="18"/>
                <w:szCs w:val="18"/>
              </w:rPr>
              <w:t>7.01</w:t>
            </w:r>
          </w:p>
        </w:tc>
        <w:tc>
          <w:tcPr>
            <w:tcW w:w="6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等线" w:cs="Times New Roman"/>
                <w:color w:val="000000"/>
                <w:sz w:val="18"/>
                <w:szCs w:val="18"/>
              </w:rPr>
              <w:t>46.48</w:t>
            </w:r>
          </w:p>
        </w:tc>
      </w:tr>
      <w:tr>
        <w:tblPrEx>
          <w:tblCellMar>
            <w:top w:w="0" w:type="dxa"/>
            <w:left w:w="108" w:type="dxa"/>
            <w:bottom w:w="0" w:type="dxa"/>
            <w:right w:w="108" w:type="dxa"/>
          </w:tblCellMar>
        </w:tblPrEx>
        <w:trPr>
          <w:trHeight w:val="135" w:hRule="atLeast"/>
        </w:trPr>
        <w:tc>
          <w:tcPr>
            <w:tcW w:w="350"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2023</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0.69</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9.54</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5.39</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0.55</w:t>
            </w:r>
          </w:p>
        </w:tc>
        <w:tc>
          <w:tcPr>
            <w:tcW w:w="37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16.18</w:t>
            </w:r>
          </w:p>
        </w:tc>
        <w:tc>
          <w:tcPr>
            <w:tcW w:w="43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40.37</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19.84</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4.98</w:t>
            </w:r>
          </w:p>
        </w:tc>
        <w:tc>
          <w:tcPr>
            <w:tcW w:w="4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65.18</w:t>
            </w:r>
          </w:p>
        </w:tc>
        <w:tc>
          <w:tcPr>
            <w:tcW w:w="61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等线" w:cs="Times New Roman"/>
                <w:color w:val="000000"/>
                <w:sz w:val="18"/>
                <w:szCs w:val="18"/>
              </w:rPr>
              <w:t>9.24</w:t>
            </w:r>
          </w:p>
        </w:tc>
        <w:tc>
          <w:tcPr>
            <w:tcW w:w="6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等线" w:cs="Times New Roman"/>
                <w:color w:val="000000"/>
                <w:sz w:val="18"/>
                <w:szCs w:val="18"/>
              </w:rPr>
              <w:t>90.60</w:t>
            </w:r>
          </w:p>
        </w:tc>
      </w:tr>
      <w:tr>
        <w:tblPrEx>
          <w:tblCellMar>
            <w:top w:w="0" w:type="dxa"/>
            <w:left w:w="108" w:type="dxa"/>
            <w:bottom w:w="0" w:type="dxa"/>
            <w:right w:w="108" w:type="dxa"/>
          </w:tblCellMar>
        </w:tblPrEx>
        <w:trPr>
          <w:trHeight w:val="135" w:hRule="atLeast"/>
        </w:trPr>
        <w:tc>
          <w:tcPr>
            <w:tcW w:w="350"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2024</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1.38</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10.92</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8.57</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1.80</w:t>
            </w:r>
          </w:p>
        </w:tc>
        <w:tc>
          <w:tcPr>
            <w:tcW w:w="37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22.67</w:t>
            </w:r>
          </w:p>
        </w:tc>
        <w:tc>
          <w:tcPr>
            <w:tcW w:w="43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29.31</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24.40</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2.21</w:t>
            </w:r>
          </w:p>
        </w:tc>
        <w:tc>
          <w:tcPr>
            <w:tcW w:w="4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55.92</w:t>
            </w:r>
          </w:p>
        </w:tc>
        <w:tc>
          <w:tcPr>
            <w:tcW w:w="61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等线" w:cs="Times New Roman"/>
                <w:color w:val="000000"/>
                <w:sz w:val="18"/>
                <w:szCs w:val="18"/>
              </w:rPr>
              <w:t>11.40</w:t>
            </w:r>
          </w:p>
        </w:tc>
        <w:tc>
          <w:tcPr>
            <w:tcW w:w="6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等线" w:cs="Times New Roman"/>
                <w:color w:val="000000"/>
                <w:sz w:val="18"/>
                <w:szCs w:val="18"/>
              </w:rPr>
              <w:t>90.00</w:t>
            </w:r>
          </w:p>
        </w:tc>
      </w:tr>
      <w:tr>
        <w:tblPrEx>
          <w:tblCellMar>
            <w:top w:w="0" w:type="dxa"/>
            <w:left w:w="108" w:type="dxa"/>
            <w:bottom w:w="0" w:type="dxa"/>
            <w:right w:w="108" w:type="dxa"/>
          </w:tblCellMar>
        </w:tblPrEx>
        <w:trPr>
          <w:trHeight w:val="135" w:hRule="atLeast"/>
        </w:trPr>
        <w:tc>
          <w:tcPr>
            <w:tcW w:w="350"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2025</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0.00</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9.95</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3.32</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7.19</w:t>
            </w:r>
          </w:p>
        </w:tc>
        <w:tc>
          <w:tcPr>
            <w:tcW w:w="37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20.46</w:t>
            </w:r>
          </w:p>
        </w:tc>
        <w:tc>
          <w:tcPr>
            <w:tcW w:w="43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28.62</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30.83</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0.00</w:t>
            </w:r>
          </w:p>
        </w:tc>
        <w:tc>
          <w:tcPr>
            <w:tcW w:w="4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59.45</w:t>
            </w:r>
          </w:p>
        </w:tc>
        <w:tc>
          <w:tcPr>
            <w:tcW w:w="61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等线" w:cs="Times New Roman"/>
                <w:color w:val="000000"/>
                <w:sz w:val="18"/>
                <w:szCs w:val="18"/>
              </w:rPr>
              <w:t>14.38</w:t>
            </w:r>
          </w:p>
        </w:tc>
        <w:tc>
          <w:tcPr>
            <w:tcW w:w="6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等线" w:cs="Times New Roman"/>
                <w:color w:val="000000"/>
                <w:sz w:val="18"/>
                <w:szCs w:val="18"/>
              </w:rPr>
              <w:t>94.29</w:t>
            </w:r>
          </w:p>
        </w:tc>
      </w:tr>
      <w:tr>
        <w:tblPrEx>
          <w:tblCellMar>
            <w:top w:w="0" w:type="dxa"/>
            <w:left w:w="108" w:type="dxa"/>
            <w:bottom w:w="0" w:type="dxa"/>
            <w:right w:w="108" w:type="dxa"/>
          </w:tblCellMar>
        </w:tblPrEx>
        <w:trPr>
          <w:trHeight w:val="135" w:hRule="atLeast"/>
        </w:trPr>
        <w:tc>
          <w:tcPr>
            <w:tcW w:w="350"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hint="eastAsia" w:eastAsia="仿宋_GB2312" w:cs="Times New Roman"/>
                <w:b/>
                <w:bCs/>
                <w:color w:val="000000"/>
                <w:kern w:val="0"/>
                <w:sz w:val="18"/>
                <w:szCs w:val="18"/>
              </w:rPr>
              <w:t>合计</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2.07</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30.41</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17.83</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9.54</w:t>
            </w:r>
          </w:p>
        </w:tc>
        <w:tc>
          <w:tcPr>
            <w:tcW w:w="37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59.86</w:t>
            </w:r>
          </w:p>
        </w:tc>
        <w:tc>
          <w:tcPr>
            <w:tcW w:w="43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122.21</w:t>
            </w:r>
          </w:p>
        </w:tc>
        <w:tc>
          <w:tcPr>
            <w:tcW w:w="3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90.07</w:t>
            </w:r>
          </w:p>
        </w:tc>
        <w:tc>
          <w:tcPr>
            <w:tcW w:w="32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7.19</w:t>
            </w:r>
          </w:p>
        </w:tc>
        <w:tc>
          <w:tcPr>
            <w:tcW w:w="4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219.47</w:t>
            </w:r>
          </w:p>
        </w:tc>
        <w:tc>
          <w:tcPr>
            <w:tcW w:w="61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等线" w:cs="Times New Roman"/>
                <w:color w:val="000000"/>
                <w:sz w:val="18"/>
                <w:szCs w:val="18"/>
              </w:rPr>
              <w:t>42.03</w:t>
            </w:r>
          </w:p>
        </w:tc>
        <w:tc>
          <w:tcPr>
            <w:tcW w:w="6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等线" w:cs="Times New Roman"/>
                <w:color w:val="000000"/>
                <w:sz w:val="18"/>
                <w:szCs w:val="18"/>
              </w:rPr>
              <w:t>321.36</w:t>
            </w:r>
          </w:p>
        </w:tc>
      </w:tr>
    </w:tbl>
    <w:p>
      <w:pPr>
        <w:pStyle w:val="4"/>
        <w:spacing w:before="156"/>
        <w:rPr>
          <w:rFonts w:eastAsia="仿宋_GB2312"/>
        </w:rPr>
      </w:pPr>
      <w:bookmarkStart w:id="247" w:name="_Toc117243237"/>
      <w:r>
        <w:rPr>
          <w:rFonts w:eastAsia="仿宋_GB2312"/>
        </w:rPr>
        <w:t>负荷影响</w:t>
      </w:r>
      <w:bookmarkEnd w:id="247"/>
    </w:p>
    <w:p>
      <w:pPr>
        <w:adjustRightInd w:val="0"/>
        <w:snapToGrid w:val="0"/>
        <w:ind w:firstLine="562"/>
        <w:rPr>
          <w:rFonts w:eastAsia="仿宋_GB2312" w:cs="Times New Roman"/>
          <w:b/>
          <w:bCs/>
        </w:rPr>
      </w:pPr>
      <w:r>
        <w:rPr>
          <w:rFonts w:eastAsia="仿宋_GB2312" w:cs="Times New Roman"/>
          <w:b/>
          <w:bCs/>
        </w:rPr>
        <w:t>1.对地区负荷影响</w:t>
      </w:r>
    </w:p>
    <w:p>
      <w:pPr>
        <w:adjustRightInd w:val="0"/>
        <w:snapToGrid w:val="0"/>
        <w:ind w:firstLine="560"/>
        <w:rPr>
          <w:rFonts w:eastAsia="仿宋_GB2312" w:cs="Times New Roman"/>
          <w:bCs/>
        </w:rPr>
      </w:pPr>
      <w:r>
        <w:rPr>
          <w:rFonts w:eastAsia="仿宋_GB2312" w:cs="Times New Roman"/>
        </w:rPr>
        <w:t>随着新能源汽车大量投入使用，新能源汽车充电也会给电网负荷的调节管理带来挑战。城市用电</w:t>
      </w:r>
      <w:r>
        <w:rPr>
          <w:rFonts w:hint="eastAsia" w:eastAsia="仿宋_GB2312" w:cs="Times New Roman"/>
        </w:rPr>
        <w:t>高</w:t>
      </w:r>
      <w:r>
        <w:rPr>
          <w:rFonts w:eastAsia="仿宋_GB2312" w:cs="Times New Roman"/>
        </w:rPr>
        <w:t>峰在白天，如果对新能源汽车充电不加以统筹管理，任由大量新能源汽车在白天</w:t>
      </w:r>
      <w:r>
        <w:rPr>
          <w:rFonts w:hint="eastAsia" w:eastAsia="仿宋_GB2312" w:cs="Times New Roman"/>
        </w:rPr>
        <w:t>用电高峰期</w:t>
      </w:r>
      <w:r>
        <w:rPr>
          <w:rFonts w:eastAsia="仿宋_GB2312" w:cs="Times New Roman"/>
        </w:rPr>
        <w:t>进行充</w:t>
      </w:r>
      <w:r>
        <w:rPr>
          <w:rFonts w:eastAsia="仿宋_GB2312" w:cs="Times New Roman"/>
          <w:bCs/>
        </w:rPr>
        <w:t>电，将进一步增大电网的峰时负荷，从而增大电网峰谷调节压力。</w:t>
      </w:r>
    </w:p>
    <w:p>
      <w:pPr>
        <w:adjustRightInd w:val="0"/>
        <w:snapToGrid w:val="0"/>
        <w:ind w:firstLine="560"/>
        <w:rPr>
          <w:rFonts w:eastAsia="仿宋_GB2312" w:cs="Times New Roman"/>
          <w:bCs/>
        </w:rPr>
      </w:pPr>
      <w:r>
        <w:rPr>
          <w:rFonts w:eastAsia="仿宋_GB2312" w:cs="Times New Roman"/>
          <w:bCs/>
        </w:rPr>
        <w:t>根据公交车、环卫车、物流车、私家车、公务车、出租车的充电负荷特性和充电周期，计算平均每天充电车辆数。其中私家车（90%自用桩慢充，10%快充补电）和公务车（70%慢充，30%快充）以慢充（7kW）为主快充（60kW）补电为辅，再通过不同类型和新能源车充电时长可估算出不同类型新能源车每天充电量，如下表所示。</w:t>
      </w:r>
    </w:p>
    <w:p>
      <w:pPr>
        <w:pStyle w:val="19"/>
        <w:adjustRightInd w:val="0"/>
        <w:snapToGrid w:val="0"/>
        <w:ind w:firstLine="360"/>
        <w:rPr>
          <w:rFonts w:eastAsia="仿宋_GB2312" w:cs="Times New Roman"/>
          <w:bCs/>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5</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t xml:space="preserve"> 不同类型新能源车充电量预测</w:t>
      </w:r>
    </w:p>
    <w:tbl>
      <w:tblPr>
        <w:tblStyle w:val="76"/>
        <w:tblW w:w="8513" w:type="dxa"/>
        <w:tblInd w:w="0" w:type="dxa"/>
        <w:tblLayout w:type="fixed"/>
        <w:tblCellMar>
          <w:top w:w="0" w:type="dxa"/>
          <w:left w:w="108" w:type="dxa"/>
          <w:bottom w:w="0" w:type="dxa"/>
          <w:right w:w="108" w:type="dxa"/>
        </w:tblCellMar>
      </w:tblPr>
      <w:tblGrid>
        <w:gridCol w:w="1013"/>
        <w:gridCol w:w="1017"/>
        <w:gridCol w:w="2109"/>
        <w:gridCol w:w="1104"/>
        <w:gridCol w:w="967"/>
        <w:gridCol w:w="1243"/>
        <w:gridCol w:w="1060"/>
      </w:tblGrid>
      <w:tr>
        <w:tblPrEx>
          <w:tblCellMar>
            <w:top w:w="0" w:type="dxa"/>
            <w:left w:w="108" w:type="dxa"/>
            <w:bottom w:w="0" w:type="dxa"/>
            <w:right w:w="108" w:type="dxa"/>
          </w:tblCellMar>
        </w:tblPrEx>
        <w:trPr>
          <w:tblHeader/>
        </w:trPr>
        <w:tc>
          <w:tcPr>
            <w:tcW w:w="101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新能源车类型</w:t>
            </w:r>
          </w:p>
        </w:tc>
        <w:tc>
          <w:tcPr>
            <w:tcW w:w="1017"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2025年保有量</w:t>
            </w:r>
            <w:r>
              <w:rPr>
                <w:rFonts w:hint="eastAsia" w:eastAsia="仿宋_GB2312" w:cs="Times New Roman"/>
                <w:b/>
                <w:bCs/>
                <w:color w:val="000000"/>
                <w:kern w:val="0"/>
                <w:sz w:val="18"/>
                <w:szCs w:val="18"/>
              </w:rPr>
              <w:t>（辆）</w:t>
            </w:r>
          </w:p>
        </w:tc>
        <w:tc>
          <w:tcPr>
            <w:tcW w:w="2109" w:type="dxa"/>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充电特性</w:t>
            </w:r>
          </w:p>
        </w:tc>
        <w:tc>
          <w:tcPr>
            <w:tcW w:w="1104"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平均每天充电车辆（辆）</w:t>
            </w:r>
          </w:p>
        </w:tc>
        <w:tc>
          <w:tcPr>
            <w:tcW w:w="967"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慢充负荷（kW）</w:t>
            </w:r>
          </w:p>
        </w:tc>
        <w:tc>
          <w:tcPr>
            <w:tcW w:w="1243"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快充负荷（kW）</w:t>
            </w:r>
          </w:p>
        </w:tc>
        <w:tc>
          <w:tcPr>
            <w:tcW w:w="1060"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每天充电电量（</w:t>
            </w:r>
            <w:r>
              <w:rPr>
                <w:rFonts w:hint="eastAsia" w:eastAsia="仿宋_GB2312" w:cs="Times New Roman"/>
                <w:b/>
                <w:bCs/>
                <w:color w:val="000000"/>
                <w:kern w:val="0"/>
                <w:sz w:val="18"/>
                <w:szCs w:val="18"/>
              </w:rPr>
              <w:t>万</w:t>
            </w:r>
            <w:r>
              <w:rPr>
                <w:rFonts w:eastAsia="仿宋_GB2312" w:cs="Times New Roman"/>
                <w:b/>
                <w:bCs/>
                <w:color w:val="000000"/>
                <w:kern w:val="0"/>
                <w:sz w:val="18"/>
                <w:szCs w:val="18"/>
              </w:rPr>
              <w:t>kWh）</w:t>
            </w:r>
          </w:p>
        </w:tc>
      </w:tr>
      <w:tr>
        <w:tblPrEx>
          <w:tblCellMar>
            <w:top w:w="0" w:type="dxa"/>
            <w:left w:w="108" w:type="dxa"/>
            <w:bottom w:w="0" w:type="dxa"/>
            <w:right w:w="108" w:type="dxa"/>
          </w:tblCellMar>
        </w:tblPrEx>
        <w:tc>
          <w:tcPr>
            <w:tcW w:w="1013" w:type="dxa"/>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公交车</w:t>
            </w:r>
          </w:p>
        </w:tc>
        <w:tc>
          <w:tcPr>
            <w:tcW w:w="1017"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1209</w:t>
            </w:r>
          </w:p>
        </w:tc>
        <w:tc>
          <w:tcPr>
            <w:tcW w:w="2109"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2天1充，快充3小时，22-6点</w:t>
            </w:r>
          </w:p>
        </w:tc>
        <w:tc>
          <w:tcPr>
            <w:tcW w:w="1104"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605</w:t>
            </w:r>
          </w:p>
        </w:tc>
        <w:tc>
          <w:tcPr>
            <w:tcW w:w="967"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w:t>
            </w:r>
          </w:p>
        </w:tc>
        <w:tc>
          <w:tcPr>
            <w:tcW w:w="124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72540</w:t>
            </w:r>
          </w:p>
        </w:tc>
        <w:tc>
          <w:tcPr>
            <w:tcW w:w="1060"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21.76</w:t>
            </w:r>
          </w:p>
        </w:tc>
      </w:tr>
      <w:tr>
        <w:tblPrEx>
          <w:tblCellMar>
            <w:top w:w="0" w:type="dxa"/>
            <w:left w:w="108" w:type="dxa"/>
            <w:bottom w:w="0" w:type="dxa"/>
            <w:right w:w="108" w:type="dxa"/>
          </w:tblCellMar>
        </w:tblPrEx>
        <w:tc>
          <w:tcPr>
            <w:tcW w:w="1013" w:type="dxa"/>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环卫车</w:t>
            </w:r>
          </w:p>
        </w:tc>
        <w:tc>
          <w:tcPr>
            <w:tcW w:w="1017"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312</w:t>
            </w:r>
          </w:p>
        </w:tc>
        <w:tc>
          <w:tcPr>
            <w:tcW w:w="2109"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1天1充，10:00-12:00，21:00-5:30，快充2h</w:t>
            </w:r>
          </w:p>
        </w:tc>
        <w:tc>
          <w:tcPr>
            <w:tcW w:w="1104"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312</w:t>
            </w:r>
          </w:p>
        </w:tc>
        <w:tc>
          <w:tcPr>
            <w:tcW w:w="967"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w:t>
            </w:r>
          </w:p>
        </w:tc>
        <w:tc>
          <w:tcPr>
            <w:tcW w:w="124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18720</w:t>
            </w:r>
          </w:p>
        </w:tc>
        <w:tc>
          <w:tcPr>
            <w:tcW w:w="1060"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3.74</w:t>
            </w:r>
          </w:p>
        </w:tc>
      </w:tr>
      <w:tr>
        <w:tc>
          <w:tcPr>
            <w:tcW w:w="1013" w:type="dxa"/>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物流车</w:t>
            </w:r>
          </w:p>
        </w:tc>
        <w:tc>
          <w:tcPr>
            <w:tcW w:w="1017"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810</w:t>
            </w:r>
          </w:p>
        </w:tc>
        <w:tc>
          <w:tcPr>
            <w:tcW w:w="2109"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3天1充，快充2.5h，11-1，4，22-6，</w:t>
            </w:r>
          </w:p>
        </w:tc>
        <w:tc>
          <w:tcPr>
            <w:tcW w:w="1104"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270</w:t>
            </w:r>
          </w:p>
        </w:tc>
        <w:tc>
          <w:tcPr>
            <w:tcW w:w="967"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w:t>
            </w:r>
          </w:p>
        </w:tc>
        <w:tc>
          <w:tcPr>
            <w:tcW w:w="124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16200</w:t>
            </w:r>
          </w:p>
        </w:tc>
        <w:tc>
          <w:tcPr>
            <w:tcW w:w="1060"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4.05</w:t>
            </w:r>
          </w:p>
        </w:tc>
      </w:tr>
      <w:tr>
        <w:tblPrEx>
          <w:tblCellMar>
            <w:top w:w="0" w:type="dxa"/>
            <w:left w:w="108" w:type="dxa"/>
            <w:bottom w:w="0" w:type="dxa"/>
            <w:right w:w="108" w:type="dxa"/>
          </w:tblCellMar>
        </w:tblPrEx>
        <w:tc>
          <w:tcPr>
            <w:tcW w:w="1013" w:type="dxa"/>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私家车</w:t>
            </w:r>
          </w:p>
        </w:tc>
        <w:tc>
          <w:tcPr>
            <w:tcW w:w="1017"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26046</w:t>
            </w:r>
          </w:p>
        </w:tc>
        <w:tc>
          <w:tcPr>
            <w:tcW w:w="2109"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7天一次，20:00-23:00；</w:t>
            </w:r>
          </w:p>
        </w:tc>
        <w:tc>
          <w:tcPr>
            <w:tcW w:w="1104"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3721</w:t>
            </w:r>
          </w:p>
        </w:tc>
        <w:tc>
          <w:tcPr>
            <w:tcW w:w="967"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23441</w:t>
            </w:r>
          </w:p>
        </w:tc>
        <w:tc>
          <w:tcPr>
            <w:tcW w:w="1243"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22325</w:t>
            </w:r>
          </w:p>
        </w:tc>
        <w:tc>
          <w:tcPr>
            <w:tcW w:w="1060"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29.02</w:t>
            </w:r>
          </w:p>
        </w:tc>
      </w:tr>
      <w:tr>
        <w:tblPrEx>
          <w:tblCellMar>
            <w:top w:w="0" w:type="dxa"/>
            <w:left w:w="108" w:type="dxa"/>
            <w:bottom w:w="0" w:type="dxa"/>
            <w:right w:w="108" w:type="dxa"/>
          </w:tblCellMar>
        </w:tblPrEx>
        <w:tc>
          <w:tcPr>
            <w:tcW w:w="1013" w:type="dxa"/>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公务车</w:t>
            </w:r>
          </w:p>
        </w:tc>
        <w:tc>
          <w:tcPr>
            <w:tcW w:w="1017"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1091</w:t>
            </w:r>
          </w:p>
        </w:tc>
        <w:tc>
          <w:tcPr>
            <w:tcW w:w="2109"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3天一次，20:00-23:00；快充2.h5慢充10h</w:t>
            </w:r>
          </w:p>
        </w:tc>
        <w:tc>
          <w:tcPr>
            <w:tcW w:w="1104"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364</w:t>
            </w:r>
          </w:p>
        </w:tc>
        <w:tc>
          <w:tcPr>
            <w:tcW w:w="967"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1782</w:t>
            </w:r>
          </w:p>
        </w:tc>
        <w:tc>
          <w:tcPr>
            <w:tcW w:w="1243"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6546</w:t>
            </w:r>
          </w:p>
        </w:tc>
        <w:tc>
          <w:tcPr>
            <w:tcW w:w="1060"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3.42</w:t>
            </w:r>
          </w:p>
        </w:tc>
      </w:tr>
      <w:tr>
        <w:tblPrEx>
          <w:tblCellMar>
            <w:top w:w="0" w:type="dxa"/>
            <w:left w:w="108" w:type="dxa"/>
            <w:bottom w:w="0" w:type="dxa"/>
            <w:right w:w="108" w:type="dxa"/>
          </w:tblCellMar>
        </w:tblPrEx>
        <w:tc>
          <w:tcPr>
            <w:tcW w:w="1013" w:type="dxa"/>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出租车</w:t>
            </w:r>
          </w:p>
        </w:tc>
        <w:tc>
          <w:tcPr>
            <w:tcW w:w="1017"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678</w:t>
            </w:r>
          </w:p>
        </w:tc>
        <w:tc>
          <w:tcPr>
            <w:tcW w:w="2109"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1天1充，23:00-3:00，3:00-7:00，16:00-19:00，快充2.5h</w:t>
            </w:r>
          </w:p>
        </w:tc>
        <w:tc>
          <w:tcPr>
            <w:tcW w:w="1104"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678</w:t>
            </w:r>
          </w:p>
        </w:tc>
        <w:tc>
          <w:tcPr>
            <w:tcW w:w="967"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0</w:t>
            </w:r>
          </w:p>
        </w:tc>
        <w:tc>
          <w:tcPr>
            <w:tcW w:w="1243"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40680</w:t>
            </w:r>
          </w:p>
        </w:tc>
        <w:tc>
          <w:tcPr>
            <w:tcW w:w="1060"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10.17</w:t>
            </w:r>
          </w:p>
        </w:tc>
      </w:tr>
    </w:tbl>
    <w:p>
      <w:pPr>
        <w:adjustRightInd w:val="0"/>
        <w:snapToGrid w:val="0"/>
        <w:spacing w:before="156" w:beforeLines="50"/>
        <w:ind w:firstLine="560"/>
        <w:rPr>
          <w:rFonts w:eastAsia="仿宋_GB2312" w:cs="Times New Roman"/>
          <w:bCs/>
        </w:rPr>
      </w:pPr>
      <w:r>
        <w:rPr>
          <w:rFonts w:eastAsia="仿宋_GB2312" w:cs="Times New Roman"/>
          <w:bCs/>
        </w:rPr>
        <w:t>结合前文分析的不同类型新能源车主要充电时间段，在每日充电电量为边界条件，分别赋予24小时内不同系数，预测典型日一天24小时的充电负荷值，在23点时负荷达到最大值为97.25MW，在早上8点时负荷是最小值为10.34MW。具体情况如</w:t>
      </w:r>
      <w:r>
        <w:rPr>
          <w:rFonts w:eastAsia="仿宋_GB2312" w:cs="Times New Roman"/>
          <w:bCs/>
        </w:rPr>
        <w:fldChar w:fldCharType="begin"/>
      </w:r>
      <w:r>
        <w:rPr>
          <w:rFonts w:eastAsia="仿宋_GB2312" w:cs="Times New Roman"/>
          <w:bCs/>
        </w:rPr>
        <w:instrText xml:space="preserve"> REF _Ref115441949 \h  \* MERGEFORMAT </w:instrText>
      </w:r>
      <w:r>
        <w:rPr>
          <w:rFonts w:eastAsia="仿宋_GB2312" w:cs="Times New Roman"/>
          <w:bCs/>
        </w:rPr>
        <w:fldChar w:fldCharType="separate"/>
      </w:r>
      <w:r>
        <w:rPr>
          <w:rFonts w:eastAsia="仿宋_GB2312" w:cs="Times New Roman"/>
        </w:rPr>
        <w:t>表 5</w:t>
      </w:r>
      <w:r>
        <w:rPr>
          <w:rFonts w:eastAsia="仿宋_GB2312" w:cs="Times New Roman"/>
        </w:rPr>
        <w:noBreakHyphen/>
      </w:r>
      <w:r>
        <w:rPr>
          <w:rFonts w:eastAsia="仿宋_GB2312" w:cs="Times New Roman"/>
        </w:rPr>
        <w:t>3</w:t>
      </w:r>
      <w:r>
        <w:rPr>
          <w:rFonts w:eastAsia="仿宋_GB2312" w:cs="Times New Roman"/>
          <w:bCs/>
        </w:rPr>
        <w:fldChar w:fldCharType="end"/>
      </w:r>
      <w:r>
        <w:rPr>
          <w:rFonts w:eastAsia="仿宋_GB2312" w:cs="Times New Roman"/>
          <w:bCs/>
        </w:rPr>
        <w:t>所示。</w:t>
      </w:r>
    </w:p>
    <w:p>
      <w:pPr>
        <w:pStyle w:val="19"/>
        <w:adjustRightInd w:val="0"/>
        <w:snapToGrid w:val="0"/>
        <w:rPr>
          <w:rFonts w:eastAsia="仿宋_GB2312" w:cs="Times New Roman"/>
        </w:rPr>
      </w:pPr>
      <w:bookmarkStart w:id="248" w:name="_Ref115441949"/>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5</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w:t>
      </w:r>
      <w:r>
        <w:rPr>
          <w:rFonts w:eastAsia="仿宋_GB2312" w:cs="Times New Roman"/>
        </w:rPr>
        <w:fldChar w:fldCharType="end"/>
      </w:r>
      <w:bookmarkEnd w:id="248"/>
      <w:r>
        <w:rPr>
          <w:rFonts w:eastAsia="仿宋_GB2312" w:cs="Times New Roman"/>
        </w:rPr>
        <w:t xml:space="preserve"> 充电负荷预测</w:t>
      </w:r>
    </w:p>
    <w:tbl>
      <w:tblPr>
        <w:tblStyle w:val="76"/>
        <w:tblW w:w="5000" w:type="pct"/>
        <w:jc w:val="center"/>
        <w:tblLayout w:type="autofit"/>
        <w:tblCellMar>
          <w:top w:w="0" w:type="dxa"/>
          <w:left w:w="0" w:type="dxa"/>
          <w:bottom w:w="0" w:type="dxa"/>
          <w:right w:w="0" w:type="dxa"/>
        </w:tblCellMar>
      </w:tblPr>
      <w:tblGrid>
        <w:gridCol w:w="1291"/>
        <w:gridCol w:w="640"/>
        <w:gridCol w:w="640"/>
        <w:gridCol w:w="625"/>
        <w:gridCol w:w="595"/>
        <w:gridCol w:w="527"/>
        <w:gridCol w:w="619"/>
        <w:gridCol w:w="551"/>
        <w:gridCol w:w="551"/>
        <w:gridCol w:w="565"/>
        <w:gridCol w:w="639"/>
        <w:gridCol w:w="537"/>
        <w:gridCol w:w="536"/>
      </w:tblGrid>
      <w:tr>
        <w:tblPrEx>
          <w:tblCellMar>
            <w:top w:w="0" w:type="dxa"/>
            <w:left w:w="0" w:type="dxa"/>
            <w:bottom w:w="0" w:type="dxa"/>
            <w:right w:w="0" w:type="dxa"/>
          </w:tblCellMar>
        </w:tblPrEx>
        <w:trPr>
          <w:trHeight w:val="246" w:hRule="atLeast"/>
          <w:tblHeader/>
          <w:jc w:val="center"/>
        </w:trPr>
        <w:tc>
          <w:tcPr>
            <w:tcW w:w="77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时间</w:t>
            </w:r>
          </w:p>
        </w:tc>
        <w:tc>
          <w:tcPr>
            <w:tcW w:w="385"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0点</w:t>
            </w:r>
          </w:p>
        </w:tc>
        <w:tc>
          <w:tcPr>
            <w:tcW w:w="385"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1点</w:t>
            </w:r>
          </w:p>
        </w:tc>
        <w:tc>
          <w:tcPr>
            <w:tcW w:w="376"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2点</w:t>
            </w:r>
          </w:p>
        </w:tc>
        <w:tc>
          <w:tcPr>
            <w:tcW w:w="35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3点</w:t>
            </w:r>
          </w:p>
        </w:tc>
        <w:tc>
          <w:tcPr>
            <w:tcW w:w="31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4点</w:t>
            </w:r>
          </w:p>
        </w:tc>
        <w:tc>
          <w:tcPr>
            <w:tcW w:w="372"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5点</w:t>
            </w:r>
          </w:p>
        </w:tc>
        <w:tc>
          <w:tcPr>
            <w:tcW w:w="331"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6点</w:t>
            </w:r>
          </w:p>
        </w:tc>
        <w:tc>
          <w:tcPr>
            <w:tcW w:w="331"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7点</w:t>
            </w:r>
          </w:p>
        </w:tc>
        <w:tc>
          <w:tcPr>
            <w:tcW w:w="34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8点</w:t>
            </w:r>
          </w:p>
        </w:tc>
        <w:tc>
          <w:tcPr>
            <w:tcW w:w="384"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9点</w:t>
            </w:r>
          </w:p>
        </w:tc>
        <w:tc>
          <w:tcPr>
            <w:tcW w:w="323"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10点</w:t>
            </w:r>
          </w:p>
        </w:tc>
        <w:tc>
          <w:tcPr>
            <w:tcW w:w="322"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11点</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公交充电负荷</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43.52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21.76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4.35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环卫车充电负荷</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0.75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1.12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3.00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3.74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7.49 </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物流车充电负荷</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2.43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1.62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1.62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0.81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0.41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0.41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0.41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0.41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0.41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0.41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2.43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4.05 </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私家车充电负荷</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43.53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29.02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11.61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8.71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公务车充电负荷</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0.34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0.34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0.34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0.34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0.34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0.34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0.34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0.34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0.68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1.71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1.37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1.71 </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出租车充电负荷</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1.02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1.02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3.05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5.09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6.10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8.14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6.10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5.09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3.05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1.02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1.02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1.02 </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汇总</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91.22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54.14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21.35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17.49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12.30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14.34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12.30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11.66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10.34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11.20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13.64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19.34 </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时间</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12点</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13点</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14点</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15点</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16点</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17点</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18点</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19点</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20点</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21点</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22点</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23点</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公交充电负荷</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2.18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4.35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4.35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21.76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39.17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43.52 </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环卫车充电负荷</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7.49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3.74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3.00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1.12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0.75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0.37 </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物流车充电负荷</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4.05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4.05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4.05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0.41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0.41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0.41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0.41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0.41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0.41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2.43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4.05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4.05 </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私家车充电负荷</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2.90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8.71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14.51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43.53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43.53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43.53 </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公务车充电负荷</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2.05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2.05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1.37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0.34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0.34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1.03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1.71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5.13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5.13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5.13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1.03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0.68 </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出租车充电负荷</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3.05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5.09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6.10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8.14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10.17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8.14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5.09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4.07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3.05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1.02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1.02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5.09 </w:t>
            </w:r>
          </w:p>
        </w:tc>
      </w:tr>
      <w:tr>
        <w:tblPrEx>
          <w:tblCellMar>
            <w:top w:w="0" w:type="dxa"/>
            <w:left w:w="0" w:type="dxa"/>
            <w:bottom w:w="0" w:type="dxa"/>
            <w:right w:w="0" w:type="dxa"/>
          </w:tblCellMar>
        </w:tblPrEx>
        <w:trPr>
          <w:trHeight w:val="246" w:hRule="atLeast"/>
          <w:jc w:val="center"/>
        </w:trPr>
        <w:tc>
          <w:tcPr>
            <w:tcW w:w="776" w:type="pct"/>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汇总</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21.72 </w:t>
            </w:r>
          </w:p>
        </w:tc>
        <w:tc>
          <w:tcPr>
            <w:tcW w:w="3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20.01 </w:t>
            </w:r>
          </w:p>
        </w:tc>
        <w:tc>
          <w:tcPr>
            <w:tcW w:w="376"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19.59 </w:t>
            </w:r>
          </w:p>
        </w:tc>
        <w:tc>
          <w:tcPr>
            <w:tcW w:w="35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15.08 </w:t>
            </w:r>
          </w:p>
        </w:tc>
        <w:tc>
          <w:tcPr>
            <w:tcW w:w="31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16.74 </w:t>
            </w:r>
          </w:p>
        </w:tc>
        <w:tc>
          <w:tcPr>
            <w:tcW w:w="37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15.02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12.65 </w:t>
            </w:r>
          </w:p>
        </w:tc>
        <w:tc>
          <w:tcPr>
            <w:tcW w:w="33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23.03 </w:t>
            </w:r>
          </w:p>
        </w:tc>
        <w:tc>
          <w:tcPr>
            <w:tcW w:w="34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27.82 </w:t>
            </w:r>
          </w:p>
        </w:tc>
        <w:tc>
          <w:tcPr>
            <w:tcW w:w="38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74.25 </w:t>
            </w:r>
          </w:p>
        </w:tc>
        <w:tc>
          <w:tcPr>
            <w:tcW w:w="32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89.17 </w:t>
            </w:r>
          </w:p>
        </w:tc>
        <w:tc>
          <w:tcPr>
            <w:tcW w:w="32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hint="eastAsia" w:eastAsia="仿宋_GB2312" w:cs="Times New Roman"/>
                <w:color w:val="000000"/>
                <w:sz w:val="18"/>
                <w:szCs w:val="18"/>
              </w:rPr>
              <w:t xml:space="preserve">97.25 </w:t>
            </w:r>
          </w:p>
        </w:tc>
      </w:tr>
    </w:tbl>
    <w:p>
      <w:pPr>
        <w:adjustRightInd w:val="0"/>
        <w:snapToGrid w:val="0"/>
        <w:spacing w:before="156" w:beforeLines="50"/>
        <w:ind w:firstLine="560"/>
        <w:rPr>
          <w:rFonts w:eastAsia="仿宋_GB2312" w:cs="Times New Roman"/>
          <w:bCs/>
        </w:rPr>
      </w:pPr>
      <w:bookmarkStart w:id="249" w:name="_Ref93997102"/>
      <w:r>
        <w:rPr>
          <w:rFonts w:eastAsia="仿宋_GB2312" w:cs="Times New Roman"/>
          <w:bCs/>
        </w:rPr>
        <w:t>将预测的充电设施负荷与2025年典型日负荷（根据2021版配电网规划中年均增长率7.2%进行预测）叠加，得出叠加后的负荷数据，叠加负荷最大值出现在21点，最大值为2702.23MW；叠加最小值出现在6点，最小值为1849.34MW，其中23点充电负荷占叠加负荷比例最大为3.80%。充电负荷高峰期处于20点-23点之间，主要原因为咸宁市新能源私家车占比大，私家车充电时间集中在19点以后，当充电完成之后，充电负荷呈现下降趋势。</w:t>
      </w:r>
    </w:p>
    <w:p>
      <w:pPr>
        <w:adjustRightInd w:val="0"/>
        <w:snapToGrid w:val="0"/>
        <w:ind w:firstLine="560"/>
        <w:rPr>
          <w:rFonts w:eastAsia="仿宋_GB2312" w:cs="Times New Roman"/>
          <w:bCs/>
        </w:rPr>
      </w:pPr>
      <w:r>
        <w:rPr>
          <w:rFonts w:eastAsia="仿宋_GB2312" w:cs="Times New Roman"/>
          <w:bCs/>
        </w:rPr>
        <w:t>典型日最大负荷在晚上21点，充电负荷高峰期在20点-23点之间，预估叠加后的典型日负荷峰谷差率原来的由30.1%上升至31.56%，</w:t>
      </w:r>
      <w:r>
        <w:rPr>
          <w:rFonts w:eastAsia="仿宋_GB2312" w:cs="Times New Roman"/>
        </w:rPr>
        <w:t>如不能采取相应措施降低负荷峰谷差率，将进一步增大电网的峰时负荷，从而增大电网峰谷调节压力。测算咸宁市2025年典型日负荷详细情况见</w:t>
      </w:r>
      <w:r>
        <w:rPr>
          <w:rFonts w:eastAsia="仿宋_GB2312" w:cs="Times New Roman"/>
        </w:rPr>
        <w:fldChar w:fldCharType="begin"/>
      </w:r>
      <w:r>
        <w:rPr>
          <w:rFonts w:eastAsia="仿宋_GB2312" w:cs="Times New Roman"/>
        </w:rPr>
        <w:instrText xml:space="preserve"> REF _Ref109827561 \h  \* MERGEFORMAT </w:instrText>
      </w:r>
      <w:r>
        <w:rPr>
          <w:rFonts w:eastAsia="仿宋_GB2312" w:cs="Times New Roman"/>
        </w:rPr>
        <w:fldChar w:fldCharType="separate"/>
      </w:r>
      <w:r>
        <w:rPr>
          <w:rFonts w:eastAsia="仿宋_GB2312" w:cs="Times New Roman"/>
        </w:rPr>
        <w:t>表 5</w:t>
      </w:r>
      <w:r>
        <w:rPr>
          <w:rFonts w:eastAsia="仿宋_GB2312" w:cs="Times New Roman"/>
        </w:rPr>
        <w:noBreakHyphen/>
      </w:r>
      <w:r>
        <w:rPr>
          <w:rFonts w:eastAsia="仿宋_GB2312" w:cs="Times New Roman"/>
        </w:rPr>
        <w:t>4</w:t>
      </w:r>
      <w:r>
        <w:rPr>
          <w:rFonts w:eastAsia="仿宋_GB2312" w:cs="Times New Roman"/>
        </w:rPr>
        <w:fldChar w:fldCharType="end"/>
      </w:r>
      <w:r>
        <w:rPr>
          <w:rFonts w:eastAsia="仿宋_GB2312" w:cs="Times New Roman"/>
        </w:rPr>
        <w:t>、</w:t>
      </w:r>
      <w:r>
        <w:rPr>
          <w:rFonts w:eastAsia="仿宋_GB2312" w:cs="Times New Roman"/>
        </w:rPr>
        <w:fldChar w:fldCharType="begin"/>
      </w:r>
      <w:r>
        <w:rPr>
          <w:rFonts w:eastAsia="仿宋_GB2312" w:cs="Times New Roman"/>
        </w:rPr>
        <w:instrText xml:space="preserve"> REF _Ref93997119 \h  \* MERGEFORMAT </w:instrText>
      </w:r>
      <w:r>
        <w:rPr>
          <w:rFonts w:eastAsia="仿宋_GB2312" w:cs="Times New Roman"/>
        </w:rPr>
        <w:fldChar w:fldCharType="separate"/>
      </w:r>
      <w:r>
        <w:rPr>
          <w:rFonts w:eastAsia="仿宋_GB2312" w:cs="Times New Roman"/>
        </w:rPr>
        <w:t>图 5</w:t>
      </w:r>
      <w:r>
        <w:rPr>
          <w:rFonts w:eastAsia="仿宋_GB2312" w:cs="Times New Roman"/>
        </w:rPr>
        <w:noBreakHyphen/>
      </w:r>
      <w:r>
        <w:rPr>
          <w:rFonts w:eastAsia="仿宋_GB2312" w:cs="Times New Roman"/>
        </w:rPr>
        <w:t>1</w:t>
      </w:r>
      <w:r>
        <w:rPr>
          <w:rFonts w:eastAsia="仿宋_GB2312" w:cs="Times New Roman"/>
        </w:rPr>
        <w:fldChar w:fldCharType="end"/>
      </w:r>
      <w:r>
        <w:rPr>
          <w:rFonts w:eastAsia="仿宋_GB2312" w:cs="Times New Roman"/>
        </w:rPr>
        <w:t xml:space="preserve">。 </w:t>
      </w:r>
    </w:p>
    <w:p>
      <w:pPr>
        <w:pStyle w:val="19"/>
        <w:adjustRightInd w:val="0"/>
        <w:snapToGrid w:val="0"/>
        <w:rPr>
          <w:rFonts w:eastAsia="仿宋_GB2312" w:cs="Times New Roman"/>
          <w:bCs/>
        </w:rPr>
      </w:pPr>
      <w:bookmarkStart w:id="250" w:name="_Ref109827561"/>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5</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4</w:t>
      </w:r>
      <w:r>
        <w:rPr>
          <w:rFonts w:eastAsia="仿宋_GB2312" w:cs="Times New Roman"/>
        </w:rPr>
        <w:fldChar w:fldCharType="end"/>
      </w:r>
      <w:bookmarkEnd w:id="249"/>
      <w:bookmarkEnd w:id="250"/>
      <w:r>
        <w:rPr>
          <w:rFonts w:eastAsia="仿宋_GB2312" w:cs="Times New Roman"/>
        </w:rPr>
        <w:t xml:space="preserve"> 咸宁市2025年典型日负荷</w:t>
      </w:r>
    </w:p>
    <w:tbl>
      <w:tblPr>
        <w:tblStyle w:val="76"/>
        <w:tblW w:w="5000" w:type="pct"/>
        <w:jc w:val="center"/>
        <w:tblLayout w:type="autofit"/>
        <w:tblCellMar>
          <w:top w:w="0" w:type="dxa"/>
          <w:left w:w="0" w:type="dxa"/>
          <w:bottom w:w="0" w:type="dxa"/>
          <w:right w:w="0" w:type="dxa"/>
        </w:tblCellMar>
      </w:tblPr>
      <w:tblGrid>
        <w:gridCol w:w="1778"/>
        <w:gridCol w:w="544"/>
        <w:gridCol w:w="544"/>
        <w:gridCol w:w="545"/>
        <w:gridCol w:w="545"/>
        <w:gridCol w:w="545"/>
        <w:gridCol w:w="545"/>
        <w:gridCol w:w="545"/>
        <w:gridCol w:w="545"/>
        <w:gridCol w:w="545"/>
        <w:gridCol w:w="545"/>
        <w:gridCol w:w="545"/>
        <w:gridCol w:w="545"/>
      </w:tblGrid>
      <w:tr>
        <w:tblPrEx>
          <w:tblCellMar>
            <w:top w:w="0" w:type="dxa"/>
            <w:left w:w="0" w:type="dxa"/>
            <w:bottom w:w="0" w:type="dxa"/>
            <w:right w:w="0" w:type="dxa"/>
          </w:tblCellMar>
        </w:tblPrEx>
        <w:trPr>
          <w:trHeight w:val="208" w:hRule="atLeast"/>
          <w:tblHeader/>
          <w:jc w:val="center"/>
        </w:trPr>
        <w:tc>
          <w:tcPr>
            <w:tcW w:w="107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时间</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0点</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1点</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2点</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3点</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4点</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5点</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6点</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7点</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8点</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9点</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10点</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11点</w:t>
            </w:r>
          </w:p>
        </w:tc>
      </w:tr>
      <w:tr>
        <w:tblPrEx>
          <w:tblCellMar>
            <w:top w:w="0" w:type="dxa"/>
            <w:left w:w="0" w:type="dxa"/>
            <w:bottom w:w="0" w:type="dxa"/>
            <w:right w:w="0" w:type="dxa"/>
          </w:tblCellMar>
        </w:tblPrEx>
        <w:trPr>
          <w:trHeight w:val="208" w:hRule="atLeast"/>
          <w:tblHeader/>
          <w:jc w:val="center"/>
        </w:trPr>
        <w:tc>
          <w:tcPr>
            <w:tcW w:w="1070"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2025年典型日负荷(MW)</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2385.60</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2232.51</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2232.51</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2053.91</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2002.88</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1888.07</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1837.04</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1862.56</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1977.37</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2028.40</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2245.27</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2283.54</w:t>
            </w:r>
          </w:p>
        </w:tc>
      </w:tr>
      <w:tr>
        <w:tblPrEx>
          <w:tblCellMar>
            <w:top w:w="0" w:type="dxa"/>
            <w:left w:w="0" w:type="dxa"/>
            <w:bottom w:w="0" w:type="dxa"/>
            <w:right w:w="0" w:type="dxa"/>
          </w:tblCellMar>
        </w:tblPrEx>
        <w:trPr>
          <w:trHeight w:val="171" w:hRule="atLeast"/>
          <w:tblHeader/>
          <w:jc w:val="center"/>
        </w:trPr>
        <w:tc>
          <w:tcPr>
            <w:tcW w:w="1070"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充电负荷汇总(MW)</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91.22</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54.14</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21.35</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17.49</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12.30</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14.34</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12.30</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11.66</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10.34</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11.20</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13.64</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19.34</w:t>
            </w:r>
          </w:p>
        </w:tc>
      </w:tr>
      <w:tr>
        <w:tblPrEx>
          <w:tblCellMar>
            <w:top w:w="0" w:type="dxa"/>
            <w:left w:w="0" w:type="dxa"/>
            <w:bottom w:w="0" w:type="dxa"/>
            <w:right w:w="0" w:type="dxa"/>
          </w:tblCellMar>
        </w:tblPrEx>
        <w:trPr>
          <w:trHeight w:val="208" w:hRule="atLeast"/>
          <w:tblHeader/>
          <w:jc w:val="center"/>
        </w:trPr>
        <w:tc>
          <w:tcPr>
            <w:tcW w:w="1070"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叠加后负荷(MW)</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2476.82</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2286.65</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2253.86</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2071.41</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2015.19</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1902.41</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1849.34</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1874.21</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1987.71</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2039.60</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2258.91</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2302.89</w:t>
            </w:r>
          </w:p>
        </w:tc>
      </w:tr>
      <w:tr>
        <w:tblPrEx>
          <w:tblCellMar>
            <w:top w:w="0" w:type="dxa"/>
            <w:left w:w="0" w:type="dxa"/>
            <w:bottom w:w="0" w:type="dxa"/>
            <w:right w:w="0" w:type="dxa"/>
          </w:tblCellMar>
        </w:tblPrEx>
        <w:trPr>
          <w:trHeight w:val="208" w:hRule="atLeast"/>
          <w:tblHeader/>
          <w:jc w:val="center"/>
        </w:trPr>
        <w:tc>
          <w:tcPr>
            <w:tcW w:w="1070"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充电负荷占比(%)</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3.68</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2.37</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0.95</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0.84</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0.61</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0.75</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0.67</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0.62</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0.52</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0.55</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0.60</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0.84</w:t>
            </w:r>
          </w:p>
        </w:tc>
      </w:tr>
      <w:tr>
        <w:tblPrEx>
          <w:tblCellMar>
            <w:top w:w="0" w:type="dxa"/>
            <w:left w:w="0" w:type="dxa"/>
            <w:bottom w:w="0" w:type="dxa"/>
            <w:right w:w="0" w:type="dxa"/>
          </w:tblCellMar>
        </w:tblPrEx>
        <w:trPr>
          <w:trHeight w:val="208" w:hRule="atLeast"/>
          <w:tblHeader/>
          <w:jc w:val="center"/>
        </w:trPr>
        <w:tc>
          <w:tcPr>
            <w:tcW w:w="1070"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时间</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12点</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13点</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14点</w:t>
            </w:r>
          </w:p>
        </w:tc>
        <w:tc>
          <w:tcPr>
            <w:tcW w:w="32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15点</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16点</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17点</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18点</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19点</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20点</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21点</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22点</w:t>
            </w:r>
          </w:p>
        </w:tc>
        <w:tc>
          <w:tcPr>
            <w:tcW w:w="32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23点</w:t>
            </w:r>
          </w:p>
        </w:tc>
      </w:tr>
      <w:tr>
        <w:tblPrEx>
          <w:tblCellMar>
            <w:top w:w="0" w:type="dxa"/>
            <w:left w:w="0" w:type="dxa"/>
            <w:bottom w:w="0" w:type="dxa"/>
            <w:right w:w="0" w:type="dxa"/>
          </w:tblCellMar>
        </w:tblPrEx>
        <w:trPr>
          <w:trHeight w:val="208" w:hRule="atLeast"/>
          <w:tblHeader/>
          <w:jc w:val="center"/>
        </w:trPr>
        <w:tc>
          <w:tcPr>
            <w:tcW w:w="107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2025年典型日负荷(MW)</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2232.51</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2449.39</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2385.60</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2576.96</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2436.63</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2347.33</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2219.76</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2130.46</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2462.14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2627.99</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2602.47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2462.14</w:t>
            </w:r>
          </w:p>
        </w:tc>
      </w:tr>
      <w:tr>
        <w:tblPrEx>
          <w:tblCellMar>
            <w:top w:w="0" w:type="dxa"/>
            <w:left w:w="0" w:type="dxa"/>
            <w:bottom w:w="0" w:type="dxa"/>
            <w:right w:w="0" w:type="dxa"/>
          </w:tblCellMar>
        </w:tblPrEx>
        <w:trPr>
          <w:trHeight w:val="208" w:hRule="atLeast"/>
          <w:tblHeader/>
          <w:jc w:val="center"/>
        </w:trPr>
        <w:tc>
          <w:tcPr>
            <w:tcW w:w="107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充电负荷汇总(MW)</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21.72</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20.01</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19.59</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15.08</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16.74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15.02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12.65</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23.03</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27.82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74.25</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89.17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97.25</w:t>
            </w:r>
          </w:p>
        </w:tc>
      </w:tr>
      <w:tr>
        <w:tblPrEx>
          <w:tblCellMar>
            <w:top w:w="0" w:type="dxa"/>
            <w:left w:w="0" w:type="dxa"/>
            <w:bottom w:w="0" w:type="dxa"/>
            <w:right w:w="0" w:type="dxa"/>
          </w:tblCellMar>
        </w:tblPrEx>
        <w:trPr>
          <w:trHeight w:val="56" w:hRule="atLeast"/>
          <w:tblHeader/>
          <w:jc w:val="center"/>
        </w:trPr>
        <w:tc>
          <w:tcPr>
            <w:tcW w:w="107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叠加后负荷(MW)</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2254.23</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2469.40</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2405.19</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2592.04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2453.37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2362.35</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2232.41</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2153.49</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2489.97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2702.23</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2691.65</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2559.40</w:t>
            </w:r>
          </w:p>
        </w:tc>
      </w:tr>
      <w:tr>
        <w:tblPrEx>
          <w:tblCellMar>
            <w:top w:w="0" w:type="dxa"/>
            <w:left w:w="0" w:type="dxa"/>
            <w:bottom w:w="0" w:type="dxa"/>
            <w:right w:w="0" w:type="dxa"/>
          </w:tblCellMar>
        </w:tblPrEx>
        <w:trPr>
          <w:trHeight w:val="208" w:hRule="atLeast"/>
          <w:jc w:val="center"/>
        </w:trPr>
        <w:tc>
          <w:tcPr>
            <w:tcW w:w="107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18"/>
                <w:szCs w:val="18"/>
              </w:rPr>
            </w:pPr>
            <w:r>
              <w:rPr>
                <w:rFonts w:eastAsia="仿宋_GB2312" w:cs="Times New Roman"/>
                <w:color w:val="000000"/>
                <w:sz w:val="18"/>
                <w:szCs w:val="18"/>
              </w:rPr>
              <w:t>充电负荷占比(%)</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0.96</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0.81</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0.81</w:t>
            </w:r>
          </w:p>
        </w:tc>
        <w:tc>
          <w:tcPr>
            <w:tcW w:w="328"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0.58</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0.68</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0.64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0.57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1.07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1.12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2.75</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3.31</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sz w:val="18"/>
                <w:szCs w:val="18"/>
              </w:rPr>
            </w:pPr>
            <w:r>
              <w:rPr>
                <w:rFonts w:eastAsia="仿宋_GB2312" w:cs="Times New Roman"/>
                <w:color w:val="000000"/>
                <w:sz w:val="18"/>
                <w:szCs w:val="18"/>
              </w:rPr>
              <w:t>3.80</w:t>
            </w:r>
          </w:p>
        </w:tc>
      </w:tr>
    </w:tbl>
    <w:p>
      <w:pPr>
        <w:adjustRightInd w:val="0"/>
        <w:snapToGrid w:val="0"/>
        <w:ind w:firstLine="0" w:firstLineChars="0"/>
        <w:jc w:val="center"/>
        <w:rPr>
          <w:rFonts w:eastAsia="仿宋_GB2312" w:cs="Times New Roman"/>
          <w:b/>
          <w:bCs/>
        </w:rPr>
      </w:pPr>
      <w:r>
        <w:drawing>
          <wp:inline distT="0" distB="0" distL="0" distR="0">
            <wp:extent cx="5212715" cy="2683510"/>
            <wp:effectExtent l="0" t="0" r="6985" b="2540"/>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pPr>
        <w:pStyle w:val="19"/>
        <w:adjustRightInd w:val="0"/>
        <w:snapToGrid w:val="0"/>
        <w:rPr>
          <w:rFonts w:eastAsia="仿宋_GB2312" w:cs="Times New Roman"/>
          <w:b w:val="0"/>
          <w:bCs/>
        </w:rPr>
      </w:pPr>
      <w:bookmarkStart w:id="251" w:name="_Ref93997119"/>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5</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bookmarkEnd w:id="251"/>
      <w:r>
        <w:rPr>
          <w:rFonts w:eastAsia="仿宋_GB2312" w:cs="Times New Roman"/>
        </w:rPr>
        <w:t xml:space="preserve"> 咸宁市2025年典型日叠加负荷</w:t>
      </w:r>
    </w:p>
    <w:p>
      <w:pPr>
        <w:pStyle w:val="3"/>
        <w:adjustRightInd w:val="0"/>
        <w:rPr>
          <w:rFonts w:eastAsia="仿宋_GB2312" w:cs="Times New Roman"/>
        </w:rPr>
      </w:pPr>
      <w:bookmarkStart w:id="252" w:name="_Toc117243238"/>
      <w:r>
        <w:rPr>
          <w:rFonts w:eastAsia="仿宋_GB2312" w:cs="Times New Roman"/>
        </w:rPr>
        <w:t>保障措施</w:t>
      </w:r>
      <w:bookmarkEnd w:id="252"/>
    </w:p>
    <w:p>
      <w:pPr>
        <w:adjustRightInd w:val="0"/>
        <w:snapToGrid w:val="0"/>
        <w:ind w:firstLine="560"/>
        <w:rPr>
          <w:rFonts w:eastAsia="仿宋_GB2312" w:cs="Times New Roman"/>
        </w:rPr>
      </w:pPr>
      <w:r>
        <w:rPr>
          <w:rFonts w:eastAsia="仿宋_GB2312" w:cs="Times New Roman"/>
        </w:rPr>
        <w:t>以政府为主导，建立和规范市场准入标准，鼓励社会资本参与新能源汽车生产和充电运营服务。大力推进新能源汽车配套基础设施建设，建立充换电网络体系，促进充电设施的便利化和网络化。各有关部门把充电设施建设优先纳入城乡建设总体规划，建立有效协调</w:t>
      </w:r>
      <w:r>
        <w:rPr>
          <w:rFonts w:hint="eastAsia" w:eastAsia="仿宋_GB2312" w:cs="Times New Roman"/>
        </w:rPr>
        <w:t>机制</w:t>
      </w:r>
      <w:r>
        <w:rPr>
          <w:rFonts w:eastAsia="仿宋_GB2312" w:cs="Times New Roman"/>
        </w:rPr>
        <w:t>，制定完善配套措施，为充电设施的建设运营提供优质高效的服务。</w:t>
      </w:r>
    </w:p>
    <w:p>
      <w:pPr>
        <w:pStyle w:val="4"/>
        <w:spacing w:before="156"/>
        <w:rPr>
          <w:rFonts w:eastAsia="仿宋_GB2312"/>
        </w:rPr>
      </w:pPr>
      <w:bookmarkStart w:id="253" w:name="_Toc117243239"/>
      <w:r>
        <w:rPr>
          <w:rFonts w:eastAsia="仿宋_GB2312"/>
        </w:rPr>
        <w:t>组织</w:t>
      </w:r>
      <w:r>
        <w:rPr>
          <w:rFonts w:hint="eastAsia" w:eastAsia="仿宋_GB2312"/>
        </w:rPr>
        <w:t>保障</w:t>
      </w:r>
      <w:bookmarkEnd w:id="253"/>
    </w:p>
    <w:p>
      <w:pPr>
        <w:adjustRightInd w:val="0"/>
        <w:snapToGrid w:val="0"/>
        <w:ind w:firstLine="560"/>
        <w:rPr>
          <w:rFonts w:eastAsia="仿宋_GB2312" w:cs="Times New Roman"/>
        </w:rPr>
      </w:pPr>
      <w:r>
        <w:rPr>
          <w:rFonts w:eastAsia="仿宋_GB2312" w:cs="Times New Roman"/>
        </w:rPr>
        <w:t>新能源汽车推广应用工作领导小组：协商土地供应计划，科学合理提出年度新能源汽车充换电设施建设用地计划，报市政府并抄送国土部门批准纳入年度土地供应计划</w:t>
      </w:r>
      <w:r>
        <w:rPr>
          <w:rFonts w:hint="eastAsia" w:eastAsia="仿宋_GB2312" w:cs="Times New Roman"/>
        </w:rPr>
        <w:t>。</w:t>
      </w:r>
    </w:p>
    <w:p>
      <w:pPr>
        <w:adjustRightInd w:val="0"/>
        <w:snapToGrid w:val="0"/>
        <w:ind w:firstLine="560"/>
        <w:rPr>
          <w:rFonts w:eastAsia="仿宋_GB2312" w:cs="Times New Roman"/>
        </w:rPr>
      </w:pPr>
      <w:r>
        <w:rPr>
          <w:rFonts w:eastAsia="仿宋_GB2312" w:cs="Times New Roman"/>
        </w:rPr>
        <w:t>国土局：按年度供应计划落实充换电设施建设用地的初步、征用工作。依据规划组织充换电设施用地划拨或招拍挂出让</w:t>
      </w:r>
      <w:r>
        <w:rPr>
          <w:rFonts w:hint="eastAsia" w:eastAsia="仿宋_GB2312" w:cs="Times New Roman"/>
        </w:rPr>
        <w:t>。</w:t>
      </w:r>
    </w:p>
    <w:p>
      <w:pPr>
        <w:adjustRightInd w:val="0"/>
        <w:snapToGrid w:val="0"/>
        <w:ind w:firstLine="560"/>
        <w:rPr>
          <w:rFonts w:eastAsia="仿宋_GB2312" w:cs="Times New Roman"/>
        </w:rPr>
      </w:pPr>
      <w:r>
        <w:rPr>
          <w:rFonts w:eastAsia="仿宋_GB2312" w:cs="Times New Roman"/>
        </w:rPr>
        <w:t>交通部门：以推广电动公交车、出租车为主</w:t>
      </w:r>
      <w:r>
        <w:rPr>
          <w:rFonts w:hint="eastAsia" w:eastAsia="仿宋_GB2312" w:cs="Times New Roman"/>
        </w:rPr>
        <w:t>。</w:t>
      </w:r>
    </w:p>
    <w:p>
      <w:pPr>
        <w:adjustRightInd w:val="0"/>
        <w:snapToGrid w:val="0"/>
        <w:ind w:firstLine="560"/>
        <w:rPr>
          <w:rFonts w:eastAsia="仿宋_GB2312" w:cs="Times New Roman"/>
        </w:rPr>
      </w:pPr>
      <w:r>
        <w:rPr>
          <w:rFonts w:eastAsia="仿宋_GB2312" w:cs="Times New Roman"/>
        </w:rPr>
        <w:t>财政部门：以推广电动公务车为主</w:t>
      </w:r>
      <w:r>
        <w:rPr>
          <w:rFonts w:hint="eastAsia" w:eastAsia="仿宋_GB2312" w:cs="Times New Roman"/>
        </w:rPr>
        <w:t>。</w:t>
      </w:r>
    </w:p>
    <w:p>
      <w:pPr>
        <w:adjustRightInd w:val="0"/>
        <w:snapToGrid w:val="0"/>
        <w:ind w:firstLine="560"/>
        <w:rPr>
          <w:rFonts w:eastAsia="仿宋_GB2312" w:cs="Times New Roman"/>
        </w:rPr>
      </w:pPr>
      <w:r>
        <w:rPr>
          <w:rFonts w:eastAsia="仿宋_GB2312" w:cs="Times New Roman"/>
        </w:rPr>
        <w:t>发改部门：拟定电动汽车充电设施发展规划及充电设施发展的相关工作；</w:t>
      </w:r>
    </w:p>
    <w:p>
      <w:pPr>
        <w:adjustRightInd w:val="0"/>
        <w:snapToGrid w:val="0"/>
        <w:ind w:firstLine="560"/>
        <w:rPr>
          <w:rFonts w:eastAsia="仿宋_GB2312" w:cs="Times New Roman"/>
        </w:rPr>
      </w:pPr>
      <w:r>
        <w:rPr>
          <w:rFonts w:eastAsia="仿宋_GB2312" w:cs="Times New Roman"/>
        </w:rPr>
        <w:t>城管部门：负责城市公共区域内充电设施及配套系统建设有关的管理和执法工作；</w:t>
      </w:r>
    </w:p>
    <w:p>
      <w:pPr>
        <w:adjustRightInd w:val="0"/>
        <w:snapToGrid w:val="0"/>
        <w:ind w:firstLine="560"/>
        <w:rPr>
          <w:rFonts w:eastAsia="仿宋_GB2312" w:cs="Times New Roman"/>
        </w:rPr>
      </w:pPr>
      <w:r>
        <w:rPr>
          <w:rFonts w:eastAsia="仿宋_GB2312" w:cs="Times New Roman"/>
        </w:rPr>
        <w:t>消防部门：负责充电设施及配套系统建设过程中的消防工作以及建设完成后消防验收工作；</w:t>
      </w:r>
    </w:p>
    <w:p>
      <w:pPr>
        <w:adjustRightInd w:val="0"/>
        <w:snapToGrid w:val="0"/>
        <w:ind w:firstLine="560"/>
        <w:rPr>
          <w:rFonts w:eastAsia="仿宋_GB2312" w:cs="Times New Roman"/>
        </w:rPr>
      </w:pPr>
      <w:r>
        <w:rPr>
          <w:rFonts w:eastAsia="仿宋_GB2312" w:cs="Times New Roman"/>
        </w:rPr>
        <w:t>环保部门：负责并监督充电设施及配套系统建设过程中文明施工及环境保护相关工作；</w:t>
      </w:r>
    </w:p>
    <w:p>
      <w:pPr>
        <w:adjustRightInd w:val="0"/>
        <w:snapToGrid w:val="0"/>
        <w:ind w:firstLine="560"/>
        <w:rPr>
          <w:rFonts w:eastAsia="仿宋_GB2312" w:cs="Times New Roman"/>
        </w:rPr>
      </w:pPr>
      <w:r>
        <w:rPr>
          <w:rFonts w:eastAsia="仿宋_GB2312" w:cs="Times New Roman"/>
        </w:rPr>
        <w:t>规划部门：</w:t>
      </w:r>
      <w:r>
        <w:rPr>
          <w:rFonts w:hint="eastAsia" w:eastAsia="仿宋_GB2312" w:cs="Times New Roman"/>
        </w:rPr>
        <w:t>将</w:t>
      </w:r>
      <w:r>
        <w:rPr>
          <w:rFonts w:eastAsia="仿宋_GB2312" w:cs="Times New Roman"/>
        </w:rPr>
        <w:t>电动汽车充电设施建设专项规划纳入总体规划。明确新建公建类项目就、住宅小区和社会公共停车场的充电桩配置要求；</w:t>
      </w:r>
    </w:p>
    <w:p>
      <w:pPr>
        <w:adjustRightInd w:val="0"/>
        <w:snapToGrid w:val="0"/>
        <w:ind w:firstLine="560"/>
        <w:rPr>
          <w:rFonts w:eastAsia="仿宋_GB2312" w:cs="Times New Roman"/>
        </w:rPr>
      </w:pPr>
      <w:r>
        <w:rPr>
          <w:rFonts w:eastAsia="仿宋_GB2312" w:cs="Times New Roman"/>
        </w:rPr>
        <w:t>电力部门：以加强配套电网建设为主，为充电设施接入电网提供保障。完善供电服务、引导新能源汽车有序充电。</w:t>
      </w:r>
    </w:p>
    <w:p>
      <w:pPr>
        <w:pStyle w:val="4"/>
        <w:spacing w:before="156"/>
        <w:rPr>
          <w:rFonts w:eastAsia="仿宋_GB2312"/>
        </w:rPr>
      </w:pPr>
      <w:bookmarkStart w:id="254" w:name="_Toc117243240"/>
      <w:r>
        <w:rPr>
          <w:rFonts w:eastAsia="仿宋_GB2312"/>
        </w:rPr>
        <w:t>管理措施</w:t>
      </w:r>
      <w:bookmarkEnd w:id="254"/>
    </w:p>
    <w:p>
      <w:pPr>
        <w:adjustRightInd w:val="0"/>
        <w:snapToGrid w:val="0"/>
        <w:ind w:firstLine="560"/>
        <w:rPr>
          <w:rFonts w:eastAsia="仿宋_GB2312" w:cs="Times New Roman"/>
        </w:rPr>
      </w:pPr>
      <w:r>
        <w:rPr>
          <w:rFonts w:eastAsia="仿宋_GB2312" w:cs="Times New Roman"/>
        </w:rPr>
        <w:t>（1）政策基础保障</w:t>
      </w:r>
    </w:p>
    <w:p>
      <w:pPr>
        <w:adjustRightInd w:val="0"/>
        <w:snapToGrid w:val="0"/>
        <w:ind w:firstLine="560"/>
        <w:rPr>
          <w:rFonts w:eastAsia="仿宋_GB2312" w:cs="Times New Roman"/>
        </w:rPr>
      </w:pPr>
      <w:r>
        <w:rPr>
          <w:rFonts w:eastAsia="仿宋_GB2312" w:cs="Times New Roman"/>
        </w:rPr>
        <w:t>完善充电设施标准体系建设，制定充电设施的基础标准、技术规范、监管细则等政策法规。完善充电设施用地政策及减免配套建设等优惠政策，将充电设施及服务系统建设项目列入当地重点工程，给与城市公用事业性质划拨用地，在用地指标、土地预留、土地征用等方面给予保障</w:t>
      </w:r>
      <w:r>
        <w:rPr>
          <w:rFonts w:hint="eastAsia" w:eastAsia="仿宋_GB2312" w:cs="Times New Roman"/>
        </w:rPr>
        <w:t>；</w:t>
      </w:r>
      <w:r>
        <w:rPr>
          <w:rFonts w:eastAsia="仿宋_GB2312" w:cs="Times New Roman"/>
        </w:rPr>
        <w:t>鼓励在现有停车场等现有建设用地上建设充电设施，并对建设运营给予必要补贴</w:t>
      </w:r>
      <w:r>
        <w:rPr>
          <w:rFonts w:hint="eastAsia" w:eastAsia="仿宋_GB2312" w:cs="Times New Roman"/>
        </w:rPr>
        <w:t>，</w:t>
      </w:r>
      <w:r>
        <w:rPr>
          <w:rFonts w:eastAsia="仿宋_GB2312" w:cs="Times New Roman"/>
        </w:rPr>
        <w:t>及时协调解决充电设施建设过程中可能遇到的选址等问题。</w:t>
      </w:r>
    </w:p>
    <w:p>
      <w:pPr>
        <w:adjustRightInd w:val="0"/>
        <w:snapToGrid w:val="0"/>
        <w:ind w:firstLine="560"/>
        <w:rPr>
          <w:rFonts w:eastAsia="仿宋_GB2312" w:cs="Times New Roman"/>
        </w:rPr>
      </w:pPr>
      <w:r>
        <w:rPr>
          <w:rFonts w:eastAsia="仿宋_GB2312" w:cs="Times New Roman"/>
        </w:rPr>
        <w:t>（2）规划</w:t>
      </w:r>
      <w:r>
        <w:rPr>
          <w:rFonts w:hint="eastAsia" w:eastAsia="仿宋_GB2312" w:cs="Times New Roman"/>
        </w:rPr>
        <w:t>落地</w:t>
      </w:r>
      <w:r>
        <w:rPr>
          <w:rFonts w:eastAsia="仿宋_GB2312" w:cs="Times New Roman"/>
        </w:rPr>
        <w:t>保障</w:t>
      </w:r>
    </w:p>
    <w:p>
      <w:pPr>
        <w:adjustRightInd w:val="0"/>
        <w:snapToGrid w:val="0"/>
        <w:ind w:firstLine="560"/>
        <w:rPr>
          <w:rFonts w:eastAsia="仿宋_GB2312" w:cs="Times New Roman"/>
        </w:rPr>
      </w:pPr>
      <w:r>
        <w:rPr>
          <w:rFonts w:eastAsia="仿宋_GB2312" w:cs="Times New Roman"/>
        </w:rPr>
        <w:t>将充电设施建设用地纳入土地利用总体规划，按照“加快步伐，实用优先，合理布点，内外兼顾”的原则选择站点。将充电设施建设和配套电网建设纳入城乡建设规划，完善相关工程建设标准，将充电设施布点、配套道路建设及供电线路通道在相关控制性详规中予以明确。</w:t>
      </w:r>
    </w:p>
    <w:p>
      <w:pPr>
        <w:adjustRightInd w:val="0"/>
        <w:snapToGrid w:val="0"/>
        <w:ind w:firstLine="560"/>
        <w:rPr>
          <w:rFonts w:eastAsia="仿宋_GB2312" w:cs="Times New Roman"/>
        </w:rPr>
      </w:pPr>
      <w:r>
        <w:rPr>
          <w:rFonts w:eastAsia="仿宋_GB2312" w:cs="Times New Roman"/>
        </w:rPr>
        <w:t>（3）财政扶持保障</w:t>
      </w:r>
    </w:p>
    <w:p>
      <w:pPr>
        <w:adjustRightInd w:val="0"/>
        <w:snapToGrid w:val="0"/>
        <w:ind w:firstLine="560"/>
        <w:rPr>
          <w:rFonts w:eastAsia="仿宋_GB2312" w:cs="Times New Roman"/>
        </w:rPr>
      </w:pPr>
      <w:r>
        <w:rPr>
          <w:rFonts w:eastAsia="仿宋_GB2312" w:cs="Times New Roman"/>
        </w:rPr>
        <w:t>进一步制定有效管理办法，探索建立分时段充电定价机制，积极吸引社会资金，鼓励社会资本进入充电设施建设领域，逐步实现充电设施建设和运营规范化、市场化、社会化。</w:t>
      </w:r>
    </w:p>
    <w:p>
      <w:pPr>
        <w:adjustRightInd w:val="0"/>
        <w:snapToGrid w:val="0"/>
        <w:ind w:firstLine="560"/>
        <w:rPr>
          <w:rFonts w:eastAsia="仿宋_GB2312" w:cs="Times New Roman"/>
        </w:rPr>
      </w:pPr>
      <w:r>
        <w:rPr>
          <w:rFonts w:eastAsia="仿宋_GB2312" w:cs="Times New Roman"/>
        </w:rPr>
        <w:t>（4）运营管理保障</w:t>
      </w:r>
    </w:p>
    <w:p>
      <w:pPr>
        <w:adjustRightInd w:val="0"/>
        <w:snapToGrid w:val="0"/>
        <w:ind w:firstLine="560"/>
        <w:rPr>
          <w:rFonts w:eastAsia="仿宋_GB2312" w:cs="Times New Roman"/>
        </w:rPr>
      </w:pPr>
      <w:r>
        <w:rPr>
          <w:rFonts w:eastAsia="仿宋_GB2312" w:cs="Times New Roman"/>
        </w:rPr>
        <w:t>创新运营管理模式，保障推广应用工作稳定推进。建立完善的管理制度，开展充电设施运行维护管理和运营模式、电池租赁商业模式的探索研究，深入分析充电设施建设与运营的关系，充分发挥市场主体和市场机制的作用，确保充电设施的安全运行。加快形成以使用者居住地、驻地停车位（基本车位）配建充电设施为主体，以城市公共停车位、临时停车位配建充电设施为辅助，以城市充电站、换电站为补充，数量适度超前、布局合理的充电设施服务体系。</w:t>
      </w:r>
    </w:p>
    <w:p>
      <w:pPr>
        <w:pStyle w:val="2"/>
        <w:rPr>
          <w:rFonts w:eastAsia="仿宋_GB2312" w:cs="Times New Roman"/>
        </w:rPr>
      </w:pPr>
      <w:bookmarkStart w:id="255" w:name="_Toc117243241"/>
      <w:r>
        <w:rPr>
          <w:rFonts w:eastAsia="仿宋_GB2312" w:cs="Times New Roman"/>
        </w:rPr>
        <w:t>典型场景及设施共享</w:t>
      </w:r>
      <w:bookmarkEnd w:id="255"/>
    </w:p>
    <w:p>
      <w:pPr>
        <w:adjustRightInd w:val="0"/>
        <w:snapToGrid w:val="0"/>
        <w:ind w:firstLine="560"/>
        <w:rPr>
          <w:rFonts w:eastAsia="仿宋_GB2312" w:cs="Times New Roman"/>
        </w:rPr>
      </w:pPr>
      <w:r>
        <w:rPr>
          <w:rFonts w:hint="eastAsia" w:eastAsia="仿宋_GB2312" w:cs="Times New Roman"/>
        </w:rPr>
        <w:t>随着新能源汽车及充电设施的迅速发展，充电设施设备利用率低问题日益突出。造成该问题的原因主要有两方面，一是前期建设缺少统一规划造成布局不合理，二是公用、专用充电设施缺少统筹协同管理思想。为提升充电设施利用效率，可根据不同类型充换电设施的不同充电特性，分别进行不同场景设计，实现协同共享</w:t>
      </w:r>
      <w:r>
        <w:rPr>
          <w:rFonts w:eastAsia="仿宋_GB2312" w:cs="Times New Roman"/>
        </w:rPr>
        <w:t>。</w:t>
      </w:r>
    </w:p>
    <w:p>
      <w:pPr>
        <w:pStyle w:val="3"/>
        <w:adjustRightInd w:val="0"/>
        <w:rPr>
          <w:rFonts w:eastAsia="仿宋_GB2312" w:cs="Times New Roman"/>
        </w:rPr>
      </w:pPr>
      <w:bookmarkStart w:id="256" w:name="_Toc100927428"/>
      <w:bookmarkStart w:id="257" w:name="_Toc117243242"/>
      <w:r>
        <w:rPr>
          <w:rFonts w:eastAsia="仿宋_GB2312" w:cs="Times New Roman"/>
        </w:rPr>
        <w:t>公用</w:t>
      </w:r>
      <w:bookmarkEnd w:id="256"/>
      <w:r>
        <w:rPr>
          <w:rFonts w:eastAsia="仿宋_GB2312" w:cs="Times New Roman"/>
        </w:rPr>
        <w:t>充电设施</w:t>
      </w:r>
      <w:bookmarkEnd w:id="257"/>
    </w:p>
    <w:p>
      <w:pPr>
        <w:adjustRightInd w:val="0"/>
        <w:snapToGrid w:val="0"/>
        <w:ind w:firstLine="560"/>
        <w:rPr>
          <w:rFonts w:eastAsia="仿宋_GB2312" w:cs="Times New Roman"/>
        </w:rPr>
      </w:pPr>
      <w:r>
        <w:rPr>
          <w:rFonts w:eastAsia="仿宋_GB2312" w:cs="Times New Roman"/>
        </w:rPr>
        <w:t>公用充换电站作为社会共用属性充电站，主要为城市出租车提供充电服务，同时兼顾为公务车、小型商务车、私家乘用车和小型厢式物流车等</w:t>
      </w:r>
      <w:r>
        <w:rPr>
          <w:rFonts w:hint="eastAsia" w:eastAsia="仿宋_GB2312" w:cs="Times New Roman"/>
        </w:rPr>
        <w:t>车辆提供充电服务</w:t>
      </w:r>
      <w:r>
        <w:rPr>
          <w:rFonts w:eastAsia="仿宋_GB2312" w:cs="Times New Roman"/>
        </w:rPr>
        <w:t>。</w:t>
      </w:r>
    </w:p>
    <w:p>
      <w:pPr>
        <w:adjustRightInd w:val="0"/>
        <w:snapToGrid w:val="0"/>
        <w:ind w:firstLine="562"/>
        <w:rPr>
          <w:rFonts w:eastAsia="仿宋_GB2312" w:cs="Times New Roman"/>
          <w:b/>
          <w:bCs/>
        </w:rPr>
      </w:pPr>
      <w:r>
        <w:rPr>
          <w:rFonts w:eastAsia="仿宋_GB2312" w:cs="Times New Roman"/>
          <w:b/>
          <w:bCs/>
        </w:rPr>
        <w:t>1.大型“光储充一体化”充电站</w:t>
      </w:r>
    </w:p>
    <w:p>
      <w:pPr>
        <w:adjustRightInd w:val="0"/>
        <w:snapToGrid w:val="0"/>
        <w:ind w:firstLine="560"/>
        <w:rPr>
          <w:rFonts w:eastAsia="仿宋_GB2312" w:cs="Times New Roman"/>
        </w:rPr>
      </w:pPr>
      <w:r>
        <w:rPr>
          <w:rFonts w:eastAsia="仿宋_GB2312" w:cs="Times New Roman"/>
        </w:rPr>
        <w:t>“光储充一体化”充电站可在电网低谷时间段内通过电网对储能充电，</w:t>
      </w:r>
      <w:r>
        <w:rPr>
          <w:rFonts w:hint="eastAsia" w:eastAsia="仿宋_GB2312" w:cs="Times New Roman"/>
        </w:rPr>
        <w:t>白天负荷高峰时段</w:t>
      </w:r>
      <w:r>
        <w:rPr>
          <w:rFonts w:eastAsia="仿宋_GB2312" w:cs="Times New Roman"/>
        </w:rPr>
        <w:t>可利用顶棚光伏和储能对新能源汽车充电，减小电网负荷，达到削峰填谷的目的。适用于充电需求量大的大型露天公共停车场， 近期可在市中心选择合适站点作为试点，远期可根据情况推广。</w:t>
      </w:r>
    </w:p>
    <w:p>
      <w:pPr>
        <w:adjustRightInd w:val="0"/>
        <w:snapToGrid w:val="0"/>
        <w:ind w:firstLine="560"/>
        <w:rPr>
          <w:rFonts w:eastAsia="仿宋_GB2312" w:cs="Times New Roman"/>
        </w:rPr>
      </w:pPr>
      <w:r>
        <w:rPr>
          <w:rFonts w:eastAsia="仿宋_GB2312" w:cs="Times New Roman"/>
        </w:rPr>
        <w:t>大型“光储充一体化”充电站内建有休息室、商业超市及卫生间，方便车主休息；同时建有配电室、监控室、箱变和储能、光伏顶棚，所有车位均配置快充桩，其中120kW快充桩（1机2充）与60kW快充桩按约为1：3比例配置，以便大型车辆快速充电。</w:t>
      </w:r>
    </w:p>
    <w:p>
      <w:pPr>
        <w:adjustRightInd w:val="0"/>
        <w:snapToGrid w:val="0"/>
        <w:ind w:firstLine="0" w:firstLineChars="0"/>
        <w:jc w:val="center"/>
        <w:rPr>
          <w:rFonts w:eastAsia="仿宋_GB2312" w:cs="Times New Roman"/>
        </w:rPr>
      </w:pPr>
      <w:r>
        <w:rPr>
          <w:rFonts w:eastAsia="仿宋_GB2312" w:cs="Times New Roman"/>
        </w:rPr>
        <w:drawing>
          <wp:inline distT="0" distB="0" distL="0" distR="0">
            <wp:extent cx="5243830" cy="1684020"/>
            <wp:effectExtent l="0" t="0" r="0" b="0"/>
            <wp:docPr id="57" name="图片 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true" noChangeArrowheads="true"/>
                    </pic:cNvPicPr>
                  </pic:nvPicPr>
                  <pic:blipFill>
                    <a:blip r:embed="rId247" cstate="print">
                      <a:extLst>
                        <a:ext uri="{28A0092B-C50C-407E-A947-70E740481C1C}">
                          <a14:useLocalDpi xmlns:a14="http://schemas.microsoft.com/office/drawing/2010/main" val="false"/>
                        </a:ext>
                      </a:extLst>
                    </a:blip>
                    <a:srcRect l="7223" t="57622" r="6480" b="3156"/>
                    <a:stretch>
                      <a:fillRect/>
                    </a:stretch>
                  </pic:blipFill>
                  <pic:spPr>
                    <a:xfrm>
                      <a:off x="0" y="0"/>
                      <a:ext cx="5267303" cy="1691629"/>
                    </a:xfrm>
                    <a:prstGeom prst="rect">
                      <a:avLst/>
                    </a:prstGeom>
                    <a:noFill/>
                    <a:ln>
                      <a:noFill/>
                    </a:ln>
                  </pic:spPr>
                </pic:pic>
              </a:graphicData>
            </a:graphic>
          </wp:inline>
        </w:drawing>
      </w:r>
    </w:p>
    <w:p>
      <w:pPr>
        <w:pStyle w:val="19"/>
        <w:adjustRightInd w:val="0"/>
        <w:snapToGrid w:val="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r>
        <w:rPr>
          <w:rFonts w:eastAsia="仿宋_GB2312" w:cs="Times New Roman"/>
        </w:rPr>
        <w:t xml:space="preserve"> “光储充一体化”充电站 布置图</w:t>
      </w:r>
    </w:p>
    <w:p>
      <w:pPr>
        <w:adjustRightInd w:val="0"/>
        <w:snapToGrid w:val="0"/>
        <w:ind w:firstLine="562"/>
        <w:rPr>
          <w:rFonts w:eastAsia="仿宋_GB2312" w:cs="Times New Roman"/>
          <w:b/>
          <w:bCs/>
        </w:rPr>
      </w:pPr>
      <w:r>
        <w:rPr>
          <w:rFonts w:eastAsia="仿宋_GB2312" w:cs="Times New Roman"/>
          <w:b/>
          <w:bCs/>
        </w:rPr>
        <w:t>2.换电站</w:t>
      </w:r>
    </w:p>
    <w:p>
      <w:pPr>
        <w:adjustRightInd w:val="0"/>
        <w:snapToGrid w:val="0"/>
        <w:ind w:firstLine="560"/>
        <w:rPr>
          <w:rFonts w:eastAsia="仿宋_GB2312" w:cs="Times New Roman"/>
        </w:rPr>
      </w:pPr>
      <w:r>
        <w:rPr>
          <w:rFonts w:eastAsia="仿宋_GB2312" w:cs="Times New Roman"/>
        </w:rPr>
        <w:t>目前换电站受政策、电池规格等多方面因素影响，暂未规模化推广，主要适用于一种或多种专用车型，地方政府或企业与车企合作引进车辆，同步建设换电站，如公交车、出租车等。</w:t>
      </w:r>
    </w:p>
    <w:p>
      <w:pPr>
        <w:adjustRightInd w:val="0"/>
        <w:snapToGrid w:val="0"/>
        <w:ind w:firstLine="560"/>
        <w:rPr>
          <w:rFonts w:eastAsia="仿宋_GB2312" w:cs="Times New Roman"/>
        </w:rPr>
      </w:pPr>
      <w:r>
        <w:rPr>
          <w:rFonts w:eastAsia="仿宋_GB2312" w:cs="Times New Roman"/>
        </w:rPr>
        <w:t>可选合适站点按2仓位16块电池设计，快充3小时充满，一天最多可服务128台新能源车，换电需求量不大时间段内备用仓位可作为储能实现电网负荷调节。</w:t>
      </w:r>
    </w:p>
    <w:p>
      <w:pPr>
        <w:adjustRightInd w:val="0"/>
        <w:snapToGrid w:val="0"/>
        <w:ind w:firstLine="0" w:firstLineChars="0"/>
        <w:jc w:val="center"/>
        <w:rPr>
          <w:rFonts w:eastAsia="仿宋_GB2312" w:cs="Times New Roman"/>
        </w:rPr>
      </w:pPr>
      <w:r>
        <w:rPr>
          <w:rFonts w:eastAsia="仿宋_GB2312" w:cs="Times New Roman"/>
        </w:rPr>
        <w:drawing>
          <wp:inline distT="0" distB="0" distL="0" distR="0">
            <wp:extent cx="5120640" cy="1761490"/>
            <wp:effectExtent l="0" t="0" r="3810" b="0"/>
            <wp:docPr id="59" name="图片 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true" noChangeArrowheads="true"/>
                    </pic:cNvPicPr>
                  </pic:nvPicPr>
                  <pic:blipFill>
                    <a:blip r:embed="rId248" cstate="print">
                      <a:extLst>
                        <a:ext uri="{28A0092B-C50C-407E-A947-70E740481C1C}">
                          <a14:useLocalDpi xmlns:a14="http://schemas.microsoft.com/office/drawing/2010/main" val="false"/>
                        </a:ext>
                      </a:extLst>
                    </a:blip>
                    <a:srcRect l="6446" t="53782" r="7642" b="4386"/>
                    <a:stretch>
                      <a:fillRect/>
                    </a:stretch>
                  </pic:blipFill>
                  <pic:spPr>
                    <a:xfrm>
                      <a:off x="0" y="0"/>
                      <a:ext cx="5162297" cy="1776420"/>
                    </a:xfrm>
                    <a:prstGeom prst="rect">
                      <a:avLst/>
                    </a:prstGeom>
                    <a:noFill/>
                    <a:ln>
                      <a:noFill/>
                    </a:ln>
                  </pic:spPr>
                </pic:pic>
              </a:graphicData>
            </a:graphic>
          </wp:inline>
        </w:drawing>
      </w:r>
    </w:p>
    <w:p>
      <w:pPr>
        <w:pStyle w:val="19"/>
        <w:adjustRightInd w:val="0"/>
        <w:snapToGrid w:val="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2</w:t>
      </w:r>
      <w:r>
        <w:rPr>
          <w:rFonts w:eastAsia="仿宋_GB2312" w:cs="Times New Roman"/>
        </w:rPr>
        <w:fldChar w:fldCharType="end"/>
      </w:r>
      <w:r>
        <w:rPr>
          <w:rFonts w:eastAsia="仿宋_GB2312" w:cs="Times New Roman"/>
        </w:rPr>
        <w:t xml:space="preserve"> 换电站布置图 </w:t>
      </w:r>
    </w:p>
    <w:p>
      <w:pPr>
        <w:adjustRightInd w:val="0"/>
        <w:snapToGrid w:val="0"/>
        <w:ind w:firstLine="562"/>
        <w:rPr>
          <w:rFonts w:eastAsia="仿宋_GB2312" w:cs="Times New Roman"/>
          <w:b/>
          <w:bCs/>
        </w:rPr>
      </w:pPr>
      <w:r>
        <w:rPr>
          <w:rFonts w:eastAsia="仿宋_GB2312" w:cs="Times New Roman"/>
          <w:b/>
          <w:bCs/>
        </w:rPr>
        <w:t>3.普通8车位充电站</w:t>
      </w:r>
    </w:p>
    <w:p>
      <w:pPr>
        <w:adjustRightInd w:val="0"/>
        <w:snapToGrid w:val="0"/>
        <w:ind w:firstLine="560"/>
        <w:rPr>
          <w:rFonts w:eastAsia="仿宋_GB2312" w:cs="Times New Roman"/>
        </w:rPr>
      </w:pPr>
      <w:r>
        <w:rPr>
          <w:rFonts w:eastAsia="仿宋_GB2312" w:cs="Times New Roman"/>
        </w:rPr>
        <w:t>公用充电站以8车位充电站为主，采用4台60kW和2台120kW（1机2枪）快充桩，既可满足小车充电需求，同时也具备中型车充电要求</w:t>
      </w:r>
      <w:r>
        <w:rPr>
          <w:rFonts w:hint="eastAsia" w:eastAsia="仿宋_GB2312" w:cs="Times New Roman"/>
        </w:rPr>
        <w:t>。</w:t>
      </w:r>
    </w:p>
    <w:p>
      <w:pPr>
        <w:adjustRightInd w:val="0"/>
        <w:snapToGrid w:val="0"/>
        <w:ind w:firstLine="0" w:firstLineChars="0"/>
        <w:rPr>
          <w:rFonts w:eastAsia="仿宋_GB2312" w:cs="Times New Roman"/>
        </w:rPr>
      </w:pPr>
      <w:r>
        <w:rPr>
          <w:rFonts w:eastAsia="仿宋_GB2312" w:cs="Times New Roman"/>
        </w:rPr>
        <w:drawing>
          <wp:inline distT="0" distB="0" distL="0" distR="0">
            <wp:extent cx="5219700" cy="3067685"/>
            <wp:effectExtent l="0" t="0" r="7620" b="10795"/>
            <wp:docPr id="60" name="图片 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true" noChangeArrowheads="true"/>
                    </pic:cNvPicPr>
                  </pic:nvPicPr>
                  <pic:blipFill>
                    <a:blip r:embed="rId249" cstate="print">
                      <a:extLst>
                        <a:ext uri="{28A0092B-C50C-407E-A947-70E740481C1C}">
                          <a14:useLocalDpi xmlns:a14="http://schemas.microsoft.com/office/drawing/2010/main" val="false"/>
                        </a:ext>
                      </a:extLst>
                    </a:blip>
                    <a:srcRect l="6645" t="21863" r="6092" b="5602"/>
                    <a:stretch>
                      <a:fillRect/>
                    </a:stretch>
                  </pic:blipFill>
                  <pic:spPr>
                    <a:xfrm>
                      <a:off x="0" y="0"/>
                      <a:ext cx="5227323" cy="3072350"/>
                    </a:xfrm>
                    <a:prstGeom prst="rect">
                      <a:avLst/>
                    </a:prstGeom>
                    <a:noFill/>
                    <a:ln>
                      <a:noFill/>
                    </a:ln>
                  </pic:spPr>
                </pic:pic>
              </a:graphicData>
            </a:graphic>
          </wp:inline>
        </w:drawing>
      </w:r>
    </w:p>
    <w:p>
      <w:pPr>
        <w:pStyle w:val="19"/>
        <w:adjustRightInd w:val="0"/>
        <w:snapToGrid w:val="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rPr>
        <w:t xml:space="preserve">  8车位单排充电站布置图 </w:t>
      </w:r>
    </w:p>
    <w:p>
      <w:pPr>
        <w:ind w:firstLine="560"/>
      </w:pPr>
    </w:p>
    <w:p>
      <w:pPr>
        <w:adjustRightInd w:val="0"/>
        <w:snapToGrid w:val="0"/>
        <w:ind w:firstLine="0" w:firstLineChars="0"/>
        <w:jc w:val="center"/>
        <w:rPr>
          <w:rFonts w:eastAsia="仿宋_GB2312" w:cs="Times New Roman"/>
        </w:rPr>
      </w:pPr>
      <w:r>
        <w:rPr>
          <w:rFonts w:eastAsia="仿宋_GB2312" w:cs="Times New Roman"/>
        </w:rPr>
        <w:drawing>
          <wp:inline distT="0" distB="0" distL="0" distR="0">
            <wp:extent cx="4004310" cy="4483100"/>
            <wp:effectExtent l="0" t="0" r="0" b="0"/>
            <wp:docPr id="62" name="图片 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true" noChangeArrowheads="true"/>
                    </pic:cNvPicPr>
                  </pic:nvPicPr>
                  <pic:blipFill>
                    <a:blip r:embed="rId250" cstate="print">
                      <a:extLst>
                        <a:ext uri="{28A0092B-C50C-407E-A947-70E740481C1C}">
                          <a14:useLocalDpi xmlns:a14="http://schemas.microsoft.com/office/drawing/2010/main" val="false"/>
                        </a:ext>
                      </a:extLst>
                    </a:blip>
                    <a:srcRect l="5731" t="3115" r="46544" b="4988"/>
                    <a:stretch>
                      <a:fillRect/>
                    </a:stretch>
                  </pic:blipFill>
                  <pic:spPr>
                    <a:xfrm>
                      <a:off x="0" y="0"/>
                      <a:ext cx="4016609" cy="4496492"/>
                    </a:xfrm>
                    <a:prstGeom prst="rect">
                      <a:avLst/>
                    </a:prstGeom>
                    <a:noFill/>
                    <a:ln>
                      <a:noFill/>
                    </a:ln>
                  </pic:spPr>
                </pic:pic>
              </a:graphicData>
            </a:graphic>
          </wp:inline>
        </w:drawing>
      </w:r>
    </w:p>
    <w:p>
      <w:pPr>
        <w:pStyle w:val="19"/>
        <w:adjustRightInd w:val="0"/>
        <w:snapToGrid w:val="0"/>
        <w:ind w:firstLine="36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4</w:t>
      </w:r>
      <w:r>
        <w:rPr>
          <w:rFonts w:eastAsia="仿宋_GB2312" w:cs="Times New Roman"/>
        </w:rPr>
        <w:fldChar w:fldCharType="end"/>
      </w:r>
      <w:r>
        <w:rPr>
          <w:rFonts w:eastAsia="仿宋_GB2312" w:cs="Times New Roman"/>
        </w:rPr>
        <w:t xml:space="preserve"> 8车位双排充电站布置图 </w:t>
      </w:r>
    </w:p>
    <w:p>
      <w:pPr>
        <w:pStyle w:val="3"/>
        <w:adjustRightInd w:val="0"/>
        <w:rPr>
          <w:rFonts w:eastAsia="仿宋_GB2312" w:cs="Times New Roman"/>
        </w:rPr>
      </w:pPr>
      <w:bookmarkStart w:id="258" w:name="_Toc100927429"/>
      <w:bookmarkStart w:id="259" w:name="_Toc117243243"/>
      <w:r>
        <w:rPr>
          <w:rFonts w:eastAsia="仿宋_GB2312" w:cs="Times New Roman"/>
        </w:rPr>
        <w:t>专用</w:t>
      </w:r>
      <w:bookmarkEnd w:id="258"/>
      <w:r>
        <w:rPr>
          <w:rFonts w:eastAsia="仿宋_GB2312" w:cs="Times New Roman"/>
        </w:rPr>
        <w:t>充电设施</w:t>
      </w:r>
      <w:bookmarkEnd w:id="259"/>
    </w:p>
    <w:p>
      <w:pPr>
        <w:adjustRightInd w:val="0"/>
        <w:snapToGrid w:val="0"/>
        <w:ind w:firstLine="562"/>
        <w:rPr>
          <w:rFonts w:eastAsia="仿宋_GB2312" w:cs="Times New Roman"/>
          <w:b/>
          <w:bCs/>
        </w:rPr>
      </w:pPr>
      <w:r>
        <w:rPr>
          <w:rFonts w:eastAsia="仿宋_GB2312" w:cs="Times New Roman"/>
          <w:b/>
          <w:bCs/>
        </w:rPr>
        <w:t>1.城市公交车充电站</w:t>
      </w:r>
    </w:p>
    <w:p>
      <w:pPr>
        <w:adjustRightInd w:val="0"/>
        <w:snapToGrid w:val="0"/>
        <w:spacing w:line="600" w:lineRule="exact"/>
        <w:ind w:firstLine="560"/>
        <w:rPr>
          <w:rFonts w:eastAsia="仿宋_GB2312" w:cs="Times New Roman"/>
        </w:rPr>
      </w:pPr>
      <w:r>
        <w:rPr>
          <w:rFonts w:eastAsia="仿宋_GB2312" w:cs="Times New Roman"/>
        </w:rPr>
        <w:t>主要为城市公交车提供充（换）电服务，共享区域同时兼顾出租车、网约车、小型商务车、私家乘用车和小型厢式物流车。</w:t>
      </w:r>
    </w:p>
    <w:p>
      <w:pPr>
        <w:adjustRightInd w:val="0"/>
        <w:snapToGrid w:val="0"/>
        <w:spacing w:line="600" w:lineRule="exact"/>
        <w:ind w:firstLine="560"/>
        <w:rPr>
          <w:rFonts w:eastAsia="仿宋_GB2312" w:cs="Times New Roman"/>
        </w:rPr>
      </w:pPr>
      <w:r>
        <w:rPr>
          <w:rFonts w:eastAsia="仿宋_GB2312" w:cs="Times New Roman"/>
        </w:rPr>
        <w:t>全部采用120kW（1机2枪）直流快充桩，</w:t>
      </w:r>
      <w:r>
        <w:rPr>
          <w:rFonts w:eastAsia="仿宋_GB2312" w:cs="Times New Roman"/>
          <w:bCs/>
        </w:rPr>
        <w:t>依据空间分布充电车位划分为公交专用充电车位和分时共享充电车位，共享充电车位在共享时间段内作为社会公共属性对外开放。</w:t>
      </w:r>
    </w:p>
    <w:p>
      <w:pPr>
        <w:adjustRightInd w:val="0"/>
        <w:snapToGrid w:val="0"/>
        <w:ind w:firstLine="0" w:firstLineChars="0"/>
        <w:rPr>
          <w:rFonts w:eastAsia="仿宋_GB2312" w:cs="Times New Roman"/>
          <w:b/>
          <w:bCs/>
        </w:rPr>
      </w:pPr>
      <w:r>
        <w:rPr>
          <w:rFonts w:eastAsia="仿宋_GB2312" w:cs="Times New Roman"/>
        </w:rPr>
        <w:drawing>
          <wp:inline distT="0" distB="0" distL="0" distR="0">
            <wp:extent cx="5260975" cy="2438400"/>
            <wp:effectExtent l="0" t="0" r="12065" b="0"/>
            <wp:docPr id="7170" name="图片 717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70" name="图片 7170"/>
                    <pic:cNvPicPr>
                      <a:picLocks noChangeAspect="true" noChangeArrowheads="true"/>
                    </pic:cNvPicPr>
                  </pic:nvPicPr>
                  <pic:blipFill>
                    <a:blip r:embed="rId251" cstate="print">
                      <a:extLst>
                        <a:ext uri="{28A0092B-C50C-407E-A947-70E740481C1C}">
                          <a14:useLocalDpi xmlns:a14="http://schemas.microsoft.com/office/drawing/2010/main" val="false"/>
                        </a:ext>
                      </a:extLst>
                    </a:blip>
                    <a:srcRect l="5490" t="38209" r="7537" b="4784"/>
                    <a:stretch>
                      <a:fillRect/>
                    </a:stretch>
                  </pic:blipFill>
                  <pic:spPr>
                    <a:xfrm>
                      <a:off x="0" y="0"/>
                      <a:ext cx="5265318" cy="2440239"/>
                    </a:xfrm>
                    <a:prstGeom prst="rect">
                      <a:avLst/>
                    </a:prstGeom>
                    <a:noFill/>
                    <a:ln>
                      <a:noFill/>
                    </a:ln>
                  </pic:spPr>
                </pic:pic>
              </a:graphicData>
            </a:graphic>
          </wp:inline>
        </w:drawing>
      </w:r>
    </w:p>
    <w:p>
      <w:pPr>
        <w:pStyle w:val="19"/>
        <w:adjustRightInd w:val="0"/>
        <w:snapToGrid w:val="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5</w:t>
      </w:r>
      <w:r>
        <w:rPr>
          <w:rFonts w:eastAsia="仿宋_GB2312" w:cs="Times New Roman"/>
        </w:rPr>
        <w:fldChar w:fldCharType="end"/>
      </w:r>
      <w:r>
        <w:rPr>
          <w:rFonts w:eastAsia="仿宋_GB2312" w:cs="Times New Roman"/>
        </w:rPr>
        <w:t xml:space="preserve"> 城市公交车充电站布置图</w:t>
      </w:r>
    </w:p>
    <w:p>
      <w:pPr>
        <w:adjustRightInd w:val="0"/>
        <w:snapToGrid w:val="0"/>
        <w:ind w:firstLine="562"/>
        <w:rPr>
          <w:rFonts w:eastAsia="仿宋_GB2312" w:cs="Times New Roman"/>
          <w:b/>
          <w:bCs/>
        </w:rPr>
      </w:pPr>
      <w:r>
        <w:rPr>
          <w:rFonts w:eastAsia="仿宋_GB2312" w:cs="Times New Roman"/>
          <w:b/>
          <w:bCs/>
        </w:rPr>
        <w:t>2.物流园充电站</w:t>
      </w:r>
    </w:p>
    <w:p>
      <w:pPr>
        <w:adjustRightInd w:val="0"/>
        <w:snapToGrid w:val="0"/>
        <w:ind w:firstLine="560"/>
        <w:rPr>
          <w:rFonts w:eastAsia="仿宋_GB2312" w:cs="Times New Roman"/>
        </w:rPr>
      </w:pPr>
      <w:r>
        <w:rPr>
          <w:rFonts w:eastAsia="仿宋_GB2312" w:cs="Times New Roman"/>
        </w:rPr>
        <w:t>主要为物流园区大、中、小型货运车辆提供充电服务，同时兼顾公务车、小型商务车、私家乘用车。</w:t>
      </w:r>
    </w:p>
    <w:p>
      <w:pPr>
        <w:adjustRightInd w:val="0"/>
        <w:snapToGrid w:val="0"/>
        <w:ind w:firstLine="560"/>
        <w:rPr>
          <w:rFonts w:eastAsia="仿宋_GB2312" w:cs="Times New Roman"/>
          <w:bCs/>
        </w:rPr>
      </w:pPr>
      <w:r>
        <w:rPr>
          <w:rFonts w:eastAsia="仿宋_GB2312" w:cs="Times New Roman"/>
        </w:rPr>
        <w:t>充电桩桩数及车位根据物流园区停车场车位数量及预测充电密度配置，充电区按单排或双排布置，全部采用直流快充桩</w:t>
      </w:r>
      <w:r>
        <w:rPr>
          <w:rFonts w:eastAsia="仿宋_GB2312" w:cs="Times New Roman"/>
          <w:bCs/>
        </w:rPr>
        <w:t>。</w:t>
      </w:r>
    </w:p>
    <w:p>
      <w:pPr>
        <w:adjustRightInd w:val="0"/>
        <w:snapToGrid w:val="0"/>
        <w:ind w:firstLine="0" w:firstLineChars="0"/>
        <w:jc w:val="left"/>
        <w:rPr>
          <w:rFonts w:eastAsia="仿宋_GB2312" w:cs="Times New Roman"/>
        </w:rPr>
      </w:pPr>
      <w:r>
        <w:rPr>
          <w:rFonts w:eastAsia="仿宋_GB2312" w:cs="Times New Roman"/>
        </w:rPr>
        <w:drawing>
          <wp:inline distT="0" distB="0" distL="0" distR="0">
            <wp:extent cx="5204460" cy="4592320"/>
            <wp:effectExtent l="0" t="0" r="7620" b="10160"/>
            <wp:docPr id="7183" name="图片 718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83" name="图片 7183"/>
                    <pic:cNvPicPr>
                      <a:picLocks noChangeAspect="true" noChangeArrowheads="true"/>
                    </pic:cNvPicPr>
                  </pic:nvPicPr>
                  <pic:blipFill>
                    <a:blip r:embed="rId252" cstate="print">
                      <a:extLst>
                        <a:ext uri="{28A0092B-C50C-407E-A947-70E740481C1C}">
                          <a14:useLocalDpi xmlns:a14="http://schemas.microsoft.com/office/drawing/2010/main" val="false"/>
                        </a:ext>
                      </a:extLst>
                    </a:blip>
                    <a:srcRect l="6357" t="3474" r="21117" b="6010"/>
                    <a:stretch>
                      <a:fillRect/>
                    </a:stretch>
                  </pic:blipFill>
                  <pic:spPr>
                    <a:xfrm>
                      <a:off x="0" y="0"/>
                      <a:ext cx="5212292" cy="4599692"/>
                    </a:xfrm>
                    <a:prstGeom prst="rect">
                      <a:avLst/>
                    </a:prstGeom>
                    <a:noFill/>
                    <a:ln>
                      <a:noFill/>
                    </a:ln>
                  </pic:spPr>
                </pic:pic>
              </a:graphicData>
            </a:graphic>
          </wp:inline>
        </w:drawing>
      </w:r>
    </w:p>
    <w:p>
      <w:pPr>
        <w:pStyle w:val="19"/>
        <w:adjustRightInd w:val="0"/>
        <w:snapToGrid w:val="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t xml:space="preserve"> 物流园充电站双排布置图</w:t>
      </w:r>
    </w:p>
    <w:p>
      <w:pPr>
        <w:adjustRightInd w:val="0"/>
        <w:snapToGrid w:val="0"/>
        <w:ind w:firstLine="0" w:firstLineChars="0"/>
        <w:rPr>
          <w:rFonts w:eastAsia="仿宋_GB2312" w:cs="Times New Roman"/>
        </w:rPr>
      </w:pPr>
      <w:r>
        <w:rPr>
          <w:rFonts w:eastAsia="仿宋_GB2312" w:cs="Times New Roman"/>
        </w:rPr>
        <w:drawing>
          <wp:inline distT="0" distB="0" distL="0" distR="0">
            <wp:extent cx="5205730" cy="1821180"/>
            <wp:effectExtent l="0" t="0" r="6350" b="7620"/>
            <wp:docPr id="7193" name="图片 719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93" name="图片 7193"/>
                    <pic:cNvPicPr>
                      <a:picLocks noChangeAspect="true" noChangeArrowheads="true"/>
                    </pic:cNvPicPr>
                  </pic:nvPicPr>
                  <pic:blipFill>
                    <a:blip r:embed="rId253" cstate="print">
                      <a:extLst>
                        <a:ext uri="{28A0092B-C50C-407E-A947-70E740481C1C}">
                          <a14:useLocalDpi xmlns:a14="http://schemas.microsoft.com/office/drawing/2010/main" val="false"/>
                        </a:ext>
                      </a:extLst>
                    </a:blip>
                    <a:srcRect l="6935" t="52103" r="5514" b="4581"/>
                    <a:stretch>
                      <a:fillRect/>
                    </a:stretch>
                  </pic:blipFill>
                  <pic:spPr>
                    <a:xfrm>
                      <a:off x="0" y="0"/>
                      <a:ext cx="5221180" cy="1826551"/>
                    </a:xfrm>
                    <a:prstGeom prst="rect">
                      <a:avLst/>
                    </a:prstGeom>
                    <a:noFill/>
                    <a:ln>
                      <a:noFill/>
                    </a:ln>
                  </pic:spPr>
                </pic:pic>
              </a:graphicData>
            </a:graphic>
          </wp:inline>
        </w:drawing>
      </w:r>
    </w:p>
    <w:p>
      <w:pPr>
        <w:pStyle w:val="19"/>
        <w:adjustRightInd w:val="0"/>
        <w:snapToGrid w:val="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7</w:t>
      </w:r>
      <w:r>
        <w:rPr>
          <w:rFonts w:eastAsia="仿宋_GB2312" w:cs="Times New Roman"/>
        </w:rPr>
        <w:fldChar w:fldCharType="end"/>
      </w:r>
      <w:r>
        <w:rPr>
          <w:rFonts w:eastAsia="仿宋_GB2312" w:cs="Times New Roman"/>
        </w:rPr>
        <w:t xml:space="preserve"> 物流园充电站单排排布置图</w:t>
      </w:r>
    </w:p>
    <w:p>
      <w:pPr>
        <w:pStyle w:val="3"/>
        <w:adjustRightInd w:val="0"/>
        <w:rPr>
          <w:rFonts w:eastAsia="仿宋_GB2312" w:cs="Times New Roman"/>
        </w:rPr>
      </w:pPr>
      <w:bookmarkStart w:id="260" w:name="_Toc117243244"/>
      <w:r>
        <w:rPr>
          <w:rFonts w:eastAsia="仿宋_GB2312" w:cs="Times New Roman"/>
        </w:rPr>
        <w:t>自用充电设施</w:t>
      </w:r>
      <w:bookmarkEnd w:id="260"/>
    </w:p>
    <w:p>
      <w:pPr>
        <w:adjustRightInd w:val="0"/>
        <w:snapToGrid w:val="0"/>
        <w:ind w:firstLine="560"/>
        <w:rPr>
          <w:rFonts w:eastAsia="仿宋_GB2312" w:cs="Times New Roman"/>
        </w:rPr>
      </w:pPr>
      <w:r>
        <w:rPr>
          <w:rFonts w:eastAsia="仿宋_GB2312" w:cs="Times New Roman"/>
        </w:rPr>
        <w:t>主要为</w:t>
      </w:r>
      <w:r>
        <w:rPr>
          <w:rFonts w:hint="eastAsia" w:eastAsia="仿宋_GB2312" w:cs="Times New Roman"/>
        </w:rPr>
        <w:t>居民小区</w:t>
      </w:r>
      <w:r>
        <w:rPr>
          <w:rFonts w:eastAsia="仿宋_GB2312" w:cs="Times New Roman"/>
        </w:rPr>
        <w:t>的私家乘用车提供充电</w:t>
      </w:r>
      <w:r>
        <w:rPr>
          <w:rFonts w:hint="eastAsia" w:eastAsia="仿宋_GB2312" w:cs="Times New Roman"/>
        </w:rPr>
        <w:t>服务</w:t>
      </w:r>
      <w:r>
        <w:rPr>
          <w:rFonts w:eastAsia="仿宋_GB2312" w:cs="Times New Roman"/>
        </w:rPr>
        <w:t>，同时兼顾为居住区居民驾驶的网约车、出租车及公务车提供充电服务。</w:t>
      </w:r>
    </w:p>
    <w:p>
      <w:pPr>
        <w:pStyle w:val="583"/>
        <w:ind w:firstLine="560"/>
        <w:rPr>
          <w:rFonts w:eastAsia="仿宋_GB2312"/>
        </w:rPr>
      </w:pPr>
      <w:r>
        <w:rPr>
          <w:rFonts w:eastAsia="仿宋_GB2312"/>
        </w:rPr>
        <w:t>地面充电站应按照 “直流快充+交流慢充”模式有序建设，地面共享式充电站可对外开放，充电桩按1个车位1枪</w:t>
      </w:r>
      <w:r>
        <w:rPr>
          <w:rFonts w:hint="eastAsia" w:eastAsia="仿宋_GB2312"/>
        </w:rPr>
        <w:t>或多</w:t>
      </w:r>
      <w:r>
        <w:rPr>
          <w:rFonts w:eastAsia="仿宋_GB2312"/>
        </w:rPr>
        <w:t>车位</w:t>
      </w:r>
      <w:r>
        <w:rPr>
          <w:rFonts w:hint="eastAsia" w:eastAsia="仿宋_GB2312"/>
        </w:rPr>
        <w:t>一桩</w:t>
      </w:r>
      <w:r>
        <w:rPr>
          <w:rFonts w:eastAsia="仿宋_GB2312"/>
        </w:rPr>
        <w:t>设置。地下停车场相对固定充电区域，专用区域按1个车位</w:t>
      </w:r>
      <w:r>
        <w:rPr>
          <w:rFonts w:hint="eastAsia" w:eastAsia="仿宋_GB2312"/>
        </w:rPr>
        <w:t>1台</w:t>
      </w:r>
      <w:r>
        <w:rPr>
          <w:rFonts w:eastAsia="仿宋_GB2312"/>
        </w:rPr>
        <w:t>交流充电桩设置或预留。</w:t>
      </w:r>
    </w:p>
    <w:p>
      <w:pPr>
        <w:pStyle w:val="583"/>
        <w:ind w:firstLine="0" w:firstLineChars="0"/>
        <w:rPr>
          <w:rFonts w:eastAsia="仿宋_GB2312"/>
        </w:rPr>
      </w:pPr>
      <w:r>
        <w:rPr>
          <w:rFonts w:eastAsia="仿宋_GB2312"/>
        </w:rPr>
        <w:drawing>
          <wp:inline distT="0" distB="0" distL="0" distR="0">
            <wp:extent cx="5204460" cy="3166745"/>
            <wp:effectExtent l="0" t="0" r="7620" b="3175"/>
            <wp:docPr id="7202" name="图片 72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02" name="图片 7202"/>
                    <pic:cNvPicPr>
                      <a:picLocks noChangeAspect="true" noChangeArrowheads="true"/>
                    </pic:cNvPicPr>
                  </pic:nvPicPr>
                  <pic:blipFill>
                    <a:blip r:embed="rId254" cstate="print">
                      <a:extLst>
                        <a:ext uri="{28A0092B-C50C-407E-A947-70E740481C1C}">
                          <a14:useLocalDpi xmlns:a14="http://schemas.microsoft.com/office/drawing/2010/main" val="false"/>
                        </a:ext>
                      </a:extLst>
                    </a:blip>
                    <a:srcRect l="7512" t="24724" r="7248" b="1924"/>
                    <a:stretch>
                      <a:fillRect/>
                    </a:stretch>
                  </pic:blipFill>
                  <pic:spPr>
                    <a:xfrm>
                      <a:off x="0" y="0"/>
                      <a:ext cx="5209014" cy="3169553"/>
                    </a:xfrm>
                    <a:prstGeom prst="rect">
                      <a:avLst/>
                    </a:prstGeom>
                    <a:noFill/>
                    <a:ln>
                      <a:noFill/>
                    </a:ln>
                  </pic:spPr>
                </pic:pic>
              </a:graphicData>
            </a:graphic>
          </wp:inline>
        </w:drawing>
      </w:r>
    </w:p>
    <w:p>
      <w:pPr>
        <w:pStyle w:val="19"/>
        <w:adjustRightInd w:val="0"/>
        <w:snapToGrid w:val="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8</w:t>
      </w:r>
      <w:r>
        <w:rPr>
          <w:rFonts w:eastAsia="仿宋_GB2312" w:cs="Times New Roman"/>
        </w:rPr>
        <w:fldChar w:fldCharType="end"/>
      </w:r>
      <w:r>
        <w:rPr>
          <w:rFonts w:eastAsia="仿宋_GB2312" w:cs="Times New Roman"/>
        </w:rPr>
        <w:t>居民地上共享充电站布置图</w:t>
      </w:r>
    </w:p>
    <w:p>
      <w:pPr>
        <w:adjustRightInd w:val="0"/>
        <w:snapToGrid w:val="0"/>
        <w:ind w:firstLine="0" w:firstLineChars="0"/>
        <w:rPr>
          <w:rFonts w:eastAsia="仿宋_GB2312" w:cs="Times New Roman"/>
        </w:rPr>
      </w:pPr>
      <w:r>
        <w:rPr>
          <w:rFonts w:eastAsia="仿宋_GB2312" w:cs="Times New Roman"/>
        </w:rPr>
        <w:drawing>
          <wp:inline distT="0" distB="0" distL="0" distR="0">
            <wp:extent cx="5265420" cy="2859405"/>
            <wp:effectExtent l="0" t="0" r="7620" b="5715"/>
            <wp:docPr id="7203" name="图片 72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03" name="图片 7203"/>
                    <pic:cNvPicPr>
                      <a:picLocks noChangeAspect="true" noChangeArrowheads="true"/>
                    </pic:cNvPicPr>
                  </pic:nvPicPr>
                  <pic:blipFill>
                    <a:blip r:embed="rId255" cstate="print">
                      <a:extLst>
                        <a:ext uri="{28A0092B-C50C-407E-A947-70E740481C1C}">
                          <a14:useLocalDpi xmlns:a14="http://schemas.microsoft.com/office/drawing/2010/main" val="false"/>
                        </a:ext>
                      </a:extLst>
                    </a:blip>
                    <a:srcRect l="9102" t="33305" r="5514" b="1106"/>
                    <a:stretch>
                      <a:fillRect/>
                    </a:stretch>
                  </pic:blipFill>
                  <pic:spPr>
                    <a:xfrm>
                      <a:off x="0" y="0"/>
                      <a:ext cx="5290042" cy="2873271"/>
                    </a:xfrm>
                    <a:prstGeom prst="rect">
                      <a:avLst/>
                    </a:prstGeom>
                    <a:noFill/>
                    <a:ln>
                      <a:noFill/>
                    </a:ln>
                  </pic:spPr>
                </pic:pic>
              </a:graphicData>
            </a:graphic>
          </wp:inline>
        </w:drawing>
      </w:r>
    </w:p>
    <w:p>
      <w:pPr>
        <w:pStyle w:val="19"/>
        <w:adjustRightInd w:val="0"/>
        <w:snapToGrid w:val="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9</w:t>
      </w:r>
      <w:r>
        <w:rPr>
          <w:rFonts w:eastAsia="仿宋_GB2312" w:cs="Times New Roman"/>
        </w:rPr>
        <w:fldChar w:fldCharType="end"/>
      </w:r>
      <w:r>
        <w:rPr>
          <w:rFonts w:eastAsia="仿宋_GB2312" w:cs="Times New Roman"/>
        </w:rPr>
        <w:t>居民小区地下充电站布置图</w:t>
      </w:r>
    </w:p>
    <w:p>
      <w:pPr>
        <w:pStyle w:val="3"/>
        <w:adjustRightInd w:val="0"/>
        <w:rPr>
          <w:rFonts w:eastAsia="仿宋_GB2312" w:cs="Times New Roman"/>
        </w:rPr>
      </w:pPr>
      <w:bookmarkStart w:id="261" w:name="_Toc117243245"/>
      <w:bookmarkStart w:id="262" w:name="_Toc100927431"/>
      <w:r>
        <w:rPr>
          <w:rFonts w:eastAsia="仿宋_GB2312" w:cs="Times New Roman"/>
        </w:rPr>
        <w:t>设施共享</w:t>
      </w:r>
      <w:bookmarkEnd w:id="261"/>
      <w:bookmarkEnd w:id="262"/>
    </w:p>
    <w:p>
      <w:pPr>
        <w:pStyle w:val="583"/>
        <w:ind w:firstLine="560"/>
        <w:rPr>
          <w:rFonts w:eastAsia="仿宋_GB2312"/>
        </w:rPr>
      </w:pPr>
      <w:r>
        <w:rPr>
          <w:rFonts w:eastAsia="仿宋_GB2312"/>
        </w:rPr>
        <w:t>公用、专用、自用充电设施协同共享体系的建立，为设施分时共享奠定基础。利用各类车辆充电时段的差异化特点，错峰分时共享不仅能提高各类充电设施的利用效率，更有利于全局的资源整合优化与系统最优。</w:t>
      </w:r>
    </w:p>
    <w:p>
      <w:pPr>
        <w:pStyle w:val="583"/>
        <w:ind w:firstLine="560"/>
        <w:rPr>
          <w:rFonts w:eastAsia="仿宋_GB2312"/>
        </w:rPr>
      </w:pPr>
      <w:r>
        <w:rPr>
          <w:rFonts w:eastAsia="仿宋_GB2312"/>
        </w:rPr>
        <w:t>根据调研数据，绘制新能源公交车、物流车、私家车和环卫车的主要充电时段分布图如</w:t>
      </w:r>
      <w:r>
        <w:rPr>
          <w:rFonts w:hint="eastAsia" w:eastAsia="仿宋_GB2312"/>
        </w:rPr>
        <w:t>下</w:t>
      </w:r>
      <w:r>
        <w:rPr>
          <w:rFonts w:eastAsia="仿宋_GB2312"/>
        </w:rPr>
        <w:t>图所示。</w:t>
      </w:r>
    </w:p>
    <w:p>
      <w:pPr>
        <w:pStyle w:val="583"/>
        <w:ind w:firstLine="0" w:firstLineChars="0"/>
        <w:jc w:val="center"/>
        <w:rPr>
          <w:rFonts w:eastAsia="仿宋_GB2312"/>
        </w:rPr>
      </w:pPr>
      <w:r>
        <w:rPr>
          <w:rFonts w:eastAsia="仿宋_GB2312"/>
        </w:rPr>
        <w:drawing>
          <wp:inline distT="0" distB="0" distL="0" distR="0">
            <wp:extent cx="3883660" cy="3975100"/>
            <wp:effectExtent l="0" t="0" r="0" b="0"/>
            <wp:docPr id="242" name="图片 2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true" noChangeArrowheads="true"/>
                    </pic:cNvPicPr>
                  </pic:nvPicPr>
                  <pic:blipFill>
                    <a:blip r:embed="rId256">
                      <a:extLst>
                        <a:ext uri="{28A0092B-C50C-407E-A947-70E740481C1C}">
                          <a14:useLocalDpi xmlns:a14="http://schemas.microsoft.com/office/drawing/2010/main" val="false"/>
                        </a:ext>
                      </a:extLst>
                    </a:blip>
                    <a:srcRect/>
                    <a:stretch>
                      <a:fillRect/>
                    </a:stretch>
                  </pic:blipFill>
                  <pic:spPr>
                    <a:xfrm>
                      <a:off x="0" y="0"/>
                      <a:ext cx="3883660" cy="3975100"/>
                    </a:xfrm>
                    <a:prstGeom prst="rect">
                      <a:avLst/>
                    </a:prstGeom>
                    <a:noFill/>
                  </pic:spPr>
                </pic:pic>
              </a:graphicData>
            </a:graphic>
          </wp:inline>
        </w:drawing>
      </w:r>
    </w:p>
    <w:p>
      <w:pPr>
        <w:pStyle w:val="19"/>
        <w:adjustRightInd w:val="0"/>
        <w:snapToGrid w:val="0"/>
        <w:rPr>
          <w:rFonts w:eastAsia="仿宋_GB2312" w:cs="Times New Roman"/>
        </w:rPr>
      </w:pPr>
      <w:r>
        <w:rPr>
          <w:rFonts w:eastAsia="仿宋_GB2312" w:cs="Times New Roman"/>
        </w:rPr>
        <w:t xml:space="preserve">图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图 \* ARABIC \s 1 </w:instrText>
      </w:r>
      <w:r>
        <w:rPr>
          <w:rFonts w:eastAsia="仿宋_GB2312" w:cs="Times New Roman"/>
        </w:rPr>
        <w:fldChar w:fldCharType="separate"/>
      </w:r>
      <w:r>
        <w:rPr>
          <w:rFonts w:eastAsia="仿宋_GB2312" w:cs="Times New Roman"/>
        </w:rPr>
        <w:t>10</w:t>
      </w:r>
      <w:r>
        <w:rPr>
          <w:rFonts w:eastAsia="仿宋_GB2312" w:cs="Times New Roman"/>
        </w:rPr>
        <w:fldChar w:fldCharType="end"/>
      </w:r>
      <w:r>
        <w:rPr>
          <w:rFonts w:eastAsia="仿宋_GB2312" w:cs="Times New Roman"/>
        </w:rPr>
        <w:t>不同类型车辆充电主要时段图</w:t>
      </w:r>
    </w:p>
    <w:p>
      <w:pPr>
        <w:pStyle w:val="583"/>
        <w:ind w:firstLine="560"/>
        <w:rPr>
          <w:rFonts w:eastAsia="仿宋_GB2312"/>
        </w:rPr>
      </w:pPr>
      <w:r>
        <w:rPr>
          <w:rFonts w:eastAsia="仿宋_GB2312"/>
        </w:rPr>
        <w:t>综合考虑充电时段和充电桩功率与类型，建议分时共享方案如下：</w:t>
      </w:r>
    </w:p>
    <w:p>
      <w:pPr>
        <w:pStyle w:val="583"/>
        <w:ind w:firstLine="562"/>
        <w:rPr>
          <w:rFonts w:eastAsia="仿宋_GB2312"/>
          <w:b/>
        </w:rPr>
      </w:pPr>
      <w:r>
        <w:rPr>
          <w:rFonts w:eastAsia="仿宋_GB2312"/>
          <w:b/>
        </w:rPr>
        <w:t>（1）公交停保场、枢纽站充换电站分时共享</w:t>
      </w:r>
    </w:p>
    <w:p>
      <w:pPr>
        <w:pStyle w:val="583"/>
        <w:ind w:firstLine="560"/>
        <w:rPr>
          <w:rFonts w:eastAsia="仿宋_GB2312"/>
        </w:rPr>
      </w:pPr>
      <w:r>
        <w:rPr>
          <w:rFonts w:eastAsia="仿宋_GB2312"/>
        </w:rPr>
        <w:t>新能源公交车的充电闲置时段可以兼顾为出租车、小型商务车、私家乘用车和小型厢式物流车提供充电服务。按照公交充换电站场景设计方案及充电特性分析，公交首末站、停保场、枢纽站共享充电桩在闲置时间段6：00至21：00可提供公用充电服务，能有效缓解出租车、网约车、小型商务车、私家乘用车和小型厢式物流车的充电压力。</w:t>
      </w:r>
    </w:p>
    <w:p>
      <w:pPr>
        <w:pStyle w:val="583"/>
        <w:ind w:firstLine="562"/>
        <w:rPr>
          <w:rFonts w:eastAsia="仿宋_GB2312"/>
          <w:b/>
        </w:rPr>
      </w:pPr>
      <w:r>
        <w:rPr>
          <w:rFonts w:eastAsia="仿宋_GB2312"/>
          <w:b/>
        </w:rPr>
        <w:t>（2）物流车充换电站分时共享</w:t>
      </w:r>
    </w:p>
    <w:p>
      <w:pPr>
        <w:pStyle w:val="583"/>
        <w:ind w:firstLine="560"/>
        <w:rPr>
          <w:rFonts w:eastAsia="仿宋_GB2312"/>
        </w:rPr>
      </w:pPr>
      <w:r>
        <w:rPr>
          <w:rFonts w:eastAsia="仿宋_GB2312"/>
        </w:rPr>
        <w:t>新能源物流车的充电闲置时段可以兼顾为公务车、小型商务车、私家乘用车提供充电服务。按照物流车充换电站场景设计方案及充电特性分析，物流园充电站在闲置时间段12：00-22：00间对外开放，能有效缓解全市公务车、小型商务车、私家乘用车的充电压力。</w:t>
      </w:r>
    </w:p>
    <w:p>
      <w:pPr>
        <w:pStyle w:val="583"/>
        <w:ind w:firstLine="562"/>
        <w:rPr>
          <w:rFonts w:eastAsia="仿宋_GB2312"/>
          <w:b/>
          <w:bCs/>
        </w:rPr>
      </w:pPr>
      <w:r>
        <w:rPr>
          <w:rFonts w:eastAsia="仿宋_GB2312"/>
          <w:b/>
          <w:bCs/>
        </w:rPr>
        <w:t>（3）公务场合充电站分时共享</w:t>
      </w:r>
    </w:p>
    <w:p>
      <w:pPr>
        <w:pStyle w:val="583"/>
        <w:ind w:firstLine="560"/>
        <w:rPr>
          <w:rFonts w:eastAsia="仿宋_GB2312"/>
        </w:rPr>
      </w:pPr>
      <w:r>
        <w:rPr>
          <w:rFonts w:eastAsia="仿宋_GB2312"/>
        </w:rPr>
        <w:t>公务场所充电站政策上鼓励对外开放，按照公务车充电场景设计方案，公务场所充电站作为基础网充电设施，桩车比为1：2，配置比例相对较高。为提高充电设施效率，地上共享区充电桩宜具备公共属性全天对外开放，在满足公务车充电服务情况下缓解全市公务车、小型商务车、私家乘用车的充电压力。</w:t>
      </w:r>
    </w:p>
    <w:p>
      <w:pPr>
        <w:pStyle w:val="583"/>
        <w:ind w:firstLine="562"/>
        <w:rPr>
          <w:rFonts w:eastAsia="仿宋_GB2312"/>
          <w:b/>
          <w:bCs/>
        </w:rPr>
      </w:pPr>
      <w:r>
        <w:rPr>
          <w:rFonts w:eastAsia="仿宋_GB2312"/>
          <w:b/>
          <w:bCs/>
        </w:rPr>
        <w:t>（4）居民小区充电站分时共享</w:t>
      </w:r>
    </w:p>
    <w:p>
      <w:pPr>
        <w:adjustRightInd w:val="0"/>
        <w:snapToGrid w:val="0"/>
        <w:ind w:firstLine="560"/>
        <w:rPr>
          <w:rFonts w:eastAsia="仿宋_GB2312" w:cs="Times New Roman"/>
        </w:rPr>
      </w:pPr>
      <w:r>
        <w:rPr>
          <w:rFonts w:eastAsia="仿宋_GB2312" w:cs="Times New Roman"/>
        </w:rPr>
        <w:t>居民小区自用充电设施作为充电设施，主要服务于私家乘用车充电，新能源私家车充电需求最大，配套充电设施规模也最大。根据前文对私家车充电场景分析，私家车主要集中在19：00-7：00时间段内充电，其余时间基本空闲，如只服务于业主自己充电需求，会造成大量资源浪费。地方政策上宜鼓励自用充电设施开放共享，如鼓励分区管理，共享区域内可在7：00-19：00对外开放，部分地下停车位充足且充电设施齐全的小区，地上公共区域内充电设施应全天对外开放。</w:t>
      </w:r>
    </w:p>
    <w:p>
      <w:pPr>
        <w:adjustRightInd w:val="0"/>
        <w:snapToGrid w:val="0"/>
        <w:ind w:firstLine="560"/>
        <w:rPr>
          <w:rFonts w:eastAsia="仿宋_GB2312" w:cs="Times New Roman"/>
        </w:rPr>
      </w:pPr>
    </w:p>
    <w:p>
      <w:pPr>
        <w:adjustRightInd w:val="0"/>
        <w:snapToGrid w:val="0"/>
        <w:ind w:firstLine="560"/>
        <w:rPr>
          <w:rFonts w:eastAsia="仿宋_GB2312" w:cs="Times New Roman"/>
        </w:rPr>
      </w:pPr>
    </w:p>
    <w:p>
      <w:pPr>
        <w:adjustRightInd w:val="0"/>
        <w:snapToGrid w:val="0"/>
        <w:ind w:firstLine="560"/>
        <w:rPr>
          <w:rFonts w:eastAsia="仿宋_GB2312" w:cs="Times New Roman"/>
        </w:rPr>
      </w:pPr>
    </w:p>
    <w:p>
      <w:pPr>
        <w:pStyle w:val="2"/>
        <w:rPr>
          <w:rFonts w:eastAsia="仿宋_GB2312" w:cs="Times New Roman"/>
        </w:rPr>
      </w:pPr>
      <w:bookmarkStart w:id="263" w:name="_Toc117243246"/>
      <w:r>
        <w:rPr>
          <w:rFonts w:eastAsia="仿宋_GB2312" w:cs="Times New Roman"/>
        </w:rPr>
        <w:t>环境影响评价及安全措施</w:t>
      </w:r>
      <w:bookmarkEnd w:id="263"/>
    </w:p>
    <w:p>
      <w:pPr>
        <w:pStyle w:val="3"/>
        <w:adjustRightInd w:val="0"/>
        <w:rPr>
          <w:rFonts w:eastAsia="仿宋_GB2312" w:cs="Times New Roman"/>
        </w:rPr>
      </w:pPr>
      <w:bookmarkStart w:id="264" w:name="_Toc117243247"/>
      <w:r>
        <w:rPr>
          <w:rFonts w:eastAsia="仿宋_GB2312" w:cs="Times New Roman"/>
        </w:rPr>
        <w:t>环境影响评价</w:t>
      </w:r>
      <w:bookmarkEnd w:id="264"/>
    </w:p>
    <w:p>
      <w:pPr>
        <w:pStyle w:val="4"/>
        <w:spacing w:before="156" w:after="156"/>
        <w:rPr>
          <w:rFonts w:eastAsia="仿宋_GB2312"/>
        </w:rPr>
      </w:pPr>
      <w:bookmarkStart w:id="265" w:name="_Toc117243248"/>
      <w:r>
        <w:rPr>
          <w:rFonts w:eastAsia="仿宋_GB2312"/>
        </w:rPr>
        <w:t>评价依据</w:t>
      </w:r>
      <w:bookmarkEnd w:id="265"/>
    </w:p>
    <w:p>
      <w:pPr>
        <w:adjustRightInd w:val="0"/>
        <w:snapToGrid w:val="0"/>
        <w:ind w:firstLine="198" w:firstLineChars="71"/>
        <w:rPr>
          <w:rFonts w:eastAsia="仿宋_GB2312" w:cs="Times New Roman"/>
        </w:rPr>
      </w:pPr>
      <w:r>
        <w:rPr>
          <w:rFonts w:eastAsia="仿宋_GB2312" w:cs="Times New Roman"/>
        </w:rPr>
        <w:t>《电动汽车充电站设计规范》（GB 50966-2014）</w:t>
      </w:r>
    </w:p>
    <w:p>
      <w:pPr>
        <w:adjustRightInd w:val="0"/>
        <w:snapToGrid w:val="0"/>
        <w:ind w:firstLine="198" w:firstLineChars="71"/>
        <w:rPr>
          <w:rFonts w:eastAsia="仿宋_GB2312" w:cs="Times New Roman"/>
        </w:rPr>
      </w:pPr>
      <w:r>
        <w:rPr>
          <w:rFonts w:eastAsia="仿宋_GB2312" w:cs="Times New Roman"/>
        </w:rPr>
        <w:t>《防治城市扬尘污染技术规范》（HJ/T393-2007）</w:t>
      </w:r>
    </w:p>
    <w:p>
      <w:pPr>
        <w:adjustRightInd w:val="0"/>
        <w:snapToGrid w:val="0"/>
        <w:ind w:firstLine="198" w:firstLineChars="71"/>
        <w:rPr>
          <w:rFonts w:eastAsia="仿宋_GB2312" w:cs="Times New Roman"/>
        </w:rPr>
      </w:pPr>
      <w:r>
        <w:rPr>
          <w:rFonts w:eastAsia="仿宋_GB2312" w:cs="Times New Roman"/>
        </w:rPr>
        <w:t>《建筑施工场界环境噪声排放标准》（GB12523-2011）</w:t>
      </w:r>
    </w:p>
    <w:p>
      <w:pPr>
        <w:adjustRightInd w:val="0"/>
        <w:snapToGrid w:val="0"/>
        <w:ind w:firstLine="198" w:firstLineChars="71"/>
        <w:rPr>
          <w:rFonts w:eastAsia="仿宋_GB2312" w:cs="Times New Roman"/>
        </w:rPr>
      </w:pPr>
      <w:r>
        <w:rPr>
          <w:rFonts w:eastAsia="仿宋_GB2312" w:cs="Times New Roman"/>
        </w:rPr>
        <w:t>《城镇污水处理厂污染物排放标准》（GB18918-2002）</w:t>
      </w:r>
    </w:p>
    <w:p>
      <w:pPr>
        <w:adjustRightInd w:val="0"/>
        <w:snapToGrid w:val="0"/>
        <w:ind w:firstLine="198" w:firstLineChars="71"/>
        <w:rPr>
          <w:rFonts w:eastAsia="仿宋_GB2312" w:cs="Times New Roman"/>
        </w:rPr>
      </w:pPr>
      <w:r>
        <w:rPr>
          <w:rFonts w:eastAsia="仿宋_GB2312" w:cs="Times New Roman"/>
        </w:rPr>
        <w:t>《工业企业厂界环境噪声排放标准》（GB12348-2008）</w:t>
      </w:r>
    </w:p>
    <w:p>
      <w:pPr>
        <w:adjustRightInd w:val="0"/>
        <w:snapToGrid w:val="0"/>
        <w:ind w:firstLine="198" w:firstLineChars="71"/>
        <w:rPr>
          <w:rFonts w:eastAsia="仿宋_GB2312" w:cs="Times New Roman"/>
        </w:rPr>
      </w:pPr>
      <w:r>
        <w:rPr>
          <w:rFonts w:eastAsia="仿宋_GB2312" w:cs="Times New Roman"/>
        </w:rPr>
        <w:t>《建筑设计防火规范》（</w:t>
      </w:r>
      <w:bookmarkStart w:id="266" w:name="OLE_LINK30"/>
      <w:r>
        <w:rPr>
          <w:rFonts w:eastAsia="仿宋_GB2312" w:cs="Times New Roman"/>
        </w:rPr>
        <w:t>GB 50016</w:t>
      </w:r>
      <w:bookmarkEnd w:id="266"/>
      <w:r>
        <w:rPr>
          <w:rFonts w:eastAsia="仿宋_GB2312" w:cs="Times New Roman"/>
        </w:rPr>
        <w:t>-2018）</w:t>
      </w:r>
    </w:p>
    <w:p>
      <w:pPr>
        <w:adjustRightInd w:val="0"/>
        <w:snapToGrid w:val="0"/>
        <w:ind w:firstLine="198" w:firstLineChars="71"/>
        <w:rPr>
          <w:rFonts w:eastAsia="仿宋_GB2312" w:cs="Times New Roman"/>
        </w:rPr>
      </w:pPr>
      <w:r>
        <w:rPr>
          <w:rFonts w:eastAsia="仿宋_GB2312" w:cs="Times New Roman"/>
        </w:rPr>
        <w:t>《建筑灭火器配置设计规范》（</w:t>
      </w:r>
      <w:bookmarkStart w:id="267" w:name="OLE_LINK31"/>
      <w:r>
        <w:rPr>
          <w:rFonts w:eastAsia="仿宋_GB2312" w:cs="Times New Roman"/>
        </w:rPr>
        <w:t>GB50140</w:t>
      </w:r>
      <w:bookmarkEnd w:id="267"/>
      <w:bookmarkStart w:id="268" w:name="OLE_LINK20"/>
      <w:r>
        <w:rPr>
          <w:rFonts w:eastAsia="仿宋_GB2312" w:cs="Times New Roman"/>
        </w:rPr>
        <w:t>-2019）</w:t>
      </w:r>
      <w:bookmarkEnd w:id="268"/>
    </w:p>
    <w:p>
      <w:pPr>
        <w:adjustRightInd w:val="0"/>
        <w:snapToGrid w:val="0"/>
        <w:ind w:firstLine="198" w:firstLineChars="71"/>
        <w:rPr>
          <w:rFonts w:eastAsia="仿宋_GB2312" w:cs="Times New Roman"/>
        </w:rPr>
      </w:pPr>
      <w:r>
        <w:rPr>
          <w:rFonts w:eastAsia="仿宋_GB2312" w:cs="Times New Roman"/>
        </w:rPr>
        <w:t>《汽车库、修车库、停车场设计防火规范》</w:t>
      </w:r>
      <w:bookmarkStart w:id="269" w:name="OLE_LINK19"/>
      <w:r>
        <w:rPr>
          <w:rFonts w:eastAsia="仿宋_GB2312" w:cs="Times New Roman"/>
        </w:rPr>
        <w:t>（</w:t>
      </w:r>
      <w:bookmarkEnd w:id="269"/>
      <w:bookmarkStart w:id="270" w:name="OLE_LINK32"/>
      <w:r>
        <w:rPr>
          <w:rFonts w:eastAsia="仿宋_GB2312" w:cs="Times New Roman"/>
        </w:rPr>
        <w:t>GB50067</w:t>
      </w:r>
      <w:bookmarkEnd w:id="270"/>
      <w:r>
        <w:rPr>
          <w:rFonts w:eastAsia="仿宋_GB2312" w:cs="Times New Roman"/>
        </w:rPr>
        <w:t>-2014）</w:t>
      </w:r>
    </w:p>
    <w:p>
      <w:pPr>
        <w:adjustRightInd w:val="0"/>
        <w:snapToGrid w:val="0"/>
        <w:ind w:firstLine="198" w:firstLineChars="71"/>
        <w:rPr>
          <w:rFonts w:eastAsia="仿宋_GB2312" w:cs="Times New Roman"/>
        </w:rPr>
      </w:pPr>
      <w:r>
        <w:rPr>
          <w:rFonts w:eastAsia="仿宋_GB2312" w:cs="Times New Roman"/>
        </w:rPr>
        <w:t>《火灾自动报警系统设计规范》（</w:t>
      </w:r>
      <w:bookmarkStart w:id="271" w:name="OLE_LINK33"/>
      <w:r>
        <w:rPr>
          <w:rFonts w:eastAsia="仿宋_GB2312" w:cs="Times New Roman"/>
        </w:rPr>
        <w:t>GB50116</w:t>
      </w:r>
      <w:bookmarkEnd w:id="271"/>
      <w:r>
        <w:rPr>
          <w:rFonts w:eastAsia="仿宋_GB2312" w:cs="Times New Roman"/>
        </w:rPr>
        <w:t>-2019 ）</w:t>
      </w:r>
    </w:p>
    <w:p>
      <w:pPr>
        <w:adjustRightInd w:val="0"/>
        <w:snapToGrid w:val="0"/>
        <w:ind w:firstLine="198" w:firstLineChars="71"/>
        <w:rPr>
          <w:rFonts w:eastAsia="仿宋_GB2312" w:cs="Times New Roman"/>
        </w:rPr>
      </w:pPr>
      <w:r>
        <w:rPr>
          <w:rFonts w:eastAsia="仿宋_GB2312" w:cs="Times New Roman"/>
        </w:rPr>
        <w:t>《消防应急照明和疏散指示系统技术标准》（</w:t>
      </w:r>
      <w:bookmarkStart w:id="272" w:name="OLE_LINK34"/>
      <w:r>
        <w:rPr>
          <w:rFonts w:eastAsia="仿宋_GB2312" w:cs="Times New Roman"/>
        </w:rPr>
        <w:t>GB51309</w:t>
      </w:r>
      <w:bookmarkEnd w:id="272"/>
      <w:r>
        <w:rPr>
          <w:rFonts w:eastAsia="仿宋_GB2312" w:cs="Times New Roman"/>
        </w:rPr>
        <w:t>-2018）</w:t>
      </w:r>
    </w:p>
    <w:p>
      <w:pPr>
        <w:adjustRightInd w:val="0"/>
        <w:snapToGrid w:val="0"/>
        <w:ind w:firstLine="198" w:firstLineChars="71"/>
        <w:rPr>
          <w:rFonts w:eastAsia="仿宋_GB2312" w:cs="Times New Roman"/>
        </w:rPr>
      </w:pPr>
      <w:r>
        <w:rPr>
          <w:rFonts w:eastAsia="仿宋_GB2312" w:cs="Times New Roman"/>
        </w:rPr>
        <w:t>《电动汽车分散充电设施工程技术标准》（</w:t>
      </w:r>
      <w:bookmarkStart w:id="273" w:name="OLE_LINK35"/>
      <w:r>
        <w:rPr>
          <w:rFonts w:eastAsia="仿宋_GB2312" w:cs="Times New Roman"/>
        </w:rPr>
        <w:t>GB/T51313</w:t>
      </w:r>
      <w:bookmarkEnd w:id="273"/>
      <w:r>
        <w:rPr>
          <w:rFonts w:eastAsia="仿宋_GB2312" w:cs="Times New Roman"/>
        </w:rPr>
        <w:t xml:space="preserve">-2018） </w:t>
      </w:r>
    </w:p>
    <w:p>
      <w:pPr>
        <w:adjustRightInd w:val="0"/>
        <w:snapToGrid w:val="0"/>
        <w:ind w:firstLine="198" w:firstLineChars="71"/>
        <w:rPr>
          <w:rFonts w:eastAsia="仿宋_GB2312" w:cs="Times New Roman"/>
        </w:rPr>
      </w:pPr>
      <w:r>
        <w:rPr>
          <w:rFonts w:eastAsia="仿宋_GB2312" w:cs="Times New Roman"/>
        </w:rPr>
        <w:t>《火力发电厂与变电站设计防火规范》（</w:t>
      </w:r>
      <w:bookmarkStart w:id="274" w:name="OLE_LINK36"/>
      <w:r>
        <w:rPr>
          <w:rFonts w:eastAsia="仿宋_GB2312" w:cs="Times New Roman"/>
        </w:rPr>
        <w:t>GB 50229</w:t>
      </w:r>
      <w:bookmarkEnd w:id="274"/>
      <w:r>
        <w:rPr>
          <w:rFonts w:eastAsia="仿宋_GB2312" w:cs="Times New Roman"/>
        </w:rPr>
        <w:t>-2019）</w:t>
      </w:r>
    </w:p>
    <w:p>
      <w:pPr>
        <w:adjustRightInd w:val="0"/>
        <w:snapToGrid w:val="0"/>
        <w:ind w:firstLine="198" w:firstLineChars="71"/>
        <w:rPr>
          <w:rFonts w:eastAsia="仿宋_GB2312" w:cs="Times New Roman"/>
        </w:rPr>
      </w:pPr>
      <w:r>
        <w:rPr>
          <w:rFonts w:eastAsia="仿宋_GB2312" w:cs="Times New Roman"/>
        </w:rPr>
        <w:t>《高层民用建筑设计防火规范》（</w:t>
      </w:r>
      <w:bookmarkStart w:id="275" w:name="OLE_LINK37"/>
      <w:r>
        <w:rPr>
          <w:rFonts w:eastAsia="仿宋_GB2312" w:cs="Times New Roman"/>
        </w:rPr>
        <w:t>GB 50045</w:t>
      </w:r>
      <w:bookmarkEnd w:id="275"/>
      <w:r>
        <w:rPr>
          <w:rFonts w:eastAsia="仿宋_GB2312" w:cs="Times New Roman"/>
        </w:rPr>
        <w:t>-2005）</w:t>
      </w:r>
    </w:p>
    <w:p>
      <w:pPr>
        <w:adjustRightInd w:val="0"/>
        <w:snapToGrid w:val="0"/>
        <w:ind w:firstLine="198" w:firstLineChars="71"/>
        <w:rPr>
          <w:rFonts w:eastAsia="仿宋_GB2312" w:cs="Times New Roman"/>
        </w:rPr>
      </w:pPr>
      <w:r>
        <w:rPr>
          <w:rFonts w:eastAsia="仿宋_GB2312" w:cs="Times New Roman"/>
        </w:rPr>
        <w:t>《爆炸危险环境电力装置设计规范》（</w:t>
      </w:r>
      <w:bookmarkStart w:id="276" w:name="OLE_LINK38"/>
      <w:r>
        <w:rPr>
          <w:rFonts w:eastAsia="仿宋_GB2312" w:cs="Times New Roman"/>
        </w:rPr>
        <w:t>GB 50058</w:t>
      </w:r>
      <w:bookmarkEnd w:id="276"/>
      <w:r>
        <w:rPr>
          <w:rFonts w:eastAsia="仿宋_GB2312" w:cs="Times New Roman"/>
        </w:rPr>
        <w:t>-2014）</w:t>
      </w:r>
    </w:p>
    <w:p>
      <w:pPr>
        <w:pStyle w:val="4"/>
        <w:spacing w:before="156" w:after="156"/>
        <w:rPr>
          <w:rFonts w:eastAsia="仿宋_GB2312"/>
        </w:rPr>
      </w:pPr>
      <w:bookmarkStart w:id="277" w:name="_Toc117243249"/>
      <w:r>
        <w:rPr>
          <w:rFonts w:eastAsia="仿宋_GB2312"/>
        </w:rPr>
        <w:t>环境影响分析</w:t>
      </w:r>
      <w:bookmarkEnd w:id="277"/>
    </w:p>
    <w:p>
      <w:pPr>
        <w:adjustRightInd w:val="0"/>
        <w:snapToGrid w:val="0"/>
        <w:ind w:firstLine="560" w:firstLineChars="0"/>
        <w:rPr>
          <w:rFonts w:eastAsia="仿宋_GB2312" w:cs="Times New Roman"/>
          <w:b/>
          <w:bCs/>
          <w:sz w:val="30"/>
          <w:szCs w:val="30"/>
        </w:rPr>
      </w:pPr>
      <w:r>
        <w:rPr>
          <w:rFonts w:eastAsia="仿宋_GB2312" w:cs="Times New Roman"/>
          <w:b/>
          <w:bCs/>
          <w:sz w:val="30"/>
          <w:szCs w:val="30"/>
        </w:rPr>
        <w:t>1.建设期</w:t>
      </w:r>
    </w:p>
    <w:p>
      <w:pPr>
        <w:adjustRightInd w:val="0"/>
        <w:snapToGrid w:val="0"/>
        <w:ind w:firstLine="560"/>
        <w:rPr>
          <w:rFonts w:eastAsia="仿宋_GB2312" w:cs="Times New Roman"/>
        </w:rPr>
      </w:pPr>
      <w:r>
        <w:rPr>
          <w:rFonts w:eastAsia="仿宋_GB2312" w:cs="Times New Roman"/>
        </w:rPr>
        <w:t>（1）废气：施工扬尘和施工机械、运输车辆尾气。</w:t>
      </w:r>
    </w:p>
    <w:p>
      <w:pPr>
        <w:adjustRightInd w:val="0"/>
        <w:snapToGrid w:val="0"/>
        <w:ind w:firstLine="560"/>
        <w:rPr>
          <w:rFonts w:eastAsia="仿宋_GB2312" w:cs="Times New Roman"/>
        </w:rPr>
      </w:pPr>
      <w:r>
        <w:rPr>
          <w:rFonts w:eastAsia="仿宋_GB2312" w:cs="Times New Roman"/>
        </w:rPr>
        <w:t>（2）废水：施工废水、施工人员生活污水。</w:t>
      </w:r>
    </w:p>
    <w:p>
      <w:pPr>
        <w:adjustRightInd w:val="0"/>
        <w:snapToGrid w:val="0"/>
        <w:ind w:firstLine="560"/>
        <w:rPr>
          <w:rFonts w:eastAsia="仿宋_GB2312" w:cs="Times New Roman"/>
        </w:rPr>
      </w:pPr>
      <w:r>
        <w:rPr>
          <w:rFonts w:eastAsia="仿宋_GB2312" w:cs="Times New Roman"/>
        </w:rPr>
        <w:t>（3）噪声：施工机械、运输车辆噪声。</w:t>
      </w:r>
    </w:p>
    <w:p>
      <w:pPr>
        <w:adjustRightInd w:val="0"/>
        <w:snapToGrid w:val="0"/>
        <w:ind w:firstLine="560"/>
        <w:rPr>
          <w:rFonts w:eastAsia="仿宋_GB2312" w:cs="Times New Roman"/>
        </w:rPr>
      </w:pPr>
      <w:r>
        <w:rPr>
          <w:rFonts w:eastAsia="仿宋_GB2312" w:cs="Times New Roman"/>
        </w:rPr>
        <w:t>（4）固废：建筑垃圾及生活垃圾。</w:t>
      </w:r>
    </w:p>
    <w:p>
      <w:pPr>
        <w:adjustRightInd w:val="0"/>
        <w:snapToGrid w:val="0"/>
        <w:ind w:firstLine="560" w:firstLineChars="0"/>
        <w:rPr>
          <w:rFonts w:eastAsia="仿宋_GB2312" w:cs="Times New Roman"/>
          <w:b/>
          <w:bCs/>
          <w:sz w:val="30"/>
          <w:szCs w:val="30"/>
        </w:rPr>
      </w:pPr>
      <w:r>
        <w:rPr>
          <w:rFonts w:eastAsia="仿宋_GB2312" w:cs="Times New Roman"/>
          <w:b/>
          <w:bCs/>
          <w:sz w:val="30"/>
          <w:szCs w:val="30"/>
        </w:rPr>
        <w:t>2.运营期</w:t>
      </w:r>
    </w:p>
    <w:p>
      <w:pPr>
        <w:adjustRightInd w:val="0"/>
        <w:snapToGrid w:val="0"/>
        <w:ind w:firstLine="560"/>
        <w:rPr>
          <w:rFonts w:eastAsia="仿宋_GB2312" w:cs="Times New Roman"/>
        </w:rPr>
      </w:pPr>
      <w:r>
        <w:rPr>
          <w:rFonts w:eastAsia="仿宋_GB2312" w:cs="Times New Roman"/>
        </w:rPr>
        <w:t>项目运营期产生的污染物主要是员工及顾客产生的生活污水、生活垃圾及设备运转的噪声等。</w:t>
      </w:r>
    </w:p>
    <w:p>
      <w:pPr>
        <w:adjustRightInd w:val="0"/>
        <w:snapToGrid w:val="0"/>
        <w:ind w:firstLine="562"/>
        <w:rPr>
          <w:rFonts w:eastAsia="仿宋_GB2312" w:cs="Times New Roman"/>
        </w:rPr>
      </w:pPr>
      <w:r>
        <w:rPr>
          <w:rFonts w:eastAsia="仿宋_GB2312" w:cs="Times New Roman"/>
          <w:b/>
          <w:bCs/>
        </w:rPr>
        <w:t>大气污染</w:t>
      </w:r>
      <w:r>
        <w:rPr>
          <w:rFonts w:eastAsia="仿宋_GB2312" w:cs="Times New Roman"/>
        </w:rPr>
        <w:t>：项目运营过程中无废气产生，运营过程中因车辆较大，有扬尘。</w:t>
      </w:r>
    </w:p>
    <w:p>
      <w:pPr>
        <w:adjustRightInd w:val="0"/>
        <w:snapToGrid w:val="0"/>
        <w:ind w:firstLine="562"/>
        <w:rPr>
          <w:rFonts w:eastAsia="仿宋_GB2312" w:cs="Times New Roman"/>
        </w:rPr>
      </w:pPr>
      <w:r>
        <w:rPr>
          <w:rFonts w:eastAsia="仿宋_GB2312" w:cs="Times New Roman"/>
          <w:b/>
          <w:bCs/>
        </w:rPr>
        <w:t>水污染：</w:t>
      </w:r>
      <w:r>
        <w:rPr>
          <w:rFonts w:eastAsia="仿宋_GB2312" w:cs="Times New Roman"/>
        </w:rPr>
        <w:t>项目运营过程中无废水产生。</w:t>
      </w:r>
    </w:p>
    <w:p>
      <w:pPr>
        <w:adjustRightInd w:val="0"/>
        <w:snapToGrid w:val="0"/>
        <w:ind w:firstLine="562"/>
        <w:rPr>
          <w:rFonts w:eastAsia="仿宋_GB2312" w:cs="Times New Roman"/>
        </w:rPr>
      </w:pPr>
      <w:r>
        <w:rPr>
          <w:rFonts w:eastAsia="仿宋_GB2312" w:cs="Times New Roman"/>
          <w:b/>
          <w:bCs/>
        </w:rPr>
        <w:t>噪声污染：</w:t>
      </w:r>
      <w:r>
        <w:rPr>
          <w:rFonts w:eastAsia="仿宋_GB2312" w:cs="Times New Roman"/>
        </w:rPr>
        <w:t>本项目噪声污染主要是变压器噪声及过往车辆产生的交通噪声。预估变压器产生源强60-65dB(A)。</w:t>
      </w:r>
    </w:p>
    <w:p>
      <w:pPr>
        <w:adjustRightInd w:val="0"/>
        <w:snapToGrid w:val="0"/>
        <w:ind w:firstLine="562"/>
        <w:rPr>
          <w:rFonts w:eastAsia="仿宋_GB2312" w:cs="Times New Roman"/>
        </w:rPr>
      </w:pPr>
      <w:r>
        <w:rPr>
          <w:rFonts w:eastAsia="仿宋_GB2312" w:cs="Times New Roman"/>
          <w:b/>
          <w:bCs/>
        </w:rPr>
        <w:t>固废污染：</w:t>
      </w:r>
      <w:r>
        <w:rPr>
          <w:rFonts w:eastAsia="仿宋_GB2312" w:cs="Times New Roman"/>
        </w:rPr>
        <w:t>项目运营后，主要固体废物为职工及顾客的生活垃圾。</w:t>
      </w:r>
    </w:p>
    <w:p>
      <w:pPr>
        <w:adjustRightInd w:val="0"/>
        <w:snapToGrid w:val="0"/>
        <w:ind w:firstLine="562"/>
        <w:rPr>
          <w:rFonts w:eastAsia="仿宋_GB2312" w:cs="Times New Roman"/>
        </w:rPr>
      </w:pPr>
      <w:r>
        <w:rPr>
          <w:rFonts w:eastAsia="仿宋_GB2312" w:cs="Times New Roman"/>
          <w:b/>
          <w:bCs/>
        </w:rPr>
        <w:t>生态污染：</w:t>
      </w:r>
      <w:r>
        <w:rPr>
          <w:rFonts w:eastAsia="仿宋_GB2312" w:cs="Times New Roman"/>
        </w:rPr>
        <w:t>项目所在区域主要为人工生态系统，对生态环境影响较小。</w:t>
      </w:r>
    </w:p>
    <w:p>
      <w:pPr>
        <w:pStyle w:val="4"/>
        <w:spacing w:before="156" w:after="156"/>
        <w:rPr>
          <w:rFonts w:eastAsia="仿宋_GB2312"/>
        </w:rPr>
      </w:pPr>
      <w:bookmarkStart w:id="278" w:name="_Toc117243250"/>
      <w:r>
        <w:rPr>
          <w:rFonts w:eastAsia="仿宋_GB2312"/>
        </w:rPr>
        <w:t>环境保护措施</w:t>
      </w:r>
      <w:bookmarkEnd w:id="278"/>
    </w:p>
    <w:p>
      <w:pPr>
        <w:adjustRightInd w:val="0"/>
        <w:snapToGrid w:val="0"/>
        <w:ind w:firstLine="560" w:firstLineChars="0"/>
        <w:rPr>
          <w:rFonts w:eastAsia="仿宋_GB2312" w:cs="Times New Roman"/>
          <w:b/>
          <w:bCs/>
          <w:sz w:val="30"/>
          <w:szCs w:val="30"/>
        </w:rPr>
      </w:pPr>
      <w:r>
        <w:rPr>
          <w:rFonts w:hint="eastAsia" w:eastAsia="仿宋_GB2312" w:cs="Times New Roman"/>
          <w:b/>
          <w:bCs/>
          <w:sz w:val="30"/>
          <w:szCs w:val="30"/>
        </w:rPr>
        <w:t>1.</w:t>
      </w:r>
      <w:r>
        <w:rPr>
          <w:rFonts w:eastAsia="仿宋_GB2312" w:cs="Times New Roman"/>
          <w:b/>
          <w:bCs/>
          <w:sz w:val="30"/>
          <w:szCs w:val="30"/>
        </w:rPr>
        <w:t xml:space="preserve">建设期 </w:t>
      </w:r>
    </w:p>
    <w:p>
      <w:pPr>
        <w:adjustRightInd w:val="0"/>
        <w:snapToGrid w:val="0"/>
        <w:ind w:firstLine="560"/>
        <w:rPr>
          <w:rFonts w:eastAsia="仿宋_GB2312" w:cs="Times New Roman"/>
        </w:rPr>
      </w:pPr>
      <w:r>
        <w:rPr>
          <w:rFonts w:eastAsia="仿宋_GB2312" w:cs="Times New Roman"/>
        </w:rPr>
        <w:t>项目建设期间将产生扬尘、机动车尾气、废水、固废和生态影响，影响范围以局部污染为主，施工期间加强现场施工管理，对噪声、扬尘、生态破坏应采取有效措施进行控制、治理，可将影响减少到较低程度各项标准，最终达到《防治城市扬尘污染技术规范》（HJ/T393-2007）、《建筑施工场界环境噪声排放标准》（GB12523-2011）等环保要求。</w:t>
      </w:r>
    </w:p>
    <w:p>
      <w:pPr>
        <w:adjustRightInd w:val="0"/>
        <w:snapToGrid w:val="0"/>
        <w:ind w:firstLine="560" w:firstLineChars="0"/>
        <w:rPr>
          <w:rFonts w:eastAsia="仿宋_GB2312" w:cs="Times New Roman"/>
          <w:b/>
          <w:bCs/>
          <w:sz w:val="30"/>
          <w:szCs w:val="30"/>
        </w:rPr>
      </w:pPr>
      <w:r>
        <w:rPr>
          <w:rFonts w:hint="eastAsia" w:eastAsia="仿宋_GB2312" w:cs="Times New Roman"/>
          <w:b/>
          <w:bCs/>
          <w:sz w:val="30"/>
          <w:szCs w:val="30"/>
        </w:rPr>
        <w:t>2.</w:t>
      </w:r>
      <w:r>
        <w:rPr>
          <w:rFonts w:eastAsia="仿宋_GB2312" w:cs="Times New Roman"/>
          <w:b/>
          <w:bCs/>
          <w:sz w:val="30"/>
          <w:szCs w:val="30"/>
        </w:rPr>
        <w:t>运营期</w:t>
      </w:r>
    </w:p>
    <w:p>
      <w:pPr>
        <w:adjustRightInd w:val="0"/>
        <w:snapToGrid w:val="0"/>
        <w:ind w:firstLine="560"/>
        <w:rPr>
          <w:rFonts w:eastAsia="仿宋_GB2312" w:cs="Times New Roman"/>
        </w:rPr>
      </w:pPr>
      <w:r>
        <w:rPr>
          <w:rFonts w:eastAsia="仿宋_GB2312" w:cs="Times New Roman"/>
        </w:rPr>
        <w:t>项目运营期无废气产生，有较低的噪声产生，有扬尘，有员工及顾客生活垃圾产生，但通过处理、减振隔声、垃圾桶安置、加强站内路面清扫及定期洒水避免扬尘等一系列措施，可将影响减少到较低的程度，最终达到《防治城市扬尘污染技术规范》（HJ/T393-2007）、《工业企业厂界环境噪声排放标准》（GB12348-2008）等各项标准。</w:t>
      </w:r>
    </w:p>
    <w:p>
      <w:pPr>
        <w:pStyle w:val="3"/>
        <w:adjustRightInd w:val="0"/>
        <w:rPr>
          <w:rFonts w:eastAsia="仿宋_GB2312" w:cs="Times New Roman"/>
        </w:rPr>
      </w:pPr>
      <w:bookmarkStart w:id="279" w:name="_Toc117243251"/>
      <w:r>
        <w:rPr>
          <w:rFonts w:eastAsia="仿宋_GB2312" w:cs="Times New Roman"/>
        </w:rPr>
        <w:t>安全措施</w:t>
      </w:r>
      <w:bookmarkEnd w:id="279"/>
    </w:p>
    <w:p>
      <w:pPr>
        <w:pStyle w:val="4"/>
        <w:spacing w:before="156" w:after="156"/>
        <w:rPr>
          <w:rFonts w:eastAsia="仿宋_GB2312"/>
        </w:rPr>
      </w:pPr>
      <w:bookmarkStart w:id="280" w:name="_Toc117243252"/>
      <w:r>
        <w:rPr>
          <w:rFonts w:eastAsia="仿宋_GB2312"/>
        </w:rPr>
        <w:t>消防环境安全</w:t>
      </w:r>
      <w:bookmarkEnd w:id="280"/>
    </w:p>
    <w:p>
      <w:pPr>
        <w:adjustRightInd w:val="0"/>
        <w:snapToGrid w:val="0"/>
        <w:ind w:firstLine="560"/>
        <w:rPr>
          <w:rFonts w:eastAsia="仿宋_GB2312" w:cs="Times New Roman"/>
        </w:rPr>
      </w:pPr>
      <w:r>
        <w:rPr>
          <w:rFonts w:eastAsia="仿宋_GB2312" w:cs="Times New Roman"/>
        </w:rPr>
        <w:t>1. 设置充电设施和充电设备场所的消防措施，应满足现行国家规范《</w:t>
      </w:r>
      <w:bookmarkStart w:id="281" w:name="OLE_LINK16"/>
      <w:r>
        <w:rPr>
          <w:rFonts w:eastAsia="仿宋_GB2312" w:cs="Times New Roman"/>
        </w:rPr>
        <w:t>建筑设计防火规范》</w:t>
      </w:r>
      <w:r>
        <w:rPr>
          <w:rFonts w:hint="eastAsia" w:eastAsia="仿宋_GB2312" w:cs="Times New Roman"/>
        </w:rPr>
        <w:t>（</w:t>
      </w:r>
      <w:r>
        <w:rPr>
          <w:rFonts w:eastAsia="仿宋_GB2312" w:cs="Times New Roman"/>
        </w:rPr>
        <w:t>GB50016</w:t>
      </w:r>
      <w:r>
        <w:rPr>
          <w:rFonts w:hint="eastAsia" w:eastAsia="仿宋_GB2312" w:cs="Times New Roman"/>
        </w:rPr>
        <w:t>）</w:t>
      </w:r>
      <w:r>
        <w:rPr>
          <w:rFonts w:eastAsia="仿宋_GB2312" w:cs="Times New Roman"/>
        </w:rPr>
        <w:t>、《汽车库、修车库、停车场设计防火规范》</w:t>
      </w:r>
      <w:r>
        <w:rPr>
          <w:rFonts w:hint="eastAsia" w:eastAsia="仿宋_GB2312" w:cs="Times New Roman"/>
        </w:rPr>
        <w:t>（</w:t>
      </w:r>
      <w:r>
        <w:rPr>
          <w:rFonts w:eastAsia="仿宋_GB2312" w:cs="Times New Roman"/>
        </w:rPr>
        <w:t>GB50067</w:t>
      </w:r>
      <w:r>
        <w:rPr>
          <w:rFonts w:hint="eastAsia" w:eastAsia="仿宋_GB2312" w:cs="Times New Roman"/>
        </w:rPr>
        <w:t>）</w:t>
      </w:r>
      <w:r>
        <w:rPr>
          <w:rFonts w:eastAsia="仿宋_GB2312" w:cs="Times New Roman"/>
        </w:rPr>
        <w:t>、《火灾自动报警系统设计规范》</w:t>
      </w:r>
      <w:r>
        <w:rPr>
          <w:rFonts w:hint="eastAsia" w:eastAsia="仿宋_GB2312" w:cs="Times New Roman"/>
        </w:rPr>
        <w:t>（</w:t>
      </w:r>
      <w:r>
        <w:rPr>
          <w:rFonts w:eastAsia="仿宋_GB2312" w:cs="Times New Roman"/>
        </w:rPr>
        <w:t>GB50116</w:t>
      </w:r>
      <w:r>
        <w:rPr>
          <w:rFonts w:hint="eastAsia" w:eastAsia="仿宋_GB2312" w:cs="Times New Roman"/>
        </w:rPr>
        <w:t>）、</w:t>
      </w:r>
      <w:r>
        <w:rPr>
          <w:rFonts w:eastAsia="仿宋_GB2312" w:cs="Times New Roman"/>
        </w:rPr>
        <w:t>《消防应急照明和疏散指示系统技术标准》</w:t>
      </w:r>
      <w:r>
        <w:rPr>
          <w:rFonts w:hint="eastAsia" w:eastAsia="仿宋_GB2312" w:cs="Times New Roman"/>
        </w:rPr>
        <w:t>（</w:t>
      </w:r>
      <w:r>
        <w:rPr>
          <w:rFonts w:eastAsia="仿宋_GB2312" w:cs="Times New Roman"/>
        </w:rPr>
        <w:t>GB51309</w:t>
      </w:r>
      <w:r>
        <w:rPr>
          <w:rFonts w:hint="eastAsia" w:eastAsia="仿宋_GB2312" w:cs="Times New Roman"/>
        </w:rPr>
        <w:t>）</w:t>
      </w:r>
      <w:r>
        <w:rPr>
          <w:rFonts w:eastAsia="仿宋_GB2312" w:cs="Times New Roman"/>
        </w:rPr>
        <w:t>、《电动汽车分散充电设施工程技术标准》</w:t>
      </w:r>
      <w:r>
        <w:rPr>
          <w:rFonts w:hint="eastAsia" w:eastAsia="仿宋_GB2312" w:cs="Times New Roman"/>
        </w:rPr>
        <w:t>（</w:t>
      </w:r>
      <w:r>
        <w:rPr>
          <w:rFonts w:eastAsia="仿宋_GB2312" w:cs="Times New Roman"/>
        </w:rPr>
        <w:t>GB/T51313</w:t>
      </w:r>
      <w:r>
        <w:rPr>
          <w:rFonts w:hint="eastAsia" w:eastAsia="仿宋_GB2312" w:cs="Times New Roman"/>
        </w:rPr>
        <w:t>）</w:t>
      </w:r>
      <w:r>
        <w:rPr>
          <w:rFonts w:eastAsia="仿宋_GB2312" w:cs="Times New Roman"/>
        </w:rPr>
        <w:t>的规定</w:t>
      </w:r>
      <w:bookmarkEnd w:id="281"/>
      <w:r>
        <w:rPr>
          <w:rFonts w:eastAsia="仿宋_GB2312" w:cs="Times New Roman"/>
        </w:rPr>
        <w:t>。</w:t>
      </w:r>
    </w:p>
    <w:p>
      <w:pPr>
        <w:adjustRightInd w:val="0"/>
        <w:snapToGrid w:val="0"/>
        <w:ind w:firstLine="560"/>
        <w:rPr>
          <w:rFonts w:eastAsia="仿宋_GB2312" w:cs="Times New Roman"/>
        </w:rPr>
      </w:pPr>
      <w:r>
        <w:rPr>
          <w:rFonts w:eastAsia="仿宋_GB2312" w:cs="Times New Roman"/>
        </w:rPr>
        <w:t>2. 设有集中报警系统或控制中心报警系统的建筑，在火灾时应联动切断充电设施的电源。</w:t>
      </w:r>
    </w:p>
    <w:p>
      <w:pPr>
        <w:adjustRightInd w:val="0"/>
        <w:snapToGrid w:val="0"/>
        <w:ind w:firstLine="560"/>
        <w:rPr>
          <w:rFonts w:eastAsia="仿宋_GB2312" w:cs="Times New Roman"/>
        </w:rPr>
      </w:pPr>
      <w:r>
        <w:rPr>
          <w:rFonts w:eastAsia="仿宋_GB2312" w:cs="Times New Roman"/>
        </w:rPr>
        <w:t>3. 设有电气火灾监控系统的建筑，新能源汽车充电设施的配电系统应设置电气火灾监控系统；未设电气火灾监控系统的建筑，应设置防止电气火灾的剩余电流保护报警装置</w:t>
      </w:r>
      <w:r>
        <w:rPr>
          <w:rFonts w:hint="eastAsia" w:eastAsia="仿宋_GB2312" w:cs="Times New Roman"/>
        </w:rPr>
        <w:t>，</w:t>
      </w:r>
      <w:r>
        <w:rPr>
          <w:rFonts w:eastAsia="仿宋_GB2312" w:cs="Times New Roman"/>
        </w:rPr>
        <w:t>剩余电流报警电流宜为300mA。</w:t>
      </w:r>
    </w:p>
    <w:p>
      <w:pPr>
        <w:adjustRightInd w:val="0"/>
        <w:snapToGrid w:val="0"/>
        <w:ind w:firstLine="560"/>
        <w:rPr>
          <w:rFonts w:eastAsia="仿宋_GB2312" w:cs="Times New Roman"/>
        </w:rPr>
      </w:pPr>
      <w:r>
        <w:rPr>
          <w:rFonts w:eastAsia="仿宋_GB2312" w:cs="Times New Roman"/>
        </w:rPr>
        <w:t>4.当地下、半地下和高层汽车库内设置充电设施及充电设备时，应设置火灾自动报警系统、排烟设施、自动喷水灭火系统、消防应急照明和疏散指示标志。</w:t>
      </w:r>
    </w:p>
    <w:p>
      <w:pPr>
        <w:pStyle w:val="4"/>
        <w:spacing w:before="156" w:after="156"/>
        <w:rPr>
          <w:rFonts w:eastAsia="仿宋_GB2312"/>
        </w:rPr>
      </w:pPr>
      <w:bookmarkStart w:id="282" w:name="_Toc117243253"/>
      <w:r>
        <w:rPr>
          <w:rFonts w:eastAsia="仿宋_GB2312"/>
        </w:rPr>
        <w:t>选址规划安全</w:t>
      </w:r>
      <w:bookmarkEnd w:id="282"/>
    </w:p>
    <w:p>
      <w:pPr>
        <w:adjustRightInd w:val="0"/>
        <w:snapToGrid w:val="0"/>
        <w:ind w:firstLine="560"/>
        <w:rPr>
          <w:rFonts w:eastAsia="仿宋_GB2312" w:cs="Times New Roman"/>
        </w:rPr>
      </w:pPr>
      <w:r>
        <w:rPr>
          <w:rFonts w:eastAsia="仿宋_GB2312" w:cs="Times New Roman"/>
        </w:rPr>
        <w:t>1.充电站的总体规划应符合城镇规划、环境保护的要求，并应选在交通便利的地方；</w:t>
      </w:r>
    </w:p>
    <w:p>
      <w:pPr>
        <w:adjustRightInd w:val="0"/>
        <w:snapToGrid w:val="0"/>
        <w:ind w:firstLine="560"/>
        <w:rPr>
          <w:rFonts w:eastAsia="仿宋_GB2312" w:cs="Times New Roman"/>
        </w:rPr>
      </w:pPr>
      <w:r>
        <w:rPr>
          <w:rFonts w:eastAsia="仿宋_GB2312" w:cs="Times New Roman"/>
        </w:rPr>
        <w:t>2.充电站站址宜靠近城市道路，方便车辆的进出。但不宜选在城市干道的交叉路口或交通繁忙路段附近，以免充电车辆进出对该区域的交通造成影响；</w:t>
      </w:r>
    </w:p>
    <w:p>
      <w:pPr>
        <w:adjustRightInd w:val="0"/>
        <w:snapToGrid w:val="0"/>
        <w:ind w:firstLine="560"/>
        <w:rPr>
          <w:rFonts w:eastAsia="仿宋_GB2312" w:cs="Times New Roman"/>
        </w:rPr>
      </w:pPr>
      <w:r>
        <w:rPr>
          <w:rFonts w:eastAsia="仿宋_GB2312" w:cs="Times New Roman"/>
        </w:rPr>
        <w:t>3.充电站站址的选择应与城市中低压配电网的规划和建设密切结合，以满足供电可靠性、电能质量和自动化的要求；</w:t>
      </w:r>
    </w:p>
    <w:p>
      <w:pPr>
        <w:adjustRightInd w:val="0"/>
        <w:snapToGrid w:val="0"/>
        <w:ind w:firstLine="560"/>
        <w:rPr>
          <w:rFonts w:eastAsia="仿宋_GB2312" w:cs="Times New Roman"/>
        </w:rPr>
      </w:pPr>
      <w:r>
        <w:rPr>
          <w:rFonts w:eastAsia="仿宋_GB2312" w:cs="Times New Roman"/>
        </w:rPr>
        <w:t>4. 充电站应满足环境保护和消防安全的要求。充电站的建（构）筑物火灾危险性分类应符合现行国家标准</w:t>
      </w:r>
      <w:bookmarkStart w:id="283" w:name="OLE_LINK17"/>
      <w:r>
        <w:rPr>
          <w:rFonts w:eastAsia="仿宋_GB2312" w:cs="Times New Roman"/>
        </w:rPr>
        <w:t>《火力发电厂与变电站设计防火规范》</w:t>
      </w:r>
      <w:r>
        <w:rPr>
          <w:rFonts w:hint="eastAsia" w:eastAsia="仿宋_GB2312" w:cs="Times New Roman"/>
        </w:rPr>
        <w:t>（</w:t>
      </w:r>
      <w:r>
        <w:rPr>
          <w:rFonts w:eastAsia="仿宋_GB2312" w:cs="Times New Roman"/>
        </w:rPr>
        <w:t>GB 50229</w:t>
      </w:r>
      <w:r>
        <w:rPr>
          <w:rFonts w:hint="eastAsia" w:eastAsia="仿宋_GB2312" w:cs="Times New Roman"/>
        </w:rPr>
        <w:t>）</w:t>
      </w:r>
      <w:r>
        <w:rPr>
          <w:rFonts w:eastAsia="仿宋_GB2312" w:cs="Times New Roman"/>
        </w:rPr>
        <w:t>和《建筑设计防火规范》</w:t>
      </w:r>
      <w:r>
        <w:rPr>
          <w:rFonts w:hint="eastAsia" w:eastAsia="仿宋_GB2312" w:cs="Times New Roman"/>
        </w:rPr>
        <w:t>（</w:t>
      </w:r>
      <w:r>
        <w:rPr>
          <w:rFonts w:eastAsia="仿宋_GB2312" w:cs="Times New Roman"/>
        </w:rPr>
        <w:t>GB 50016</w:t>
      </w:r>
      <w:r>
        <w:rPr>
          <w:rFonts w:hint="eastAsia" w:eastAsia="仿宋_GB2312" w:cs="Times New Roman"/>
        </w:rPr>
        <w:t>）</w:t>
      </w:r>
      <w:r>
        <w:rPr>
          <w:rFonts w:eastAsia="仿宋_GB2312" w:cs="Times New Roman"/>
        </w:rPr>
        <w:t>的有关规定。充电站内的充电区和配电室的建（构）筑物与站内外建筑之间的防火间距应符合现行国家标准《建筑设计防火规范》</w:t>
      </w:r>
      <w:r>
        <w:rPr>
          <w:rFonts w:hint="eastAsia" w:eastAsia="仿宋_GB2312" w:cs="Times New Roman"/>
        </w:rPr>
        <w:t>（</w:t>
      </w:r>
      <w:r>
        <w:rPr>
          <w:rFonts w:eastAsia="仿宋_GB2312" w:cs="Times New Roman"/>
        </w:rPr>
        <w:t>GB 50016</w:t>
      </w:r>
      <w:r>
        <w:rPr>
          <w:rFonts w:hint="eastAsia" w:eastAsia="仿宋_GB2312" w:cs="Times New Roman"/>
        </w:rPr>
        <w:t>）</w:t>
      </w:r>
      <w:r>
        <w:rPr>
          <w:rFonts w:eastAsia="仿宋_GB2312" w:cs="Times New Roman"/>
        </w:rPr>
        <w:t>和《高层民用建筑设计防火规范》</w:t>
      </w:r>
      <w:r>
        <w:rPr>
          <w:rFonts w:hint="eastAsia" w:eastAsia="仿宋_GB2312" w:cs="Times New Roman"/>
        </w:rPr>
        <w:t>（</w:t>
      </w:r>
      <w:r>
        <w:rPr>
          <w:rFonts w:eastAsia="仿宋_GB2312" w:cs="Times New Roman"/>
        </w:rPr>
        <w:t>GB 50045</w:t>
      </w:r>
      <w:bookmarkEnd w:id="283"/>
      <w:r>
        <w:rPr>
          <w:rFonts w:hint="eastAsia" w:eastAsia="仿宋_GB2312" w:cs="Times New Roman"/>
        </w:rPr>
        <w:t>）</w:t>
      </w:r>
      <w:r>
        <w:rPr>
          <w:rFonts w:eastAsia="仿宋_GB2312" w:cs="Times New Roman"/>
        </w:rPr>
        <w:t>的有关规定，充电站建（构）筑物相应厂房类别划分应符合</w:t>
      </w:r>
      <w:r>
        <w:rPr>
          <w:rFonts w:eastAsia="仿宋_GB2312" w:cs="Times New Roman"/>
        </w:rPr>
        <w:fldChar w:fldCharType="begin"/>
      </w:r>
      <w:r>
        <w:rPr>
          <w:rFonts w:eastAsia="仿宋_GB2312" w:cs="Times New Roman"/>
        </w:rPr>
        <w:instrText xml:space="preserve"> REF _Ref116477155 \h  \* MERGEFORMAT </w:instrText>
      </w:r>
      <w:r>
        <w:rPr>
          <w:rFonts w:eastAsia="仿宋_GB2312" w:cs="Times New Roman"/>
        </w:rPr>
        <w:fldChar w:fldCharType="separate"/>
      </w:r>
      <w:r>
        <w:rPr>
          <w:rFonts w:eastAsia="仿宋_GB2312" w:cs="Times New Roman"/>
        </w:rPr>
        <w:t>表 7</w:t>
      </w:r>
      <w:r>
        <w:rPr>
          <w:rFonts w:eastAsia="仿宋_GB2312" w:cs="Times New Roman"/>
        </w:rPr>
        <w:noBreakHyphen/>
      </w:r>
      <w:r>
        <w:rPr>
          <w:rFonts w:eastAsia="仿宋_GB2312" w:cs="Times New Roman"/>
        </w:rPr>
        <w:t>1</w:t>
      </w:r>
      <w:r>
        <w:rPr>
          <w:rFonts w:eastAsia="仿宋_GB2312" w:cs="Times New Roman"/>
        </w:rPr>
        <w:fldChar w:fldCharType="end"/>
      </w:r>
      <w:r>
        <w:rPr>
          <w:rFonts w:eastAsia="仿宋_GB2312" w:cs="Times New Roman"/>
        </w:rPr>
        <w:t>的规定；</w:t>
      </w:r>
    </w:p>
    <w:p>
      <w:pPr>
        <w:pStyle w:val="19"/>
        <w:rPr>
          <w:rFonts w:eastAsia="仿宋_GB2312" w:cs="Times New Roman"/>
        </w:rPr>
      </w:pPr>
      <w:bookmarkStart w:id="284" w:name="_Ref116477155"/>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7</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bookmarkEnd w:id="284"/>
      <w:r>
        <w:rPr>
          <w:rFonts w:eastAsia="仿宋_GB2312" w:cs="Times New Roman"/>
        </w:rPr>
        <w:t>充电站建（构）筑物相应厂房类别划分</w:t>
      </w:r>
    </w:p>
    <w:tbl>
      <w:tblPr>
        <w:tblStyle w:val="76"/>
        <w:tblW w:w="503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57"/>
        <w:gridCol w:w="4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2363" w:type="pct"/>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充电站建设条件</w:t>
            </w:r>
          </w:p>
        </w:tc>
        <w:tc>
          <w:tcPr>
            <w:tcW w:w="2636" w:type="pct"/>
            <w:shd w:val="clear" w:color="auto" w:fill="auto"/>
            <w:vAlign w:val="center"/>
          </w:tcPr>
          <w:p>
            <w:pPr>
              <w:widowControl/>
              <w:adjustRightInd w:val="0"/>
              <w:snapToGrid w:val="0"/>
              <w:spacing w:line="240" w:lineRule="auto"/>
              <w:ind w:firstLine="0" w:firstLineChars="0"/>
              <w:jc w:val="center"/>
              <w:rPr>
                <w:rFonts w:eastAsia="仿宋_GB2312" w:cs="Times New Roman"/>
                <w:b/>
                <w:bCs/>
                <w:color w:val="000000"/>
                <w:kern w:val="0"/>
                <w:sz w:val="21"/>
              </w:rPr>
            </w:pPr>
            <w:r>
              <w:rPr>
                <w:rFonts w:eastAsia="仿宋_GB2312" w:cs="Times New Roman"/>
                <w:b/>
                <w:bCs/>
                <w:color w:val="000000"/>
                <w:kern w:val="0"/>
                <w:sz w:val="21"/>
              </w:rPr>
              <w:t>建（构）筑物厂房类别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36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当采用油浸变压器时</w:t>
            </w:r>
          </w:p>
        </w:tc>
        <w:tc>
          <w:tcPr>
            <w:tcW w:w="2636"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丙类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36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当采用干式变压器时</w:t>
            </w:r>
          </w:p>
        </w:tc>
        <w:tc>
          <w:tcPr>
            <w:tcW w:w="2636"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丁类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363"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当采用低压供电时</w:t>
            </w:r>
          </w:p>
        </w:tc>
        <w:tc>
          <w:tcPr>
            <w:tcW w:w="2636" w:type="pct"/>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戊类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000" w:type="pct"/>
            <w:gridSpan w:val="2"/>
            <w:shd w:val="clear" w:color="auto" w:fill="auto"/>
            <w:vAlign w:val="center"/>
          </w:tcPr>
          <w:p>
            <w:pPr>
              <w:widowControl/>
              <w:adjustRightInd w:val="0"/>
              <w:snapToGrid w:val="0"/>
              <w:spacing w:line="240" w:lineRule="auto"/>
              <w:ind w:firstLine="0" w:firstLineChars="0"/>
              <w:jc w:val="left"/>
              <w:rPr>
                <w:rFonts w:eastAsia="仿宋_GB2312" w:cs="Times New Roman"/>
                <w:color w:val="000000"/>
                <w:kern w:val="0"/>
                <w:sz w:val="18"/>
                <w:szCs w:val="18"/>
              </w:rPr>
            </w:pPr>
            <w:r>
              <w:rPr>
                <w:rFonts w:eastAsia="仿宋_GB2312" w:cs="Times New Roman"/>
                <w:color w:val="000000"/>
                <w:kern w:val="0"/>
                <w:sz w:val="18"/>
                <w:szCs w:val="18"/>
              </w:rPr>
              <w:t>注：干式变压器包括SF6气体变压器和环氧树脂浇筑变压器等。</w:t>
            </w:r>
          </w:p>
        </w:tc>
      </w:tr>
    </w:tbl>
    <w:p>
      <w:pPr>
        <w:adjustRightInd w:val="0"/>
        <w:snapToGrid w:val="0"/>
        <w:ind w:firstLine="560"/>
        <w:rPr>
          <w:rFonts w:eastAsia="仿宋_GB2312" w:cs="Times New Roman"/>
        </w:rPr>
      </w:pPr>
      <w:r>
        <w:rPr>
          <w:rFonts w:eastAsia="仿宋_GB2312" w:cs="Times New Roman"/>
        </w:rPr>
        <w:t>5.充电站不应靠近有潜在火灾或爆炸危险的地方，当与有爆炸危险的建筑物毗邻时，应符合现行国家标准</w:t>
      </w:r>
      <w:bookmarkStart w:id="285" w:name="OLE_LINK18"/>
      <w:r>
        <w:rPr>
          <w:rFonts w:eastAsia="仿宋_GB2312" w:cs="Times New Roman"/>
        </w:rPr>
        <w:t>《爆炸危险环境电力装置设计规范》</w:t>
      </w:r>
      <w:r>
        <w:rPr>
          <w:rFonts w:hint="eastAsia" w:eastAsia="仿宋_GB2312" w:cs="Times New Roman"/>
        </w:rPr>
        <w:t>（</w:t>
      </w:r>
      <w:r>
        <w:rPr>
          <w:rFonts w:eastAsia="仿宋_GB2312" w:cs="Times New Roman"/>
        </w:rPr>
        <w:t>GB 50058</w:t>
      </w:r>
      <w:bookmarkEnd w:id="285"/>
      <w:r>
        <w:rPr>
          <w:rFonts w:hint="eastAsia" w:eastAsia="仿宋_GB2312" w:cs="Times New Roman"/>
        </w:rPr>
        <w:t>）</w:t>
      </w:r>
      <w:r>
        <w:rPr>
          <w:rFonts w:eastAsia="仿宋_GB2312" w:cs="Times New Roman"/>
        </w:rPr>
        <w:t>的有关规定；</w:t>
      </w:r>
    </w:p>
    <w:p>
      <w:pPr>
        <w:adjustRightInd w:val="0"/>
        <w:snapToGrid w:val="0"/>
        <w:ind w:firstLine="560"/>
        <w:rPr>
          <w:rFonts w:eastAsia="仿宋_GB2312" w:cs="Times New Roman"/>
        </w:rPr>
      </w:pPr>
      <w:r>
        <w:rPr>
          <w:rFonts w:eastAsia="仿宋_GB2312" w:cs="Times New Roman"/>
        </w:rPr>
        <w:t>6. 充电站不宜建设在高压线路下方，避免触电和火灾风险发生；</w:t>
      </w:r>
    </w:p>
    <w:p>
      <w:pPr>
        <w:adjustRightInd w:val="0"/>
        <w:snapToGrid w:val="0"/>
        <w:ind w:firstLine="560"/>
        <w:rPr>
          <w:rFonts w:eastAsia="仿宋_GB2312" w:cs="Times New Roman"/>
        </w:rPr>
      </w:pPr>
      <w:r>
        <w:rPr>
          <w:rFonts w:eastAsia="仿宋_GB2312" w:cs="Times New Roman"/>
        </w:rPr>
        <w:t xml:space="preserve">7. </w:t>
      </w:r>
      <w:bookmarkStart w:id="286" w:name="OLE_LINK21"/>
      <w:r>
        <w:rPr>
          <w:rFonts w:eastAsia="仿宋_GB2312" w:cs="Times New Roman"/>
        </w:rPr>
        <w:t>充电站不宜设在</w:t>
      </w:r>
      <w:bookmarkEnd w:id="286"/>
      <w:r>
        <w:rPr>
          <w:rFonts w:eastAsia="仿宋_GB2312" w:cs="Times New Roman"/>
        </w:rPr>
        <w:t>多尘或有腐蚀性气体的场所，当无法远离时，不应设在污染源盛行风向的下风侧；</w:t>
      </w:r>
    </w:p>
    <w:p>
      <w:pPr>
        <w:adjustRightInd w:val="0"/>
        <w:snapToGrid w:val="0"/>
        <w:ind w:firstLine="560"/>
        <w:rPr>
          <w:rFonts w:eastAsia="仿宋_GB2312" w:cs="Times New Roman"/>
        </w:rPr>
      </w:pPr>
      <w:r>
        <w:rPr>
          <w:rFonts w:eastAsia="仿宋_GB2312" w:cs="Times New Roman"/>
        </w:rPr>
        <w:t>8. 充电站不应设在有剧烈振动的场所，如铁路正下方；</w:t>
      </w:r>
    </w:p>
    <w:p>
      <w:pPr>
        <w:adjustRightInd w:val="0"/>
        <w:snapToGrid w:val="0"/>
        <w:ind w:firstLine="560"/>
        <w:rPr>
          <w:rFonts w:eastAsia="仿宋_GB2312" w:cs="Times New Roman"/>
        </w:rPr>
      </w:pPr>
      <w:r>
        <w:rPr>
          <w:rFonts w:eastAsia="仿宋_GB2312" w:cs="Times New Roman"/>
        </w:rPr>
        <w:t>9. 充电站的环境温度应满足为新能源汽车动力蓄电池正常充电的要求</w:t>
      </w:r>
      <w:r>
        <w:rPr>
          <w:rFonts w:hint="eastAsia" w:eastAsia="仿宋_GB2312" w:cs="Times New Roman"/>
        </w:rPr>
        <w:t>；</w:t>
      </w:r>
    </w:p>
    <w:p>
      <w:pPr>
        <w:adjustRightInd w:val="0"/>
        <w:snapToGrid w:val="0"/>
        <w:ind w:firstLine="560"/>
        <w:rPr>
          <w:rFonts w:eastAsia="仿宋_GB2312" w:cs="Times New Roman"/>
        </w:rPr>
      </w:pPr>
      <w:r>
        <w:rPr>
          <w:rFonts w:eastAsia="仿宋_GB2312" w:cs="Times New Roman"/>
        </w:rPr>
        <w:t xml:space="preserve">10. 在加油站及附近建设充电站需满足消防及安全距离。如一级加油站，充电桩安全距离30米；二级加油站（一般为市区的加油站），安全距离是16米； </w:t>
      </w:r>
      <w:r>
        <w:rPr>
          <w:rFonts w:hint="eastAsia" w:eastAsia="仿宋_GB2312" w:cs="Times New Roman"/>
        </w:rPr>
        <w:t>三</w:t>
      </w:r>
      <w:r>
        <w:rPr>
          <w:rFonts w:eastAsia="仿宋_GB2312" w:cs="Times New Roman"/>
        </w:rPr>
        <w:t>级加油站，安全距离是12米。城区现有加油站受限于空间及安全距离要求，很难在加油站内或附近建设充电站，而高速服务区空间大，可优先在服务区内建设充电站。（备注：目前所有的规章规程并没有明确充电桩与加油站具体安全间距，参考规范GB50156-2012（2014版）中5.0.7条，电动汽车充电设施应布置在辅助服务区内，即加油加气作业区以外的区域。电动汽车充电设施至少距卸油口4.5m，距通气管5m，距加油机6m）</w:t>
      </w:r>
    </w:p>
    <w:p>
      <w:pPr>
        <w:pStyle w:val="4"/>
        <w:spacing w:before="156" w:after="156"/>
        <w:rPr>
          <w:rFonts w:eastAsia="仿宋_GB2312"/>
        </w:rPr>
      </w:pPr>
      <w:bookmarkStart w:id="287" w:name="_Toc117243254"/>
      <w:r>
        <w:rPr>
          <w:rFonts w:eastAsia="仿宋_GB2312"/>
        </w:rPr>
        <w:t>场址设计安全</w:t>
      </w:r>
      <w:bookmarkEnd w:id="287"/>
    </w:p>
    <w:p>
      <w:pPr>
        <w:adjustRightInd w:val="0"/>
        <w:snapToGrid w:val="0"/>
        <w:ind w:firstLine="560"/>
        <w:rPr>
          <w:rFonts w:eastAsia="仿宋_GB2312" w:cs="Times New Roman"/>
        </w:rPr>
      </w:pPr>
      <w:r>
        <w:rPr>
          <w:rFonts w:eastAsia="仿宋_GB2312" w:cs="Times New Roman"/>
        </w:rPr>
        <w:t>1.充电站包括站内建筑、站内外行车道、充电区、临时停车区及供配电设施等。站区总布置应满足总体规划要求，并应符合站内工艺布置合理、功能分区明确、交通便利和节约用地的原则。</w:t>
      </w:r>
    </w:p>
    <w:p>
      <w:pPr>
        <w:adjustRightInd w:val="0"/>
        <w:snapToGrid w:val="0"/>
        <w:ind w:firstLine="560"/>
        <w:rPr>
          <w:rFonts w:eastAsia="仿宋_GB2312" w:cs="Times New Roman"/>
        </w:rPr>
      </w:pPr>
      <w:r>
        <w:rPr>
          <w:rFonts w:eastAsia="仿宋_GB2312" w:cs="Times New Roman"/>
        </w:rPr>
        <w:t>2.充电站宜单独设置车辆出入口。</w:t>
      </w:r>
    </w:p>
    <w:p>
      <w:pPr>
        <w:adjustRightInd w:val="0"/>
        <w:snapToGrid w:val="0"/>
        <w:ind w:firstLine="560"/>
        <w:rPr>
          <w:rFonts w:eastAsia="仿宋_GB2312" w:cs="Times New Roman"/>
        </w:rPr>
      </w:pPr>
      <w:r>
        <w:rPr>
          <w:rFonts w:eastAsia="仿宋_GB2312" w:cs="Times New Roman"/>
        </w:rPr>
        <w:t>3.充电设备应靠近充电位布置，以便于充电，设备外廓距充申</w:t>
      </w:r>
      <w:r>
        <w:rPr>
          <w:rFonts w:hint="eastAsia" w:eastAsia="仿宋_GB2312" w:cs="Times New Roman"/>
        </w:rPr>
        <w:t>设备</w:t>
      </w:r>
      <w:r>
        <w:rPr>
          <w:rFonts w:eastAsia="仿宋_GB2312" w:cs="Times New Roman"/>
        </w:rPr>
        <w:t>边缘的净距不宜小于0.4m。充电设备的布置不应妨碍其他车辆的充电和通行，同时应采取保护充电设备及操作人员安全的措施。</w:t>
      </w:r>
    </w:p>
    <w:p>
      <w:pPr>
        <w:adjustRightInd w:val="0"/>
        <w:snapToGrid w:val="0"/>
        <w:ind w:firstLine="560"/>
        <w:rPr>
          <w:rFonts w:eastAsia="仿宋_GB2312" w:cs="Times New Roman"/>
        </w:rPr>
      </w:pPr>
      <w:r>
        <w:rPr>
          <w:rFonts w:eastAsia="仿宋_GB2312" w:cs="Times New Roman"/>
        </w:rPr>
        <w:t>4.充电站内建筑的布置应方便观察充电区域。</w:t>
      </w:r>
    </w:p>
    <w:p>
      <w:pPr>
        <w:adjustRightInd w:val="0"/>
        <w:snapToGrid w:val="0"/>
        <w:ind w:firstLine="560"/>
        <w:rPr>
          <w:rFonts w:eastAsia="仿宋_GB2312" w:cs="Times New Roman"/>
        </w:rPr>
      </w:pPr>
      <w:r>
        <w:rPr>
          <w:rFonts w:eastAsia="仿宋_GB2312" w:cs="Times New Roman"/>
        </w:rPr>
        <w:t>5. 充电站宜设置临时停车位置，充电站的进出站道路应与站外市政道路顺畅衔接。</w:t>
      </w:r>
    </w:p>
    <w:p>
      <w:pPr>
        <w:adjustRightInd w:val="0"/>
        <w:snapToGrid w:val="0"/>
        <w:ind w:firstLine="560"/>
        <w:rPr>
          <w:rFonts w:eastAsia="仿宋_GB2312" w:cs="Times New Roman"/>
        </w:rPr>
      </w:pPr>
      <w:r>
        <w:rPr>
          <w:rFonts w:eastAsia="仿宋_GB2312" w:cs="Times New Roman"/>
        </w:rPr>
        <w:t>6. 充电站内道路的设置应满足消防及服务车辆通行的要求。充电站的出入口不宜少于2个，当充电站的车位不超过50个时，可设置1个出入口。入口和出口宜分开设置，并应明确指示标识。</w:t>
      </w:r>
    </w:p>
    <w:p>
      <w:pPr>
        <w:adjustRightInd w:val="0"/>
        <w:snapToGrid w:val="0"/>
        <w:ind w:firstLine="560"/>
        <w:rPr>
          <w:rFonts w:eastAsia="仿宋_GB2312" w:cs="Times New Roman"/>
        </w:rPr>
      </w:pPr>
      <w:r>
        <w:rPr>
          <w:rFonts w:eastAsia="仿宋_GB2312" w:cs="Times New Roman"/>
        </w:rPr>
        <w:t>7.充电站内双列布置充电位时，中间行车道宜按行驶车型双车道设置；单列布置充电位时，行车道宜按行驶车型双车道设置。充电站内的单车道宽度不应小于3.5m，双车道宽度不应小于6m。充电站内道路的转弯半径应按行驶车型确定，且不宜小于9m，道路坡度不应大于6%，且宜坡向站外。充电站内道路不宜采用沥青路面。</w:t>
      </w:r>
    </w:p>
    <w:p>
      <w:pPr>
        <w:pStyle w:val="2"/>
        <w:rPr>
          <w:rFonts w:eastAsia="仿宋_GB2312" w:cs="Times New Roman"/>
        </w:rPr>
      </w:pPr>
      <w:bookmarkStart w:id="288" w:name="_Toc43134246"/>
      <w:bookmarkStart w:id="289" w:name="_Toc117243255"/>
      <w:r>
        <w:rPr>
          <w:rFonts w:eastAsia="仿宋_GB2312" w:cs="Times New Roman"/>
        </w:rPr>
        <w:t>重点任务</w:t>
      </w:r>
      <w:bookmarkEnd w:id="288"/>
      <w:r>
        <w:rPr>
          <w:rFonts w:eastAsia="仿宋_GB2312" w:cs="Times New Roman"/>
        </w:rPr>
        <w:t>及实施计划</w:t>
      </w:r>
      <w:bookmarkEnd w:id="289"/>
    </w:p>
    <w:p>
      <w:pPr>
        <w:pStyle w:val="3"/>
        <w:adjustRightInd w:val="0"/>
        <w:rPr>
          <w:rFonts w:eastAsia="仿宋_GB2312" w:cs="Times New Roman"/>
        </w:rPr>
      </w:pPr>
      <w:bookmarkStart w:id="290" w:name="_Toc117243256"/>
      <w:bookmarkStart w:id="291" w:name="_Hlk39070345"/>
      <w:r>
        <w:rPr>
          <w:rFonts w:eastAsia="仿宋_GB2312" w:cs="Times New Roman"/>
        </w:rPr>
        <w:t>重点任务</w:t>
      </w:r>
      <w:bookmarkEnd w:id="290"/>
    </w:p>
    <w:p>
      <w:pPr>
        <w:pStyle w:val="4"/>
        <w:spacing w:before="156" w:after="156"/>
        <w:rPr>
          <w:rFonts w:eastAsia="仿宋_GB2312"/>
        </w:rPr>
      </w:pPr>
      <w:bookmarkStart w:id="292" w:name="_Toc117243257"/>
      <w:r>
        <w:rPr>
          <w:rFonts w:eastAsia="仿宋_GB2312"/>
        </w:rPr>
        <w:t>推动充电基础设施体系建设</w:t>
      </w:r>
      <w:bookmarkEnd w:id="292"/>
    </w:p>
    <w:bookmarkEnd w:id="291"/>
    <w:p>
      <w:pPr>
        <w:pStyle w:val="106"/>
        <w:numPr>
          <w:ilvl w:val="0"/>
          <w:numId w:val="29"/>
        </w:numPr>
        <w:adjustRightInd w:val="0"/>
        <w:snapToGrid w:val="0"/>
        <w:ind w:firstLineChars="0"/>
        <w:rPr>
          <w:rFonts w:eastAsia="仿宋_GB2312" w:cs="Times New Roman"/>
          <w:b/>
          <w:bCs/>
        </w:rPr>
      </w:pPr>
      <w:bookmarkStart w:id="293" w:name="_Hlk39070352"/>
      <w:bookmarkStart w:id="294" w:name="_Toc43134248"/>
      <w:r>
        <w:rPr>
          <w:rFonts w:eastAsia="仿宋_GB2312" w:cs="Times New Roman"/>
          <w:b/>
          <w:bCs/>
        </w:rPr>
        <w:t>加强规划指导</w:t>
      </w:r>
    </w:p>
    <w:p>
      <w:pPr>
        <w:pStyle w:val="106"/>
        <w:adjustRightInd w:val="0"/>
        <w:snapToGrid w:val="0"/>
        <w:ind w:firstLine="560"/>
        <w:rPr>
          <w:rFonts w:eastAsia="仿宋_GB2312" w:cs="Times New Roman"/>
        </w:rPr>
      </w:pPr>
      <w:r>
        <w:rPr>
          <w:rFonts w:eastAsia="仿宋_GB2312" w:cs="Times New Roman"/>
        </w:rPr>
        <w:t>组织编制全市新能源汽车充电基础设施专项规划，研究制定充电基础设施建设运营管理办法。制定充电基础设施建设方案，完善独立占地充电基础设施布局，并将有关内容纳入本地城乡规划和配电网建设改造规划，做好与本地区国民经济和社会发展“十四五”规划的衔接。</w:t>
      </w:r>
    </w:p>
    <w:p>
      <w:pPr>
        <w:pStyle w:val="106"/>
        <w:numPr>
          <w:ilvl w:val="0"/>
          <w:numId w:val="29"/>
        </w:numPr>
        <w:adjustRightInd w:val="0"/>
        <w:snapToGrid w:val="0"/>
        <w:ind w:firstLineChars="0"/>
        <w:rPr>
          <w:rFonts w:eastAsia="仿宋_GB2312" w:cs="Times New Roman"/>
          <w:b/>
          <w:bCs/>
        </w:rPr>
      </w:pPr>
      <w:r>
        <w:rPr>
          <w:rFonts w:eastAsia="仿宋_GB2312" w:cs="Times New Roman"/>
          <w:b/>
          <w:bCs/>
        </w:rPr>
        <w:t>完善标准规范</w:t>
      </w:r>
    </w:p>
    <w:p>
      <w:pPr>
        <w:adjustRightInd w:val="0"/>
        <w:snapToGrid w:val="0"/>
        <w:ind w:firstLine="560"/>
        <w:rPr>
          <w:rFonts w:eastAsia="仿宋_GB2312" w:cs="Times New Roman"/>
        </w:rPr>
      </w:pPr>
      <w:r>
        <w:rPr>
          <w:rFonts w:eastAsia="仿宋_GB2312" w:cs="Times New Roman"/>
        </w:rPr>
        <w:t>编制全市充电基础设施建设标准和技术规范，实现充电标准统一。开展充电设施场所消防等安全技术措施研究，及时制修订相关标准。完善充电基础设施计量、计费、结算等运营服务管理规范。</w:t>
      </w:r>
    </w:p>
    <w:p>
      <w:pPr>
        <w:pStyle w:val="106"/>
        <w:numPr>
          <w:ilvl w:val="0"/>
          <w:numId w:val="29"/>
        </w:numPr>
        <w:adjustRightInd w:val="0"/>
        <w:snapToGrid w:val="0"/>
        <w:ind w:firstLineChars="0"/>
        <w:rPr>
          <w:rFonts w:eastAsia="仿宋_GB2312" w:cs="Times New Roman"/>
          <w:b/>
          <w:bCs/>
        </w:rPr>
      </w:pPr>
      <w:r>
        <w:rPr>
          <w:rFonts w:eastAsia="仿宋_GB2312" w:cs="Times New Roman"/>
          <w:b/>
          <w:bCs/>
        </w:rPr>
        <w:t>明确配建要求</w:t>
      </w:r>
    </w:p>
    <w:p>
      <w:pPr>
        <w:adjustRightInd w:val="0"/>
        <w:snapToGrid w:val="0"/>
        <w:ind w:firstLine="560"/>
        <w:rPr>
          <w:rFonts w:eastAsia="仿宋_GB2312" w:cs="Times New Roman"/>
        </w:rPr>
      </w:pPr>
      <w:r>
        <w:rPr>
          <w:rFonts w:eastAsia="仿宋_GB2312" w:cs="Times New Roman"/>
        </w:rPr>
        <w:t>新建住宅小区停车位应全部预留充电桩建设安装条件，配建的充电桩原则上不少于规划停车位的10%。研究制定老旧住宅小区、公共建筑物和社会公共停车场充电桩配套改造实施办法、私人用户居住地充电基础设施建设管理办法、充电桩车位管理办法等。</w:t>
      </w:r>
    </w:p>
    <w:p>
      <w:pPr>
        <w:pStyle w:val="106"/>
        <w:numPr>
          <w:ilvl w:val="0"/>
          <w:numId w:val="29"/>
        </w:numPr>
        <w:adjustRightInd w:val="0"/>
        <w:snapToGrid w:val="0"/>
        <w:ind w:firstLineChars="0"/>
        <w:rPr>
          <w:rFonts w:eastAsia="仿宋_GB2312" w:cs="Times New Roman"/>
          <w:b/>
          <w:bCs/>
        </w:rPr>
      </w:pPr>
      <w:r>
        <w:rPr>
          <w:rFonts w:eastAsia="仿宋_GB2312" w:cs="Times New Roman"/>
          <w:b/>
          <w:bCs/>
        </w:rPr>
        <w:t>加强配套电网</w:t>
      </w:r>
    </w:p>
    <w:p>
      <w:pPr>
        <w:adjustRightInd w:val="0"/>
        <w:snapToGrid w:val="0"/>
        <w:ind w:firstLine="560"/>
        <w:rPr>
          <w:rFonts w:eastAsia="仿宋_GB2312" w:cs="Times New Roman"/>
        </w:rPr>
      </w:pPr>
      <w:r>
        <w:rPr>
          <w:rFonts w:eastAsia="仿宋_GB2312" w:cs="Times New Roman"/>
        </w:rPr>
        <w:t>根据住宅小区、各类建筑物配建充电基础设施需求，修改完善相关标准规范。电网企业要加强充电基础设施配套电网建设与改造，为充电基础设施接入电网提供便利服务，保障充电基础设施无障碍接入，确保电力供应满足充电基础设施运营需求。</w:t>
      </w:r>
    </w:p>
    <w:p>
      <w:pPr>
        <w:pStyle w:val="106"/>
        <w:numPr>
          <w:ilvl w:val="0"/>
          <w:numId w:val="29"/>
        </w:numPr>
        <w:adjustRightInd w:val="0"/>
        <w:snapToGrid w:val="0"/>
        <w:ind w:firstLineChars="0"/>
        <w:rPr>
          <w:rFonts w:eastAsia="仿宋_GB2312" w:cs="Times New Roman"/>
          <w:b/>
          <w:bCs/>
        </w:rPr>
      </w:pPr>
      <w:r>
        <w:rPr>
          <w:rFonts w:eastAsia="仿宋_GB2312" w:cs="Times New Roman"/>
          <w:b/>
          <w:bCs/>
        </w:rPr>
        <w:t>大力推进设施建设</w:t>
      </w:r>
    </w:p>
    <w:p>
      <w:pPr>
        <w:adjustRightInd w:val="0"/>
        <w:snapToGrid w:val="0"/>
        <w:ind w:firstLine="560"/>
        <w:rPr>
          <w:rFonts w:eastAsia="仿宋_GB2312" w:cs="Times New Roman"/>
        </w:rPr>
      </w:pPr>
      <w:r>
        <w:rPr>
          <w:rFonts w:hint="eastAsia" w:eastAsia="仿宋_GB2312" w:cs="Times New Roman"/>
        </w:rPr>
        <w:t>各区县</w:t>
      </w:r>
      <w:r>
        <w:rPr>
          <w:rFonts w:eastAsia="仿宋_GB2312" w:cs="Times New Roman"/>
        </w:rPr>
        <w:t>要着力推进公共服务领域充电基础设施建设，加快推动用户居住地充电基础设施建设，积极开展单位内部停车场充电基础设施建设，大力推进城市公共充电网络建设，尽快形成充电服务、物业服务等企业参与充电设施建设运营管理、单位和个人充电设施向社会公众开放、充电车位分时共享的市场机制。</w:t>
      </w:r>
    </w:p>
    <w:p>
      <w:pPr>
        <w:pStyle w:val="106"/>
        <w:numPr>
          <w:ilvl w:val="0"/>
          <w:numId w:val="29"/>
        </w:numPr>
        <w:adjustRightInd w:val="0"/>
        <w:snapToGrid w:val="0"/>
        <w:ind w:firstLineChars="0"/>
        <w:rPr>
          <w:rFonts w:eastAsia="仿宋_GB2312" w:cs="Times New Roman"/>
          <w:b/>
          <w:bCs/>
        </w:rPr>
      </w:pPr>
      <w:r>
        <w:rPr>
          <w:rFonts w:eastAsia="仿宋_GB2312" w:cs="Times New Roman"/>
          <w:b/>
          <w:bCs/>
        </w:rPr>
        <w:t>引入社会资本</w:t>
      </w:r>
    </w:p>
    <w:p>
      <w:pPr>
        <w:adjustRightInd w:val="0"/>
        <w:snapToGrid w:val="0"/>
        <w:ind w:firstLine="560"/>
        <w:rPr>
          <w:rFonts w:eastAsia="仿宋_GB2312" w:cs="Times New Roman"/>
        </w:rPr>
      </w:pPr>
      <w:r>
        <w:rPr>
          <w:rFonts w:hint="eastAsia" w:eastAsia="仿宋_GB2312" w:cs="Times New Roman"/>
        </w:rPr>
        <w:t>应</w:t>
      </w:r>
      <w:r>
        <w:rPr>
          <w:rFonts w:eastAsia="仿宋_GB2312" w:cs="Times New Roman"/>
        </w:rPr>
        <w:t>有效整合公交、出租车场站以及社会公共停车场等各类公共资源，加快充电基础设施项目建设；积极推进政府和社会资本合作，通过特许经营、购买服务等多种方式，吸引各类投资主体建设运营公共服务领域充电基础设施、城市公共充电网络及智能服务平台。</w:t>
      </w:r>
    </w:p>
    <w:p>
      <w:pPr>
        <w:pStyle w:val="4"/>
        <w:spacing w:before="156" w:after="156"/>
        <w:rPr>
          <w:rFonts w:eastAsia="仿宋_GB2312"/>
        </w:rPr>
      </w:pPr>
      <w:bookmarkStart w:id="295" w:name="_Toc117243258"/>
      <w:r>
        <w:rPr>
          <w:rFonts w:eastAsia="仿宋_GB2312"/>
        </w:rPr>
        <w:t>加强服务平台</w:t>
      </w:r>
      <w:bookmarkEnd w:id="293"/>
      <w:bookmarkEnd w:id="294"/>
      <w:r>
        <w:rPr>
          <w:rFonts w:eastAsia="仿宋_GB2312"/>
        </w:rPr>
        <w:t>管理</w:t>
      </w:r>
      <w:bookmarkEnd w:id="295"/>
    </w:p>
    <w:p>
      <w:pPr>
        <w:adjustRightInd w:val="0"/>
        <w:snapToGrid w:val="0"/>
        <w:ind w:firstLine="560"/>
        <w:rPr>
          <w:rFonts w:eastAsia="仿宋_GB2312" w:cs="Times New Roman"/>
        </w:rPr>
      </w:pPr>
      <w:r>
        <w:rPr>
          <w:rFonts w:eastAsia="仿宋_GB2312" w:cs="Times New Roman"/>
        </w:rPr>
        <w:t>加强充电设施服务平台建设与管理，实现不同平台间数据互联互通，实现“互联网＋充电基础设施”，融合互联网、物联网、</w:t>
      </w:r>
      <w:r>
        <w:rPr>
          <w:rFonts w:hint="eastAsia" w:eastAsia="仿宋_GB2312" w:cs="Times New Roman"/>
        </w:rPr>
        <w:t>人工</w:t>
      </w:r>
      <w:r>
        <w:rPr>
          <w:rFonts w:eastAsia="仿宋_GB2312" w:cs="Times New Roman"/>
        </w:rPr>
        <w:t>智能、大数据等技术，提高充电服务智能化水平，构建统一信息交换、促进互联互通的充电基础设施信息服务平台。通过手机app即可查询各充电站及充电桩利用情况，推荐新能源车主最优充电方案，缩短车主找桩时间，提高充电效率。</w:t>
      </w:r>
    </w:p>
    <w:p>
      <w:pPr>
        <w:adjustRightInd w:val="0"/>
        <w:snapToGrid w:val="0"/>
        <w:ind w:firstLine="560"/>
        <w:rPr>
          <w:rFonts w:eastAsia="仿宋_GB2312" w:cs="Times New Roman"/>
        </w:rPr>
      </w:pPr>
      <w:r>
        <w:rPr>
          <w:rFonts w:eastAsia="仿宋_GB2312" w:cs="Times New Roman"/>
        </w:rPr>
        <w:t>整合公用充电站和私人充电桩资源，对新能源汽车智能充电服务平台进行研究，为用户提供自助式的预约充电服务和多样化的智能服务，具体如下:</w:t>
      </w:r>
    </w:p>
    <w:p>
      <w:pPr>
        <w:adjustRightInd w:val="0"/>
        <w:snapToGrid w:val="0"/>
        <w:ind w:firstLine="560"/>
        <w:rPr>
          <w:rFonts w:eastAsia="仿宋_GB2312" w:cs="Times New Roman"/>
        </w:rPr>
      </w:pPr>
      <w:r>
        <w:rPr>
          <w:rFonts w:eastAsia="仿宋_GB2312" w:cs="Times New Roman"/>
        </w:rPr>
        <w:t>（1）根据业务架构，将新能源汽车充电服务平台划分为充电站查询系统、充电预约系统、充电桩分享系统、充电用户管理系统、平台数据接入系统、车位锁监控系统和智能充电调度系统这</w:t>
      </w:r>
      <w:r>
        <w:rPr>
          <w:rFonts w:hint="eastAsia" w:eastAsia="仿宋_GB2312" w:cs="Times New Roman"/>
        </w:rPr>
        <w:t>6</w:t>
      </w:r>
      <w:r>
        <w:rPr>
          <w:rFonts w:eastAsia="仿宋_GB2312" w:cs="Times New Roman"/>
        </w:rPr>
        <w:t>个子系统，从分层、集群、缓存、异步这4个角度阐述了平台的物理架构设计，并设计了车位锁的硬件结构。</w:t>
      </w:r>
    </w:p>
    <w:p>
      <w:pPr>
        <w:adjustRightInd w:val="0"/>
        <w:snapToGrid w:val="0"/>
        <w:ind w:firstLine="560"/>
        <w:rPr>
          <w:rFonts w:eastAsia="仿宋_GB2312" w:cs="Times New Roman"/>
        </w:rPr>
      </w:pPr>
      <w:r>
        <w:rPr>
          <w:rFonts w:eastAsia="仿宋_GB2312" w:cs="Times New Roman"/>
        </w:rPr>
        <w:t>（2）从功能结构、总体数据流程、系统子功能、数据表、接口协议、数据通讯机制等方面，对新能源汽车智能充电服务平台的7个子系统进行了设计与实现。</w:t>
      </w:r>
    </w:p>
    <w:p>
      <w:pPr>
        <w:adjustRightInd w:val="0"/>
        <w:snapToGrid w:val="0"/>
        <w:ind w:firstLine="560"/>
        <w:rPr>
          <w:rFonts w:eastAsia="仿宋_GB2312" w:cs="Times New Roman"/>
        </w:rPr>
      </w:pPr>
      <w:r>
        <w:rPr>
          <w:rFonts w:eastAsia="仿宋_GB2312" w:cs="Times New Roman"/>
        </w:rPr>
        <w:t>（3）设计可达充电站快速搜索方法。将可达充电站搜索过程分为搜索和过滤两个步骤，提出了基于多级网格索引技术的可达充电站搜索算法，该算法可快速搜索一定范围内的充电站。并且，在对算法复杂度进行了详细分析后，通过一个实际的查询场景对算法进行了验证。</w:t>
      </w:r>
    </w:p>
    <w:p>
      <w:pPr>
        <w:adjustRightInd w:val="0"/>
        <w:snapToGrid w:val="0"/>
        <w:ind w:firstLine="560"/>
        <w:rPr>
          <w:rFonts w:eastAsia="仿宋_GB2312" w:cs="Times New Roman"/>
        </w:rPr>
      </w:pPr>
      <w:r>
        <w:rPr>
          <w:rFonts w:eastAsia="仿宋_GB2312" w:cs="Times New Roman"/>
        </w:rPr>
        <w:t>（4）设计智能充电路径规划方法。在考虑总行程时间最短的基础上，保证充电路径与实践路径方向趋势一致的充电路径规划算法。</w:t>
      </w:r>
    </w:p>
    <w:p>
      <w:pPr>
        <w:pStyle w:val="4"/>
        <w:spacing w:before="156" w:after="156"/>
        <w:rPr>
          <w:rFonts w:eastAsia="仿宋_GB2312"/>
        </w:rPr>
      </w:pPr>
      <w:bookmarkStart w:id="296" w:name="_Toc43134249"/>
      <w:bookmarkStart w:id="297" w:name="_Toc117243259"/>
      <w:bookmarkStart w:id="298" w:name="_Hlk39070367"/>
      <w:r>
        <w:rPr>
          <w:rFonts w:eastAsia="仿宋_GB2312"/>
        </w:rPr>
        <w:t>加强配套电网保障能力</w:t>
      </w:r>
      <w:bookmarkEnd w:id="296"/>
      <w:bookmarkEnd w:id="297"/>
    </w:p>
    <w:bookmarkEnd w:id="298"/>
    <w:p>
      <w:pPr>
        <w:pStyle w:val="106"/>
        <w:adjustRightInd w:val="0"/>
        <w:snapToGrid w:val="0"/>
        <w:ind w:left="560" w:firstLine="0" w:firstLineChars="0"/>
        <w:rPr>
          <w:rFonts w:eastAsia="仿宋_GB2312" w:cs="Times New Roman"/>
          <w:b/>
          <w:bCs/>
        </w:rPr>
      </w:pPr>
      <w:bookmarkStart w:id="299" w:name="_Toc43134250"/>
      <w:bookmarkStart w:id="300" w:name="_Hlk39070360"/>
      <w:r>
        <w:rPr>
          <w:rFonts w:eastAsia="仿宋_GB2312" w:cs="Times New Roman"/>
          <w:b/>
          <w:bCs/>
        </w:rPr>
        <w:t>1.加强配套电网建设</w:t>
      </w:r>
    </w:p>
    <w:p>
      <w:pPr>
        <w:adjustRightInd w:val="0"/>
        <w:snapToGrid w:val="0"/>
        <w:ind w:firstLine="560"/>
        <w:rPr>
          <w:rFonts w:eastAsia="仿宋_GB2312" w:cs="Times New Roman"/>
          <w:sz w:val="32"/>
          <w:szCs w:val="32"/>
        </w:rPr>
      </w:pPr>
      <w:r>
        <w:rPr>
          <w:rFonts w:eastAsia="仿宋_GB2312" w:cs="Times New Roman"/>
        </w:rPr>
        <w:t>将充电基础设施配套电网建设与改造项目纳入配电网专项规划，在用地保障、廊道通行等方面给予支持，切实做到“设施建设、电网先行”。电网企业要加强充电基础设施配套电网规划、建设与改造，保障充电基础设施无障碍接入，满足充电设施运营需求。</w:t>
      </w:r>
    </w:p>
    <w:p>
      <w:pPr>
        <w:pStyle w:val="106"/>
        <w:adjustRightInd w:val="0"/>
        <w:snapToGrid w:val="0"/>
        <w:ind w:left="560" w:firstLine="0" w:firstLineChars="0"/>
        <w:rPr>
          <w:rFonts w:eastAsia="仿宋_GB2312" w:cs="Times New Roman"/>
          <w:b/>
          <w:bCs/>
        </w:rPr>
      </w:pPr>
      <w:r>
        <w:rPr>
          <w:rFonts w:eastAsia="仿宋_GB2312" w:cs="Times New Roman"/>
          <w:b/>
          <w:bCs/>
        </w:rPr>
        <w:t>2.完善供电服务</w:t>
      </w:r>
    </w:p>
    <w:p>
      <w:pPr>
        <w:adjustRightInd w:val="0"/>
        <w:snapToGrid w:val="0"/>
        <w:ind w:firstLine="560"/>
        <w:rPr>
          <w:rFonts w:eastAsia="仿宋_GB2312" w:cs="Times New Roman"/>
          <w:sz w:val="32"/>
          <w:szCs w:val="32"/>
        </w:rPr>
      </w:pPr>
      <w:r>
        <w:rPr>
          <w:rFonts w:eastAsia="仿宋_GB2312" w:cs="Times New Roman"/>
        </w:rPr>
        <w:t>电网企业要为充电基础设施接入电网提供便利条件，开辟绿色通道，优化流程，简化手续，提高效率，限时办结，加强效率监督和问责。用户在项目建设意向确定后，应及时向供电部门提交用电报装申请，在合理时间内，供电部门积极开展电源配套项目建设。充电基础设施产权分界点至电网的配套接网工程，由电网企业负责建设和运行维护，相应资产全额纳入有效资产，相应成本据实计入准许成本，通过电网输配电价回收。</w:t>
      </w:r>
    </w:p>
    <w:bookmarkEnd w:id="299"/>
    <w:bookmarkEnd w:id="300"/>
    <w:p>
      <w:pPr>
        <w:pStyle w:val="4"/>
        <w:spacing w:before="156" w:after="156"/>
        <w:rPr>
          <w:rFonts w:eastAsia="仿宋_GB2312"/>
        </w:rPr>
      </w:pPr>
      <w:bookmarkStart w:id="301" w:name="_Toc117243260"/>
      <w:bookmarkStart w:id="302" w:name="_Hlk39070388"/>
      <w:bookmarkStart w:id="303" w:name="_Toc43134251"/>
      <w:r>
        <w:rPr>
          <w:rFonts w:eastAsia="仿宋_GB2312"/>
        </w:rPr>
        <w:t>探索可持续商业模式</w:t>
      </w:r>
      <w:bookmarkEnd w:id="301"/>
      <w:bookmarkEnd w:id="302"/>
      <w:bookmarkEnd w:id="303"/>
    </w:p>
    <w:p>
      <w:pPr>
        <w:widowControl/>
        <w:adjustRightInd w:val="0"/>
        <w:snapToGrid w:val="0"/>
        <w:ind w:firstLine="560"/>
        <w:rPr>
          <w:rFonts w:eastAsia="仿宋_GB2312" w:cs="Times New Roman"/>
          <w:color w:val="000000"/>
          <w:kern w:val="0"/>
          <w:lang w:bidi="ar"/>
        </w:rPr>
      </w:pPr>
      <w:r>
        <w:rPr>
          <w:rFonts w:eastAsia="仿宋_GB2312" w:cs="Times New Roman"/>
        </w:rPr>
        <w:t>（1）</w:t>
      </w:r>
      <w:r>
        <w:rPr>
          <w:rFonts w:eastAsia="仿宋_GB2312" w:cs="Times New Roman"/>
          <w:color w:val="000000"/>
          <w:kern w:val="0"/>
          <w:lang w:bidi="ar"/>
        </w:rPr>
        <w:t>加强与电网公司的合作，积极引入社会资本。地方应有效整合公交、出租场站以及社会公共停车场等各类公共资源，通过政府与社会资本合作（PPP）等方式培育市场主体，引入社会资本建设运营公共服务领域充电基础设施、城市公共充电网络及智能服务平台。加快形成私人用户居住地与单位内部停车场充电基础设施建设运营的市场机制，构建统一开放、竞争有序的充电服务市场。</w:t>
      </w:r>
    </w:p>
    <w:p>
      <w:pPr>
        <w:widowControl/>
        <w:adjustRightInd w:val="0"/>
        <w:snapToGrid w:val="0"/>
        <w:ind w:firstLine="560"/>
        <w:rPr>
          <w:rFonts w:eastAsia="仿宋_GB2312" w:cs="Times New Roman"/>
        </w:rPr>
      </w:pPr>
      <w:r>
        <w:rPr>
          <w:rFonts w:eastAsia="仿宋_GB2312" w:cs="Times New Roman"/>
        </w:rPr>
        <w:t>（2）</w:t>
      </w:r>
      <w:r>
        <w:rPr>
          <w:rFonts w:eastAsia="仿宋_GB2312" w:cs="Times New Roman"/>
          <w:color w:val="000000"/>
          <w:kern w:val="0"/>
          <w:lang w:bidi="ar"/>
        </w:rPr>
        <w:t>引导商场、超市、电影院、便利店等商业场所为用户提供辅助充电服务。鼓励充电服务企业与整车企业在销售和售后服务方面创新商业合作模式。充分利用融资租赁、特许经营权质押等融资模式，借鉴合同能源管理等业务模式，推进商业模式创新。大力推动“互联网+充电基础设施”相关商业模式与服务创新，引入众筹、线上与线下相结合等新兴业务模式，积极拓展智能充放电、电子商务和广告等增值服务，吸引更多社会资源参与，提高企业可持续发展能力。</w:t>
      </w:r>
    </w:p>
    <w:p>
      <w:pPr>
        <w:pStyle w:val="4"/>
        <w:spacing w:before="156" w:after="156"/>
        <w:jc w:val="both"/>
        <w:rPr>
          <w:rFonts w:eastAsia="仿宋_GB2312"/>
        </w:rPr>
      </w:pPr>
      <w:bookmarkStart w:id="304" w:name="_Toc43134252"/>
      <w:bookmarkStart w:id="305" w:name="_Hlk39070400"/>
      <w:bookmarkStart w:id="306" w:name="_Toc117243261"/>
      <w:r>
        <w:rPr>
          <w:rFonts w:eastAsia="仿宋_GB2312"/>
        </w:rPr>
        <w:t>开展相关示范工作</w:t>
      </w:r>
      <w:bookmarkEnd w:id="304"/>
      <w:bookmarkEnd w:id="305"/>
      <w:bookmarkEnd w:id="306"/>
    </w:p>
    <w:p>
      <w:pPr>
        <w:adjustRightInd w:val="0"/>
        <w:snapToGrid w:val="0"/>
        <w:ind w:firstLine="560"/>
        <w:rPr>
          <w:rFonts w:eastAsia="仿宋_GB2312" w:cs="Times New Roman"/>
        </w:rPr>
      </w:pPr>
      <w:r>
        <w:rPr>
          <w:rFonts w:eastAsia="仿宋_GB2312" w:cs="Times New Roman"/>
        </w:rPr>
        <w:t>（1）开展建设与运营模式示范。结合新能源汽车推广应用需要，按照因地制宜、适度超前原则，针对不同层次和不同领域充电基础设施发展的重点和难点，从城市与区县充电基础设施体系建设、居民区与单位配建充电设施、城际快充网络建设等方面，积极开展建设与运营模式示范。通过示范项目，理顺充电基础设施建设运营管理机制，探索系统化的支持政策以及可行的商业模式，以点带面，加快充电基础设施建设整体进程，提高发展质量、速度和效益。在示范项目中积极探索无人值守自助式服务、无线充电、移动充电、智能电网等新技术的应用。</w:t>
      </w:r>
    </w:p>
    <w:p>
      <w:pPr>
        <w:adjustRightInd w:val="0"/>
        <w:snapToGrid w:val="0"/>
        <w:ind w:firstLine="560"/>
        <w:rPr>
          <w:rFonts w:eastAsia="仿宋_GB2312" w:cs="Times New Roman"/>
        </w:rPr>
      </w:pPr>
      <w:r>
        <w:rPr>
          <w:rFonts w:eastAsia="仿宋_GB2312" w:cs="Times New Roman"/>
        </w:rPr>
        <w:t>（2）加强示范经验总结与交流推广。建立多层次的充电基础设施示范经验交流推广机制，通过多种形式开展示范工作经验交流，提升示范效果，发挥带动作用。各地要加强对充电基础设施示范工作的总结，积极加强与其他地区的经验交流。对示范工作中的成功经验要加大推广力度，对暴露出来的一些共性问题要及时解决，建立有效机制，完善政策法规，为下一步普及推广打好基础。</w:t>
      </w:r>
    </w:p>
    <w:p>
      <w:pPr>
        <w:pStyle w:val="3"/>
        <w:adjustRightInd w:val="0"/>
        <w:rPr>
          <w:rFonts w:eastAsia="仿宋_GB2312" w:cs="Times New Roman"/>
        </w:rPr>
      </w:pPr>
      <w:bookmarkStart w:id="307" w:name="_Toc117243262"/>
      <w:r>
        <w:rPr>
          <w:rFonts w:eastAsia="仿宋_GB2312" w:cs="Times New Roman"/>
        </w:rPr>
        <w:t>近期实施计划</w:t>
      </w:r>
      <w:bookmarkEnd w:id="307"/>
    </w:p>
    <w:p>
      <w:pPr>
        <w:pStyle w:val="4"/>
        <w:spacing w:before="156" w:after="156"/>
        <w:rPr>
          <w:rFonts w:eastAsia="仿宋_GB2312"/>
        </w:rPr>
      </w:pPr>
      <w:bookmarkStart w:id="308" w:name="_Toc117243263"/>
      <w:r>
        <w:rPr>
          <w:rFonts w:eastAsia="仿宋_GB2312"/>
        </w:rPr>
        <w:t>总体原则</w:t>
      </w:r>
      <w:bookmarkEnd w:id="308"/>
    </w:p>
    <w:p>
      <w:pPr>
        <w:adjustRightInd w:val="0"/>
        <w:snapToGrid w:val="0"/>
        <w:ind w:firstLine="560"/>
        <w:rPr>
          <w:rFonts w:eastAsia="仿宋_GB2312" w:cs="Times New Roman"/>
        </w:rPr>
      </w:pPr>
      <w:r>
        <w:rPr>
          <w:rFonts w:eastAsia="仿宋_GB2312" w:cs="Times New Roman"/>
        </w:rPr>
        <w:t>从近期需求和实施条件角度出发，提出近期年度实施计划，形成初具规模的充电设施网络，促进新能源汽车推广应用。</w:t>
      </w:r>
    </w:p>
    <w:p>
      <w:pPr>
        <w:pStyle w:val="106"/>
        <w:numPr>
          <w:ilvl w:val="0"/>
          <w:numId w:val="30"/>
        </w:numPr>
        <w:adjustRightInd w:val="0"/>
        <w:snapToGrid w:val="0"/>
        <w:ind w:firstLineChars="0"/>
        <w:rPr>
          <w:rFonts w:eastAsia="仿宋_GB2312" w:cs="Times New Roman"/>
          <w:b/>
          <w:bCs/>
        </w:rPr>
      </w:pPr>
      <w:r>
        <w:rPr>
          <w:rFonts w:eastAsia="仿宋_GB2312" w:cs="Times New Roman"/>
          <w:b/>
          <w:bCs/>
        </w:rPr>
        <w:t xml:space="preserve">依托充电需求，以老城为中心向外拓展 </w:t>
      </w:r>
    </w:p>
    <w:p>
      <w:pPr>
        <w:adjustRightInd w:val="0"/>
        <w:snapToGrid w:val="0"/>
        <w:ind w:firstLine="560"/>
        <w:rPr>
          <w:rFonts w:eastAsia="仿宋_GB2312" w:cs="Times New Roman"/>
        </w:rPr>
      </w:pPr>
      <w:r>
        <w:rPr>
          <w:rFonts w:eastAsia="仿宋_GB2312" w:cs="Times New Roman"/>
        </w:rPr>
        <w:t>近期以老城区域为重点，根据需求及实施条件，合理建设充电设施，在老城区域逐步铺开，形成以老城区域向外围逐步建设趋势。</w:t>
      </w:r>
    </w:p>
    <w:p>
      <w:pPr>
        <w:pStyle w:val="106"/>
        <w:numPr>
          <w:ilvl w:val="0"/>
          <w:numId w:val="30"/>
        </w:numPr>
        <w:adjustRightInd w:val="0"/>
        <w:snapToGrid w:val="0"/>
        <w:ind w:firstLineChars="0"/>
        <w:rPr>
          <w:rFonts w:eastAsia="仿宋_GB2312" w:cs="Times New Roman"/>
          <w:b/>
          <w:bCs/>
        </w:rPr>
      </w:pPr>
      <w:r>
        <w:rPr>
          <w:rFonts w:eastAsia="仿宋_GB2312" w:cs="Times New Roman"/>
          <w:b/>
          <w:bCs/>
        </w:rPr>
        <w:t xml:space="preserve">考虑近期重点开发区域，同步建设充电设施 </w:t>
      </w:r>
    </w:p>
    <w:p>
      <w:pPr>
        <w:adjustRightInd w:val="0"/>
        <w:snapToGrid w:val="0"/>
        <w:ind w:firstLine="560"/>
        <w:rPr>
          <w:rFonts w:eastAsia="仿宋_GB2312" w:cs="Times New Roman"/>
        </w:rPr>
      </w:pPr>
      <w:r>
        <w:rPr>
          <w:rFonts w:eastAsia="仿宋_GB2312" w:cs="Times New Roman"/>
        </w:rPr>
        <w:t>近期充电设施结合地块开发同步建设，做到设施先行，支撑区域发展。</w:t>
      </w:r>
    </w:p>
    <w:p>
      <w:pPr>
        <w:pStyle w:val="106"/>
        <w:numPr>
          <w:ilvl w:val="0"/>
          <w:numId w:val="30"/>
        </w:numPr>
        <w:adjustRightInd w:val="0"/>
        <w:snapToGrid w:val="0"/>
        <w:ind w:firstLineChars="0"/>
        <w:rPr>
          <w:rFonts w:eastAsia="仿宋_GB2312" w:cs="Times New Roman"/>
        </w:rPr>
      </w:pPr>
      <w:r>
        <w:rPr>
          <w:rFonts w:eastAsia="仿宋_GB2312" w:cs="Times New Roman"/>
          <w:b/>
          <w:bCs/>
        </w:rPr>
        <w:t>结合示范车辆推广计划，同步完善相应充电设施</w:t>
      </w:r>
    </w:p>
    <w:p>
      <w:pPr>
        <w:adjustRightInd w:val="0"/>
        <w:snapToGrid w:val="0"/>
        <w:ind w:firstLine="560"/>
        <w:rPr>
          <w:rFonts w:eastAsia="仿宋_GB2312" w:cs="Times New Roman"/>
        </w:rPr>
      </w:pPr>
      <w:r>
        <w:rPr>
          <w:rFonts w:eastAsia="仿宋_GB2312" w:cs="Times New Roman"/>
        </w:rPr>
        <w:t>新能源汽车推广一般以一种或多种类型新能源车辆推广为依托，如政府公务车、公交车、出租车等，因此，配套充电设施应同步建设，发挥推广应用效应。</w:t>
      </w:r>
    </w:p>
    <w:p>
      <w:pPr>
        <w:pStyle w:val="106"/>
        <w:numPr>
          <w:ilvl w:val="0"/>
          <w:numId w:val="30"/>
        </w:numPr>
        <w:adjustRightInd w:val="0"/>
        <w:snapToGrid w:val="0"/>
        <w:ind w:firstLineChars="0"/>
        <w:rPr>
          <w:rFonts w:eastAsia="仿宋_GB2312" w:cs="Times New Roman"/>
          <w:b/>
          <w:bCs/>
        </w:rPr>
      </w:pPr>
      <w:r>
        <w:rPr>
          <w:rFonts w:eastAsia="仿宋_GB2312" w:cs="Times New Roman"/>
          <w:b/>
          <w:bCs/>
        </w:rPr>
        <w:t>发挥政策效应，鼓励自用桩建设</w:t>
      </w:r>
    </w:p>
    <w:p>
      <w:pPr>
        <w:adjustRightInd w:val="0"/>
        <w:snapToGrid w:val="0"/>
        <w:ind w:firstLine="560"/>
        <w:rPr>
          <w:rFonts w:eastAsia="仿宋_GB2312" w:cs="Times New Roman"/>
        </w:rPr>
      </w:pPr>
      <w:r>
        <w:rPr>
          <w:rFonts w:eastAsia="仿宋_GB2312" w:cs="Times New Roman"/>
        </w:rPr>
        <w:t>自用桩在充电设施中占主体地位，主要依托个人建设，供电公司可采用优惠电价政策等方式，促进自用桩建设。</w:t>
      </w:r>
    </w:p>
    <w:p>
      <w:pPr>
        <w:pStyle w:val="4"/>
        <w:spacing w:before="156" w:after="156"/>
        <w:rPr>
          <w:rFonts w:eastAsia="仿宋_GB2312"/>
        </w:rPr>
      </w:pPr>
      <w:bookmarkStart w:id="309" w:name="_Toc117243264"/>
      <w:r>
        <w:rPr>
          <w:rFonts w:eastAsia="仿宋_GB2312"/>
        </w:rPr>
        <w:t>实施计划</w:t>
      </w:r>
      <w:bookmarkEnd w:id="309"/>
    </w:p>
    <w:p>
      <w:pPr>
        <w:adjustRightInd w:val="0"/>
        <w:snapToGrid w:val="0"/>
        <w:ind w:firstLine="560"/>
        <w:rPr>
          <w:rFonts w:eastAsia="仿宋_GB2312" w:cs="Times New Roman"/>
        </w:rPr>
      </w:pPr>
      <w:r>
        <w:rPr>
          <w:rFonts w:eastAsia="仿宋_GB2312" w:cs="Times New Roman"/>
        </w:rPr>
        <w:t>2022年新建外部公共充电站42座，346个直流充电桩；物流充电站1座，充电桩8个；小区公共充电桩217个，小区自用充电桩869个。</w:t>
      </w:r>
    </w:p>
    <w:p>
      <w:pPr>
        <w:adjustRightInd w:val="0"/>
        <w:snapToGrid w:val="0"/>
        <w:ind w:firstLine="560"/>
        <w:rPr>
          <w:rFonts w:eastAsia="仿宋_GB2312" w:cs="Times New Roman"/>
        </w:rPr>
      </w:pPr>
      <w:r>
        <w:rPr>
          <w:rFonts w:eastAsia="仿宋_GB2312" w:cs="Times New Roman"/>
        </w:rPr>
        <w:t>2023年新建外部公共充电站47座，584个直流充电桩；物流充电站5座，充电桩78个；环卫充电站1座，充电桩8个；公交充电站1座，充电桩10个；公务充电站18座，充电桩138个；高速充电站9座，充电桩72个；小区公共充电桩287个，小区自用充电桩1146个。</w:t>
      </w:r>
    </w:p>
    <w:p>
      <w:pPr>
        <w:adjustRightInd w:val="0"/>
        <w:snapToGrid w:val="0"/>
        <w:ind w:firstLine="560"/>
        <w:rPr>
          <w:rFonts w:eastAsia="仿宋_GB2312" w:cs="Times New Roman"/>
        </w:rPr>
      </w:pPr>
      <w:r>
        <w:rPr>
          <w:rFonts w:eastAsia="仿宋_GB2312" w:cs="Times New Roman"/>
        </w:rPr>
        <w:t>2024年新建外部公共充电站55座，424个直流充电桩；物流充电站6座，充电桩124个；环卫充电站2座，充电桩26个；公交充电站2座，充电桩20个；公务充电站23座，充电桩158个；高速充电站6座，充电桩32个；小区公共充电桩353个，小区自用充电桩1414个。</w:t>
      </w:r>
    </w:p>
    <w:p>
      <w:pPr>
        <w:adjustRightInd w:val="0"/>
        <w:snapToGrid w:val="0"/>
        <w:ind w:firstLine="560"/>
        <w:rPr>
          <w:rFonts w:eastAsia="仿宋_GB2312" w:cs="Times New Roman"/>
        </w:rPr>
      </w:pPr>
      <w:r>
        <w:rPr>
          <w:rFonts w:eastAsia="仿宋_GB2312" w:cs="Times New Roman"/>
        </w:rPr>
        <w:t>2025年新建外部公共充电站53座，414个直流充电桩；物流充电站5座，充电桩48个；环卫充电站6座，充电桩104个；公务充电站28座，充电桩144个；小区公共充电桩446个，小区自用充电桩1783个。</w:t>
      </w:r>
    </w:p>
    <w:p>
      <w:pPr>
        <w:pStyle w:val="19"/>
        <w:adjustRightInd w:val="0"/>
        <w:snapToGrid w:val="0"/>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8</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r>
        <w:rPr>
          <w:rFonts w:eastAsia="仿宋_GB2312" w:cs="Times New Roman"/>
        </w:rPr>
        <w:t>公共充电设施分年度实施表</w:t>
      </w:r>
    </w:p>
    <w:tbl>
      <w:tblPr>
        <w:tblStyle w:val="76"/>
        <w:tblW w:w="5000" w:type="pct"/>
        <w:tblInd w:w="0" w:type="dxa"/>
        <w:tblLayout w:type="fixed"/>
        <w:tblCellMar>
          <w:top w:w="0" w:type="dxa"/>
          <w:left w:w="108" w:type="dxa"/>
          <w:bottom w:w="0" w:type="dxa"/>
          <w:right w:w="108" w:type="dxa"/>
        </w:tblCellMar>
      </w:tblPr>
      <w:tblGrid>
        <w:gridCol w:w="1015"/>
        <w:gridCol w:w="1165"/>
        <w:gridCol w:w="3058"/>
        <w:gridCol w:w="1309"/>
        <w:gridCol w:w="1168"/>
        <w:gridCol w:w="807"/>
      </w:tblGrid>
      <w:tr>
        <w:tblPrEx>
          <w:tblCellMar>
            <w:top w:w="0" w:type="dxa"/>
            <w:left w:w="108" w:type="dxa"/>
            <w:bottom w:w="0" w:type="dxa"/>
            <w:right w:w="108" w:type="dxa"/>
          </w:tblCellMar>
        </w:tblPrEx>
        <w:trPr>
          <w:trHeight w:val="276" w:hRule="atLeast"/>
          <w:tblHeader/>
        </w:trPr>
        <w:tc>
          <w:tcPr>
            <w:tcW w:w="59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区县</w:t>
            </w:r>
          </w:p>
        </w:tc>
        <w:tc>
          <w:tcPr>
            <w:tcW w:w="683"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乡镇</w:t>
            </w:r>
          </w:p>
        </w:tc>
        <w:tc>
          <w:tcPr>
            <w:tcW w:w="179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充电站名称</w:t>
            </w:r>
          </w:p>
        </w:tc>
        <w:tc>
          <w:tcPr>
            <w:tcW w:w="76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类型</w:t>
            </w:r>
          </w:p>
        </w:tc>
        <w:tc>
          <w:tcPr>
            <w:tcW w:w="68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充电桩数</w:t>
            </w:r>
          </w:p>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量(个)</w:t>
            </w:r>
          </w:p>
        </w:tc>
        <w:tc>
          <w:tcPr>
            <w:tcW w:w="47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规划实施年</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咸宁市政务服务中心充电站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咸宁义乌国际商贸城充电站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咸宁市交通路停车场充电站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咸宁市新世纪广场停车场充电站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潜山国家森林公园停车场充电站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三江森林温泉度假区停车场充电站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温泉国际酒店停车场充电站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湖北科技学院附属第二医院停车场充电站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咸宁市香城古街停车场充电站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咸宁市监管局停车场充电站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咸宁绿洲湾停车场充电站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咸宁火车站充电站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道路交通安全协会宝塔工作组充电站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碧桂园文化广场充电站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咸宁家宴新天丽大酒店充电站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咸宁山水一品充电站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咸宁兴安酒店充电站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咸宁东林天府充电站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咸宁麻塘风湿医院充电站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国网咸宁检修公司充电站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咸宁众创空间充电站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咸宁市香吾山停车场充电站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咸宁万达广场充电站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咸宁光谷广场充电站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嫦娥广场充电站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亿丰农商贸批发大市场充电站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城隍庙购物广场充电站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咸安大酒店充电站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永安街道办事处充电站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文笔路社区居委会充电站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咸宁市第二人民医院充电站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咸宁市公安局交通警察支队充电站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银泉广场充电站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房产交易大厦充电站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中国联通有限公司咸宁分公司充电站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咸宁中心医院充电站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高新区管委会充电站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湖北科技学院充电站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咸宁职业技术学院充电站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中百仓储咸宁购物广场充电站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咸宁蓝海停车场充电站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银泉大道生态停车场充电站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杨下停车场充电站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咸宁市体育中心充电站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金叶体育馆充电站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三毛烧烤美食广场停车场充电站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汀泗桥镇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咸安区汀泗桥镇公共充电站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向阳湖镇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咸安区向阳湖镇公共充电站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官埠桥镇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咸安区官埠桥镇公共充电站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横沟桥镇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咸安区横沟桥镇公共充电站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双溪桥镇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咸安区双溪桥镇公共充电站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马桥镇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咸安区马桥镇公共充电站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桂花镇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咸安区桂花镇公共充电站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高桥镇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咸安区高桥镇公共充电站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大幕乡</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咸安区大幕乡公共充电站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小码洗车华辰广场车充电站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贺胜桥镇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梓山湖人民医院充电站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贺胜桥镇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蜜月湾玫瑰园充电站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咸宁市通圣太乙温泉充电站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咸宁市楚天瑶池温泉度假村充电站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咸宁市温泉谷度假区充电站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咸安区</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城区</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黄鹤楼森林美酒小镇充电站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中伙铺停车场充电站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赤壁市人民医院停车场充电站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赤壁高铁广场充电站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教育局沿河停车场充电站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金三角停车场充电站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华中科技大学同济赤壁医院停车场充电站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赤壁市古驿广场充电站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五小停车场充电站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青泉停车场充电站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东洲大道充电站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赤壁市体育中心充电站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高新区二号停车场充电站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斋公岭充电站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陆水湖风景区停车场充电站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赤壁市中医医院充电站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赤壁市二中充电站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和尚岭充电站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赤壁市第三人民医院充电站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天骄华庭购物广场充电站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砂子岭公园充电站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神山镇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赤壁市神山镇公共充电站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赤壁古战场国家电网充电站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新店镇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赤壁市新店镇公共充电站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黄盖湖镇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赤壁市黄盖湖镇公共充电站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车埠镇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赤壁市车埠镇公共充电站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柳山湖镇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赤壁市柳山湖镇公共充电站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茶庵岭镇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赤壁市茶庵岭镇公共充电站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赵李桥镇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赤壁市赵李桥镇公共充电站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余家桥乡</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赤壁市余家桥乡公共充电站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兴地广场充电站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金家山充电站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赤壁市</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龙佑赤壁温泉旅游度假区充电站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嘉鱼县人民医院充电站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交通局充电站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文旅局充电站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行政服务中心充电站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体育中心充电站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二乔公园公共充电站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城投停车场充电站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南门变充电站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茶庵岭供电所充电站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鱼岳供电所充电站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木屐岭停车场充电站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县政府充电站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新天地小区后门充电站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鱼岳变电站小区停车场充电站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首义学院充电站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东湖学院充电站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hint="eastAsia" w:ascii="微软雅黑" w:hAnsi="微软雅黑" w:eastAsia="微软雅黑" w:cs="微软雅黑"/>
                <w:color w:val="000000"/>
                <w:kern w:val="0"/>
                <w:sz w:val="21"/>
                <w:szCs w:val="21"/>
              </w:rPr>
              <w:t>簲</w:t>
            </w:r>
            <w:r>
              <w:rPr>
                <w:rFonts w:eastAsia="仿宋_GB2312" w:cs="Times New Roman"/>
                <w:color w:val="000000"/>
                <w:kern w:val="0"/>
                <w:sz w:val="21"/>
                <w:szCs w:val="21"/>
              </w:rPr>
              <w:t>州湾</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hint="eastAsia" w:ascii="微软雅黑" w:hAnsi="微软雅黑" w:eastAsia="微软雅黑" w:cs="微软雅黑"/>
                <w:color w:val="000000"/>
                <w:kern w:val="0"/>
                <w:sz w:val="21"/>
                <w:szCs w:val="21"/>
              </w:rPr>
              <w:t>簲</w:t>
            </w:r>
            <w:r>
              <w:rPr>
                <w:rFonts w:eastAsia="仿宋_GB2312" w:cs="Times New Roman"/>
                <w:color w:val="000000"/>
                <w:kern w:val="0"/>
                <w:sz w:val="21"/>
                <w:szCs w:val="21"/>
              </w:rPr>
              <w:t>州九八抗洪纪念馆充电站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潘湾</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惠侬电商产业园（潘湾）充电站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渡普</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渡普镇充电站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高铁</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高铁镇充电站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陆溪</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陆溪镇充电站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新街</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新街镇充电站</w:t>
            </w:r>
          </w:p>
        </w:tc>
        <w:tc>
          <w:tcPr>
            <w:tcW w:w="76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嘉鱼县山湖温泉景区充电站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官桥</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嘉鱼官桥田野乡村公园充电站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隽水镇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隽水镇充电站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五里镇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五里镇充电站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沙堆镇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沙堆镇充电站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关刀镇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关刀镇充电站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塘湖镇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塘湖镇充电站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麦市镇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麦市镇充电站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马港镇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马港镇充电站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北港镇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北港镇充电站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石南镇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石南镇充电站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政府广场充电站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金鑫农贸市场充电站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旭红公园充电站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雁塔广场充电站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通城县第一中学充电站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玉立酒店充电站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通城客运中心停车场充电站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大坪乡</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大坪乡客运中心充电站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世纪华联停车场充电站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博仁广场停车场充电站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通城县人民医院充电站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通城县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塘湖镇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罗荣桓早期革命纪念馆充电站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白鹭广场充电站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崇阳县人民医院充电站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崇阳县中医院充电站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桂花泉镇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崇阳县桂花森林公园充电站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白霓镇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崇阳县浪口充电站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青山镇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崇阳县青山大泉洞充电站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崇阳大道停车场充电站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天府城市广场充电站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金泰广场充电站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崇阳新北门菜市场充电站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崇阳天城公园充电站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七星岭充电站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崇阳一中充电站（南大门停车位）</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京城大道充电站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石岭充电站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黄家充电站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石城镇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崇阳县石城镇人民政府充电站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白霓镇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崇阳县白霓镇人民政府充电站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青山镇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崇阳县青山镇人民政府充电站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金塘镇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崇阳县金塘镇人民政府充电站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路口镇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崇阳县路口镇人民政府充电站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铜钟乡</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崇阳县铜钟乡人民政府充电站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沙坪镇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崇阳县沙坪镇人民政府充电站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高枧乡</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崇阳县高枧乡人民政府充电站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肖岭乡</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崇阳县肖岭乡人民政府充电站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港口乡</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崇阳县港口乡人民政府充电站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崇阳县三角洲公园充电站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信达肯德基门口充电站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崇阳经济开发区充电站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崇阳县高速出口（铜钟方向）充电站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金塘镇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柃蜜小镇·白崖山景区充电站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港口乡</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崇阳县港口乡人民政府充电站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通山县博物馆充电站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通山县中医院充电站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16</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通山县人民医院充电站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通山县景湾充电站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2022</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通山县唐家地中桥充电站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通山县明水供电所充电站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通山县南门桥村委会充电站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通山县宜优便利店充电站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通山县老人民医院停车场充电站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县城</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通山县创新文化广场充电站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大畈镇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通山县龙隐山游客中心充电站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大畈镇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通山县隐水洞游客中心充电站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九宫山镇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通山县九宫山游客中心充电站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九宫山镇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通山县九宫山云中湖停车场充电站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2023</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杨芳林乡</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通山县杨芳林乡人民政府充电站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慈口乡</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通山县慈口乡人民政府充电站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2024</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燕厦乡</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通山县燕厦乡人民政府充电站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大路乡</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通山县大路乡人民政府充电站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大畈镇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通山县大畈镇人民政府充电站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洪港镇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通山县洪港镇人民政府充电站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闯王镇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通山县闯王镇人民政府充电站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九宫山镇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通山县九宫山镇人民政府充电站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厦铺镇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通山县厦铺镇人民政府充电站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黄沙铺镇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通山县黄沙铺镇人民政府充电站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r>
        <w:tblPrEx>
          <w:tblCellMar>
            <w:top w:w="0" w:type="dxa"/>
            <w:left w:w="108" w:type="dxa"/>
            <w:bottom w:w="0" w:type="dxa"/>
            <w:right w:w="108" w:type="dxa"/>
          </w:tblCellMar>
        </w:tblPrEx>
        <w:trPr>
          <w:trHeight w:val="276" w:hRule="atLeast"/>
        </w:trPr>
        <w:tc>
          <w:tcPr>
            <w:tcW w:w="59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w:t>
            </w:r>
          </w:p>
        </w:tc>
        <w:tc>
          <w:tcPr>
            <w:tcW w:w="68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南林桥镇</w:t>
            </w:r>
          </w:p>
        </w:tc>
        <w:tc>
          <w:tcPr>
            <w:tcW w:w="179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通山县南林桥镇人民政府充电站</w:t>
            </w:r>
          </w:p>
        </w:tc>
        <w:tc>
          <w:tcPr>
            <w:tcW w:w="7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城市公共</w:t>
            </w:r>
          </w:p>
        </w:tc>
        <w:tc>
          <w:tcPr>
            <w:tcW w:w="68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8</w:t>
            </w:r>
          </w:p>
        </w:tc>
        <w:tc>
          <w:tcPr>
            <w:tcW w:w="4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w:t>
            </w:r>
          </w:p>
        </w:tc>
      </w:tr>
    </w:tbl>
    <w:p>
      <w:pPr>
        <w:ind w:firstLine="0" w:firstLineChars="0"/>
        <w:rPr>
          <w:rFonts w:eastAsia="仿宋_GB2312" w:cs="Times New Roman"/>
          <w:sz w:val="20"/>
          <w:szCs w:val="20"/>
        </w:rPr>
      </w:pPr>
      <w:r>
        <w:rPr>
          <w:rFonts w:eastAsia="仿宋_GB2312" w:cs="Times New Roman"/>
          <w:sz w:val="20"/>
          <w:szCs w:val="20"/>
        </w:rPr>
        <w:t>备注：根据设计实施年份适时调整</w:t>
      </w:r>
    </w:p>
    <w:p>
      <w:pPr>
        <w:adjustRightInd w:val="0"/>
        <w:snapToGrid w:val="0"/>
        <w:ind w:firstLine="0" w:firstLineChars="0"/>
        <w:rPr>
          <w:rFonts w:eastAsia="仿宋_GB2312" w:cs="Times New Roman"/>
        </w:rPr>
      </w:pPr>
    </w:p>
    <w:p>
      <w:pPr>
        <w:pStyle w:val="2"/>
        <w:rPr>
          <w:rFonts w:eastAsia="仿宋_GB2312" w:cs="Times New Roman"/>
        </w:rPr>
      </w:pPr>
      <w:bookmarkStart w:id="310" w:name="_Toc117243265"/>
      <w:r>
        <w:rPr>
          <w:rFonts w:eastAsia="仿宋_GB2312" w:cs="Times New Roman"/>
        </w:rPr>
        <w:t>投资估算及效益分析</w:t>
      </w:r>
      <w:bookmarkEnd w:id="310"/>
    </w:p>
    <w:p>
      <w:pPr>
        <w:pStyle w:val="3"/>
        <w:adjustRightInd w:val="0"/>
        <w:rPr>
          <w:rFonts w:eastAsia="仿宋_GB2312" w:cs="Times New Roman"/>
        </w:rPr>
      </w:pPr>
      <w:bookmarkStart w:id="311" w:name="_Toc117243266"/>
      <w:bookmarkStart w:id="312" w:name="_Toc43134268"/>
      <w:r>
        <w:rPr>
          <w:rFonts w:eastAsia="仿宋_GB2312" w:cs="Times New Roman"/>
        </w:rPr>
        <w:t>投资估算</w:t>
      </w:r>
      <w:bookmarkEnd w:id="311"/>
    </w:p>
    <w:p>
      <w:pPr>
        <w:pStyle w:val="4"/>
        <w:spacing w:before="156" w:after="156"/>
        <w:rPr>
          <w:rFonts w:eastAsia="仿宋_GB2312"/>
        </w:rPr>
      </w:pPr>
      <w:bookmarkStart w:id="313" w:name="_Toc117243267"/>
      <w:r>
        <w:rPr>
          <w:rFonts w:eastAsia="仿宋_GB2312"/>
        </w:rPr>
        <w:t>编制依据</w:t>
      </w:r>
      <w:bookmarkEnd w:id="313"/>
    </w:p>
    <w:p>
      <w:pPr>
        <w:adjustRightInd w:val="0"/>
        <w:snapToGrid w:val="0"/>
        <w:ind w:firstLine="560"/>
        <w:rPr>
          <w:rFonts w:eastAsia="仿宋_GB2312" w:cs="Times New Roman"/>
        </w:rPr>
      </w:pPr>
      <w:r>
        <w:rPr>
          <w:rFonts w:eastAsia="仿宋_GB2312" w:cs="Times New Roman"/>
        </w:rPr>
        <w:t>参照现有各类型典型充电设施，结合国内已建设工程造价，各类充电基础设施综合造价（不含征地费用）标准如下：</w:t>
      </w:r>
    </w:p>
    <w:p>
      <w:pPr>
        <w:adjustRightInd w:val="0"/>
        <w:snapToGrid w:val="0"/>
        <w:ind w:firstLine="560"/>
        <w:rPr>
          <w:rFonts w:eastAsia="仿宋_GB2312" w:cs="Times New Roman"/>
        </w:rPr>
      </w:pPr>
      <w:r>
        <w:rPr>
          <w:rFonts w:eastAsia="仿宋_GB2312" w:cs="Times New Roman"/>
        </w:rPr>
        <w:t>小区交流充电桩</w:t>
      </w:r>
      <w:r>
        <w:rPr>
          <w:rFonts w:hint="eastAsia" w:eastAsia="仿宋_GB2312" w:cs="Times New Roman"/>
        </w:rPr>
        <w:t>1.5</w:t>
      </w:r>
      <w:r>
        <w:rPr>
          <w:rFonts w:eastAsia="仿宋_GB2312" w:cs="Times New Roman"/>
        </w:rPr>
        <w:t>万元/个；</w:t>
      </w:r>
    </w:p>
    <w:p>
      <w:pPr>
        <w:adjustRightInd w:val="0"/>
        <w:snapToGrid w:val="0"/>
        <w:ind w:firstLine="560"/>
        <w:rPr>
          <w:rFonts w:eastAsia="仿宋_GB2312" w:cs="Times New Roman"/>
        </w:rPr>
      </w:pPr>
      <w:r>
        <w:rPr>
          <w:rFonts w:eastAsia="仿宋_GB2312" w:cs="Times New Roman"/>
        </w:rPr>
        <w:t>公交车充电站480万元/座；（20台功率为60kW直流充电桩及相关配套360万，一座1250kVA的箱变及以上供电设施接入工程约120万元，共计480万元；或24万/桩）</w:t>
      </w:r>
    </w:p>
    <w:p>
      <w:pPr>
        <w:adjustRightInd w:val="0"/>
        <w:snapToGrid w:val="0"/>
        <w:ind w:firstLine="560"/>
        <w:rPr>
          <w:rFonts w:eastAsia="仿宋_GB2312" w:cs="Times New Roman"/>
        </w:rPr>
      </w:pPr>
      <w:r>
        <w:rPr>
          <w:rFonts w:eastAsia="仿宋_GB2312" w:cs="Times New Roman"/>
        </w:rPr>
        <w:t>物流环保等专用车充电站240万元/座；（10台功率为60kW充电桩，24万元/桩）</w:t>
      </w:r>
    </w:p>
    <w:p>
      <w:pPr>
        <w:adjustRightInd w:val="0"/>
        <w:snapToGrid w:val="0"/>
        <w:ind w:firstLine="560"/>
        <w:rPr>
          <w:rFonts w:eastAsia="仿宋_GB2312" w:cs="Times New Roman"/>
        </w:rPr>
      </w:pPr>
      <w:r>
        <w:rPr>
          <w:rFonts w:eastAsia="仿宋_GB2312" w:cs="Times New Roman"/>
        </w:rPr>
        <w:t>城市公共充电站平均192万元/座；（8台功率为60kW的直流充电桩及相关配套144万，1座630kVA的箱变及以上供电设施接入工程约48万元，建设成本合计192万元）</w:t>
      </w:r>
    </w:p>
    <w:p>
      <w:pPr>
        <w:adjustRightInd w:val="0"/>
        <w:snapToGrid w:val="0"/>
        <w:ind w:firstLine="560"/>
        <w:rPr>
          <w:rFonts w:eastAsia="仿宋_GB2312" w:cs="Times New Roman"/>
        </w:rPr>
      </w:pPr>
      <w:r>
        <w:rPr>
          <w:rFonts w:eastAsia="仿宋_GB2312" w:cs="Times New Roman"/>
        </w:rPr>
        <w:t>高速服务区充电站192万元/座。（8台功率为60kW的直流充电桩及相关配套144万，1座630kVA的箱变及以上供电设施接入工程约48万元，建设成本合计192万元）</w:t>
      </w:r>
    </w:p>
    <w:p>
      <w:pPr>
        <w:pStyle w:val="4"/>
        <w:spacing w:before="156" w:after="156"/>
        <w:rPr>
          <w:rFonts w:eastAsia="仿宋_GB2312"/>
        </w:rPr>
      </w:pPr>
      <w:bookmarkStart w:id="314" w:name="_Toc117243268"/>
      <w:r>
        <w:rPr>
          <w:rFonts w:eastAsia="仿宋_GB2312"/>
        </w:rPr>
        <w:t>工程量及投资</w:t>
      </w:r>
      <w:bookmarkEnd w:id="314"/>
    </w:p>
    <w:p>
      <w:pPr>
        <w:ind w:firstLine="560"/>
        <w:rPr>
          <w:rFonts w:eastAsia="仿宋_GB2312" w:cs="Times New Roman"/>
        </w:rPr>
      </w:pPr>
      <w:r>
        <w:rPr>
          <w:rFonts w:eastAsia="仿宋_GB2312" w:cs="Times New Roman"/>
        </w:rPr>
        <w:t>“十四五”期间，共规划建设公共充电站197座、物流充电站17座、环卫充电站9座、公交充电站2座、公务车充电站69座、高速15座；小区内公共充电桩共1303个，自用充电桩5212个。充电桩合计为9253个，其中专用充电桩866个，公用充电桩3175个（含高速），自用充电桩5212个。工程量如</w:t>
      </w:r>
      <w:r>
        <w:rPr>
          <w:rFonts w:eastAsia="仿宋_GB2312" w:cs="Times New Roman"/>
        </w:rPr>
        <w:fldChar w:fldCharType="begin"/>
      </w:r>
      <w:r>
        <w:rPr>
          <w:rFonts w:eastAsia="仿宋_GB2312" w:cs="Times New Roman"/>
        </w:rPr>
        <w:instrText xml:space="preserve"> REF _Ref116557069 \h </w:instrText>
      </w:r>
      <w:r>
        <w:rPr>
          <w:rFonts w:eastAsia="仿宋_GB2312" w:cs="Times New Roman"/>
        </w:rPr>
        <w:fldChar w:fldCharType="separate"/>
      </w:r>
      <w:r>
        <w:rPr>
          <w:rFonts w:eastAsia="仿宋_GB2312" w:cs="Times New Roman"/>
        </w:rPr>
        <w:t>表 9</w:t>
      </w:r>
      <w:r>
        <w:rPr>
          <w:rFonts w:eastAsia="仿宋_GB2312" w:cs="Times New Roman"/>
        </w:rPr>
        <w:noBreakHyphen/>
      </w:r>
      <w:r>
        <w:rPr>
          <w:rFonts w:eastAsia="仿宋_GB2312" w:cs="Times New Roman"/>
        </w:rPr>
        <w:t>1</w:t>
      </w:r>
      <w:r>
        <w:rPr>
          <w:rFonts w:eastAsia="仿宋_GB2312" w:cs="Times New Roman"/>
        </w:rPr>
        <w:fldChar w:fldCharType="end"/>
      </w:r>
      <w:r>
        <w:rPr>
          <w:rFonts w:hint="eastAsia" w:eastAsia="仿宋_GB2312" w:cs="Times New Roman"/>
        </w:rPr>
        <w:t>所示。</w:t>
      </w:r>
    </w:p>
    <w:p>
      <w:pPr>
        <w:pStyle w:val="19"/>
        <w:adjustRightInd w:val="0"/>
        <w:snapToGrid w:val="0"/>
        <w:ind w:firstLine="360"/>
        <w:rPr>
          <w:rFonts w:eastAsia="仿宋_GB2312" w:cs="Times New Roman"/>
          <w:szCs w:val="24"/>
        </w:rPr>
      </w:pPr>
      <w:bookmarkStart w:id="315" w:name="_Ref116557069"/>
      <w:bookmarkStart w:id="316" w:name="_Ref95989538"/>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9</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1</w:t>
      </w:r>
      <w:r>
        <w:rPr>
          <w:rFonts w:eastAsia="仿宋_GB2312" w:cs="Times New Roman"/>
        </w:rPr>
        <w:fldChar w:fldCharType="end"/>
      </w:r>
      <w:bookmarkEnd w:id="315"/>
      <w:bookmarkEnd w:id="316"/>
      <w:r>
        <w:rPr>
          <w:rFonts w:eastAsia="仿宋_GB2312" w:cs="Times New Roman"/>
          <w:szCs w:val="24"/>
        </w:rPr>
        <w:t>咸宁市“</w:t>
      </w:r>
      <w:r>
        <w:rPr>
          <w:rFonts w:eastAsia="仿宋_GB2312" w:cs="Times New Roman"/>
        </w:rPr>
        <w:t>十四五</w:t>
      </w:r>
      <w:r>
        <w:rPr>
          <w:rFonts w:eastAsia="仿宋_GB2312" w:cs="Times New Roman"/>
          <w:szCs w:val="24"/>
        </w:rPr>
        <w:t>”充电设施工程量表</w:t>
      </w:r>
    </w:p>
    <w:tbl>
      <w:tblPr>
        <w:tblStyle w:val="76"/>
        <w:tblW w:w="5000" w:type="pct"/>
        <w:tblInd w:w="0" w:type="dxa"/>
        <w:tblLayout w:type="autofit"/>
        <w:tblCellMar>
          <w:top w:w="0" w:type="dxa"/>
          <w:left w:w="108" w:type="dxa"/>
          <w:bottom w:w="0" w:type="dxa"/>
          <w:right w:w="108" w:type="dxa"/>
        </w:tblCellMar>
      </w:tblPr>
      <w:tblGrid>
        <w:gridCol w:w="748"/>
        <w:gridCol w:w="423"/>
        <w:gridCol w:w="573"/>
        <w:gridCol w:w="516"/>
        <w:gridCol w:w="516"/>
        <w:gridCol w:w="641"/>
        <w:gridCol w:w="719"/>
        <w:gridCol w:w="680"/>
        <w:gridCol w:w="516"/>
        <w:gridCol w:w="615"/>
        <w:gridCol w:w="1383"/>
        <w:gridCol w:w="1192"/>
      </w:tblGrid>
      <w:tr>
        <w:tblPrEx>
          <w:tblCellMar>
            <w:top w:w="0" w:type="dxa"/>
            <w:left w:w="108" w:type="dxa"/>
            <w:bottom w:w="0" w:type="dxa"/>
            <w:right w:w="108" w:type="dxa"/>
          </w:tblCellMar>
        </w:tblPrEx>
        <w:trPr>
          <w:trHeight w:val="179" w:hRule="atLeast"/>
        </w:trPr>
        <w:tc>
          <w:tcPr>
            <w:tcW w:w="43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年份</w:t>
            </w:r>
          </w:p>
        </w:tc>
        <w:tc>
          <w:tcPr>
            <w:tcW w:w="1566" w:type="pct"/>
            <w:gridSpan w:val="5"/>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专用桩（个）</w:t>
            </w:r>
          </w:p>
        </w:tc>
        <w:tc>
          <w:tcPr>
            <w:tcW w:w="1485" w:type="pct"/>
            <w:gridSpan w:val="4"/>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公用桩（个）</w:t>
            </w:r>
          </w:p>
        </w:tc>
        <w:tc>
          <w:tcPr>
            <w:tcW w:w="81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自用桩（个）</w:t>
            </w:r>
          </w:p>
        </w:tc>
        <w:tc>
          <w:tcPr>
            <w:tcW w:w="699"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汇总（个）</w:t>
            </w:r>
          </w:p>
        </w:tc>
      </w:tr>
      <w:tr>
        <w:tblPrEx>
          <w:tblCellMar>
            <w:top w:w="0" w:type="dxa"/>
            <w:left w:w="108" w:type="dxa"/>
            <w:bottom w:w="0" w:type="dxa"/>
            <w:right w:w="108" w:type="dxa"/>
          </w:tblCellMar>
        </w:tblPrEx>
        <w:trPr>
          <w:trHeight w:val="279" w:hRule="atLeast"/>
        </w:trPr>
        <w:tc>
          <w:tcPr>
            <w:tcW w:w="43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18"/>
                <w:szCs w:val="18"/>
              </w:rPr>
            </w:pPr>
          </w:p>
        </w:tc>
        <w:tc>
          <w:tcPr>
            <w:tcW w:w="2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公交</w:t>
            </w:r>
          </w:p>
        </w:tc>
        <w:tc>
          <w:tcPr>
            <w:tcW w:w="33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公务</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物流</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环卫</w:t>
            </w:r>
          </w:p>
        </w:tc>
        <w:tc>
          <w:tcPr>
            <w:tcW w:w="37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合计</w:t>
            </w:r>
          </w:p>
        </w:tc>
        <w:tc>
          <w:tcPr>
            <w:tcW w:w="4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外部公用</w:t>
            </w:r>
          </w:p>
        </w:tc>
        <w:tc>
          <w:tcPr>
            <w:tcW w:w="39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小区公用</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高速</w:t>
            </w:r>
          </w:p>
        </w:tc>
        <w:tc>
          <w:tcPr>
            <w:tcW w:w="36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合计</w:t>
            </w:r>
          </w:p>
        </w:tc>
        <w:tc>
          <w:tcPr>
            <w:tcW w:w="81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18"/>
                <w:szCs w:val="18"/>
              </w:rPr>
            </w:pPr>
          </w:p>
        </w:tc>
        <w:tc>
          <w:tcPr>
            <w:tcW w:w="69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18"/>
                <w:szCs w:val="18"/>
              </w:rPr>
            </w:pPr>
          </w:p>
        </w:tc>
      </w:tr>
      <w:tr>
        <w:tblPrEx>
          <w:tblCellMar>
            <w:top w:w="0" w:type="dxa"/>
            <w:left w:w="108" w:type="dxa"/>
            <w:bottom w:w="0" w:type="dxa"/>
            <w:right w:w="108" w:type="dxa"/>
          </w:tblCellMar>
        </w:tblPrEx>
        <w:trPr>
          <w:trHeight w:val="170" w:hRule="atLeast"/>
        </w:trPr>
        <w:tc>
          <w:tcPr>
            <w:tcW w:w="439"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2022</w:t>
            </w:r>
          </w:p>
        </w:tc>
        <w:tc>
          <w:tcPr>
            <w:tcW w:w="2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0</w:t>
            </w:r>
          </w:p>
        </w:tc>
        <w:tc>
          <w:tcPr>
            <w:tcW w:w="33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0</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0</w:t>
            </w:r>
          </w:p>
        </w:tc>
        <w:tc>
          <w:tcPr>
            <w:tcW w:w="37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w:t>
            </w:r>
          </w:p>
        </w:tc>
        <w:tc>
          <w:tcPr>
            <w:tcW w:w="4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346</w:t>
            </w:r>
          </w:p>
        </w:tc>
        <w:tc>
          <w:tcPr>
            <w:tcW w:w="39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217</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0</w:t>
            </w:r>
          </w:p>
        </w:tc>
        <w:tc>
          <w:tcPr>
            <w:tcW w:w="36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563</w:t>
            </w:r>
          </w:p>
        </w:tc>
        <w:tc>
          <w:tcPr>
            <w:tcW w:w="81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ascii="仿宋" w:hAnsi="仿宋"/>
                <w:color w:val="000000"/>
                <w:sz w:val="18"/>
                <w:szCs w:val="18"/>
              </w:rPr>
              <w:t>869</w:t>
            </w:r>
          </w:p>
        </w:tc>
        <w:tc>
          <w:tcPr>
            <w:tcW w:w="69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ascii="仿宋" w:hAnsi="仿宋"/>
                <w:color w:val="000000"/>
                <w:sz w:val="18"/>
                <w:szCs w:val="18"/>
              </w:rPr>
              <w:t>1440</w:t>
            </w:r>
          </w:p>
        </w:tc>
      </w:tr>
      <w:tr>
        <w:tblPrEx>
          <w:tblCellMar>
            <w:top w:w="0" w:type="dxa"/>
            <w:left w:w="108" w:type="dxa"/>
            <w:bottom w:w="0" w:type="dxa"/>
            <w:right w:w="108" w:type="dxa"/>
          </w:tblCellMar>
        </w:tblPrEx>
        <w:trPr>
          <w:trHeight w:val="178" w:hRule="atLeast"/>
        </w:trPr>
        <w:tc>
          <w:tcPr>
            <w:tcW w:w="439"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2023</w:t>
            </w:r>
          </w:p>
        </w:tc>
        <w:tc>
          <w:tcPr>
            <w:tcW w:w="2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10</w:t>
            </w:r>
          </w:p>
        </w:tc>
        <w:tc>
          <w:tcPr>
            <w:tcW w:w="33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138</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78</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w:t>
            </w:r>
          </w:p>
        </w:tc>
        <w:tc>
          <w:tcPr>
            <w:tcW w:w="37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234</w:t>
            </w:r>
          </w:p>
        </w:tc>
        <w:tc>
          <w:tcPr>
            <w:tcW w:w="4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584</w:t>
            </w:r>
          </w:p>
        </w:tc>
        <w:tc>
          <w:tcPr>
            <w:tcW w:w="39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287</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72</w:t>
            </w:r>
          </w:p>
        </w:tc>
        <w:tc>
          <w:tcPr>
            <w:tcW w:w="36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943</w:t>
            </w:r>
          </w:p>
        </w:tc>
        <w:tc>
          <w:tcPr>
            <w:tcW w:w="81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ascii="仿宋" w:hAnsi="仿宋"/>
                <w:color w:val="000000"/>
                <w:sz w:val="18"/>
                <w:szCs w:val="18"/>
              </w:rPr>
              <w:t>1146</w:t>
            </w:r>
          </w:p>
        </w:tc>
        <w:tc>
          <w:tcPr>
            <w:tcW w:w="69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ascii="仿宋" w:hAnsi="仿宋"/>
                <w:color w:val="000000"/>
                <w:sz w:val="18"/>
                <w:szCs w:val="18"/>
              </w:rPr>
              <w:t>2323</w:t>
            </w:r>
          </w:p>
        </w:tc>
      </w:tr>
      <w:tr>
        <w:tblPrEx>
          <w:tblCellMar>
            <w:top w:w="0" w:type="dxa"/>
            <w:left w:w="108" w:type="dxa"/>
            <w:bottom w:w="0" w:type="dxa"/>
            <w:right w:w="108" w:type="dxa"/>
          </w:tblCellMar>
        </w:tblPrEx>
        <w:trPr>
          <w:trHeight w:val="178" w:hRule="atLeast"/>
        </w:trPr>
        <w:tc>
          <w:tcPr>
            <w:tcW w:w="439"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2024</w:t>
            </w:r>
          </w:p>
        </w:tc>
        <w:tc>
          <w:tcPr>
            <w:tcW w:w="2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w:t>
            </w:r>
          </w:p>
        </w:tc>
        <w:tc>
          <w:tcPr>
            <w:tcW w:w="33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158</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124</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26</w:t>
            </w:r>
          </w:p>
        </w:tc>
        <w:tc>
          <w:tcPr>
            <w:tcW w:w="37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328</w:t>
            </w:r>
          </w:p>
        </w:tc>
        <w:tc>
          <w:tcPr>
            <w:tcW w:w="4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424</w:t>
            </w:r>
          </w:p>
        </w:tc>
        <w:tc>
          <w:tcPr>
            <w:tcW w:w="39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353</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32</w:t>
            </w:r>
          </w:p>
        </w:tc>
        <w:tc>
          <w:tcPr>
            <w:tcW w:w="36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809</w:t>
            </w:r>
          </w:p>
        </w:tc>
        <w:tc>
          <w:tcPr>
            <w:tcW w:w="81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ascii="仿宋" w:hAnsi="仿宋"/>
                <w:color w:val="000000"/>
                <w:sz w:val="18"/>
                <w:szCs w:val="18"/>
              </w:rPr>
              <w:t>1414</w:t>
            </w:r>
          </w:p>
        </w:tc>
        <w:tc>
          <w:tcPr>
            <w:tcW w:w="69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ascii="仿宋" w:hAnsi="仿宋"/>
                <w:color w:val="000000"/>
                <w:sz w:val="18"/>
                <w:szCs w:val="18"/>
              </w:rPr>
              <w:t>2551</w:t>
            </w:r>
          </w:p>
        </w:tc>
      </w:tr>
      <w:tr>
        <w:tblPrEx>
          <w:tblCellMar>
            <w:top w:w="0" w:type="dxa"/>
            <w:left w:w="108" w:type="dxa"/>
            <w:bottom w:w="0" w:type="dxa"/>
            <w:right w:w="108" w:type="dxa"/>
          </w:tblCellMar>
        </w:tblPrEx>
        <w:trPr>
          <w:trHeight w:val="178" w:hRule="atLeast"/>
        </w:trPr>
        <w:tc>
          <w:tcPr>
            <w:tcW w:w="439"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2025</w:t>
            </w:r>
          </w:p>
        </w:tc>
        <w:tc>
          <w:tcPr>
            <w:tcW w:w="2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0</w:t>
            </w:r>
          </w:p>
        </w:tc>
        <w:tc>
          <w:tcPr>
            <w:tcW w:w="33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144</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48</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104</w:t>
            </w:r>
          </w:p>
        </w:tc>
        <w:tc>
          <w:tcPr>
            <w:tcW w:w="37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296</w:t>
            </w:r>
          </w:p>
        </w:tc>
        <w:tc>
          <w:tcPr>
            <w:tcW w:w="4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414</w:t>
            </w:r>
          </w:p>
        </w:tc>
        <w:tc>
          <w:tcPr>
            <w:tcW w:w="39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446</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0</w:t>
            </w:r>
          </w:p>
        </w:tc>
        <w:tc>
          <w:tcPr>
            <w:tcW w:w="36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860</w:t>
            </w:r>
          </w:p>
        </w:tc>
        <w:tc>
          <w:tcPr>
            <w:tcW w:w="81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ascii="仿宋" w:hAnsi="仿宋"/>
                <w:color w:val="000000"/>
                <w:sz w:val="18"/>
                <w:szCs w:val="18"/>
              </w:rPr>
              <w:t>1783</w:t>
            </w:r>
          </w:p>
        </w:tc>
        <w:tc>
          <w:tcPr>
            <w:tcW w:w="69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ascii="仿宋" w:hAnsi="仿宋"/>
                <w:color w:val="000000"/>
                <w:sz w:val="18"/>
                <w:szCs w:val="18"/>
              </w:rPr>
              <w:t>2939</w:t>
            </w:r>
          </w:p>
        </w:tc>
      </w:tr>
      <w:tr>
        <w:tblPrEx>
          <w:tblCellMar>
            <w:top w:w="0" w:type="dxa"/>
            <w:left w:w="108" w:type="dxa"/>
            <w:bottom w:w="0" w:type="dxa"/>
            <w:right w:w="108" w:type="dxa"/>
          </w:tblCellMar>
        </w:tblPrEx>
        <w:trPr>
          <w:trHeight w:val="418" w:hRule="atLeast"/>
        </w:trPr>
        <w:tc>
          <w:tcPr>
            <w:tcW w:w="439"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汇总</w:t>
            </w:r>
          </w:p>
        </w:tc>
        <w:tc>
          <w:tcPr>
            <w:tcW w:w="2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30</w:t>
            </w:r>
          </w:p>
        </w:tc>
        <w:tc>
          <w:tcPr>
            <w:tcW w:w="33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440</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258</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138</w:t>
            </w:r>
          </w:p>
        </w:tc>
        <w:tc>
          <w:tcPr>
            <w:tcW w:w="37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866</w:t>
            </w:r>
          </w:p>
        </w:tc>
        <w:tc>
          <w:tcPr>
            <w:tcW w:w="42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1768</w:t>
            </w:r>
          </w:p>
        </w:tc>
        <w:tc>
          <w:tcPr>
            <w:tcW w:w="39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1303</w:t>
            </w:r>
          </w:p>
        </w:tc>
        <w:tc>
          <w:tcPr>
            <w:tcW w:w="30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104</w:t>
            </w:r>
          </w:p>
        </w:tc>
        <w:tc>
          <w:tcPr>
            <w:tcW w:w="36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3175</w:t>
            </w:r>
          </w:p>
        </w:tc>
        <w:tc>
          <w:tcPr>
            <w:tcW w:w="81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ascii="仿宋" w:hAnsi="仿宋"/>
                <w:color w:val="000000"/>
                <w:sz w:val="18"/>
                <w:szCs w:val="18"/>
              </w:rPr>
              <w:t>5212</w:t>
            </w:r>
          </w:p>
        </w:tc>
        <w:tc>
          <w:tcPr>
            <w:tcW w:w="69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ascii="仿宋" w:hAnsi="仿宋"/>
                <w:color w:val="000000"/>
                <w:sz w:val="18"/>
                <w:szCs w:val="18"/>
              </w:rPr>
              <w:t>9253</w:t>
            </w:r>
          </w:p>
        </w:tc>
      </w:tr>
    </w:tbl>
    <w:p>
      <w:pPr>
        <w:adjustRightInd w:val="0"/>
        <w:snapToGrid w:val="0"/>
        <w:spacing w:before="156" w:beforeLines="50"/>
        <w:ind w:firstLine="560"/>
        <w:rPr>
          <w:rFonts w:eastAsia="仿宋_GB2312" w:cs="Times New Roman"/>
        </w:rPr>
      </w:pPr>
      <w:r>
        <w:rPr>
          <w:rFonts w:eastAsia="仿宋_GB2312" w:cs="Times New Roman"/>
        </w:rPr>
        <w:t xml:space="preserve"> “十四五”期间充电基础设施的总投资</w:t>
      </w:r>
      <w:r>
        <w:rPr>
          <w:rFonts w:hint="eastAsia" w:eastAsia="仿宋_GB2312" w:cs="Times New Roman"/>
        </w:rPr>
        <w:t>1</w:t>
      </w:r>
      <w:r>
        <w:rPr>
          <w:rFonts w:eastAsia="仿宋_GB2312" w:cs="Times New Roman"/>
        </w:rPr>
        <w:t>0.74</w:t>
      </w:r>
      <w:r>
        <w:rPr>
          <w:rFonts w:hint="eastAsia" w:eastAsia="仿宋_GB2312" w:cs="Times New Roman"/>
        </w:rPr>
        <w:t>亿</w:t>
      </w:r>
      <w:r>
        <w:rPr>
          <w:rFonts w:eastAsia="仿宋_GB2312" w:cs="Times New Roman"/>
        </w:rPr>
        <w:t>元。其中专用充电设施投资2</w:t>
      </w:r>
      <w:r>
        <w:rPr>
          <w:rFonts w:hint="eastAsia" w:eastAsia="仿宋_GB2312" w:cs="Times New Roman"/>
        </w:rPr>
        <w:t>.08亿</w:t>
      </w:r>
      <w:r>
        <w:rPr>
          <w:rFonts w:eastAsia="仿宋_GB2312" w:cs="Times New Roman"/>
        </w:rPr>
        <w:t>元，公用充电设施投资</w:t>
      </w:r>
      <w:r>
        <w:rPr>
          <w:rFonts w:hint="eastAsia" w:eastAsia="仿宋_GB2312" w:cs="Times New Roman"/>
        </w:rPr>
        <w:t>7.62亿</w:t>
      </w:r>
      <w:r>
        <w:rPr>
          <w:rFonts w:eastAsia="仿宋_GB2312" w:cs="Times New Roman"/>
        </w:rPr>
        <w:t>元，自用充电设施投资</w:t>
      </w:r>
      <w:r>
        <w:rPr>
          <w:rFonts w:hint="eastAsia" w:eastAsia="仿宋_GB2312" w:cs="Times New Roman"/>
        </w:rPr>
        <w:t>1.</w:t>
      </w:r>
      <w:r>
        <w:rPr>
          <w:rFonts w:eastAsia="仿宋_GB2312" w:cs="Times New Roman"/>
        </w:rPr>
        <w:t>04</w:t>
      </w:r>
      <w:r>
        <w:rPr>
          <w:rFonts w:hint="eastAsia" w:eastAsia="仿宋_GB2312" w:cs="Times New Roman"/>
        </w:rPr>
        <w:t>亿</w:t>
      </w:r>
      <w:r>
        <w:rPr>
          <w:rFonts w:eastAsia="仿宋_GB2312" w:cs="Times New Roman"/>
        </w:rPr>
        <w:t>元。投资详如</w:t>
      </w:r>
      <w:r>
        <w:rPr>
          <w:rFonts w:eastAsia="仿宋_GB2312" w:cs="Times New Roman"/>
        </w:rPr>
        <w:fldChar w:fldCharType="begin"/>
      </w:r>
      <w:r>
        <w:rPr>
          <w:rFonts w:eastAsia="仿宋_GB2312" w:cs="Times New Roman"/>
        </w:rPr>
        <w:instrText xml:space="preserve"> REF _Ref95989567 \h  \* MERGEFORMAT </w:instrText>
      </w:r>
      <w:r>
        <w:rPr>
          <w:rFonts w:eastAsia="仿宋_GB2312" w:cs="Times New Roman"/>
        </w:rPr>
        <w:fldChar w:fldCharType="separate"/>
      </w:r>
      <w:r>
        <w:rPr>
          <w:rFonts w:eastAsia="仿宋_GB2312" w:cs="Times New Roman"/>
        </w:rPr>
        <w:t>表 9</w:t>
      </w:r>
      <w:r>
        <w:rPr>
          <w:rFonts w:eastAsia="仿宋_GB2312" w:cs="Times New Roman"/>
        </w:rPr>
        <w:noBreakHyphen/>
      </w:r>
      <w:r>
        <w:rPr>
          <w:rFonts w:eastAsia="仿宋_GB2312" w:cs="Times New Roman"/>
        </w:rPr>
        <w:t>2</w:t>
      </w:r>
      <w:r>
        <w:rPr>
          <w:rFonts w:eastAsia="仿宋_GB2312" w:cs="Times New Roman"/>
        </w:rPr>
        <w:fldChar w:fldCharType="end"/>
      </w:r>
      <w:r>
        <w:rPr>
          <w:rFonts w:eastAsia="仿宋_GB2312" w:cs="Times New Roman"/>
        </w:rPr>
        <w:t>所示。</w:t>
      </w:r>
    </w:p>
    <w:p>
      <w:pPr>
        <w:pStyle w:val="19"/>
        <w:adjustRightInd w:val="0"/>
        <w:snapToGrid w:val="0"/>
        <w:ind w:firstLine="360"/>
        <w:rPr>
          <w:rFonts w:eastAsia="仿宋_GB2312" w:cs="Times New Roman"/>
          <w:szCs w:val="24"/>
        </w:rPr>
      </w:pPr>
      <w:bookmarkStart w:id="317" w:name="_Ref95989567"/>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9</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2</w:t>
      </w:r>
      <w:r>
        <w:rPr>
          <w:rFonts w:eastAsia="仿宋_GB2312" w:cs="Times New Roman"/>
        </w:rPr>
        <w:fldChar w:fldCharType="end"/>
      </w:r>
      <w:bookmarkEnd w:id="317"/>
      <w:r>
        <w:rPr>
          <w:rFonts w:eastAsia="仿宋_GB2312" w:cs="Times New Roman"/>
          <w:szCs w:val="24"/>
        </w:rPr>
        <w:t>咸宁市“</w:t>
      </w:r>
      <w:r>
        <w:rPr>
          <w:rFonts w:eastAsia="仿宋_GB2312" w:cs="Times New Roman"/>
        </w:rPr>
        <w:t>十四五</w:t>
      </w:r>
      <w:r>
        <w:rPr>
          <w:rFonts w:eastAsia="仿宋_GB2312" w:cs="Times New Roman"/>
          <w:szCs w:val="24"/>
        </w:rPr>
        <w:t>”充电设施分年度投资表</w:t>
      </w:r>
    </w:p>
    <w:tbl>
      <w:tblPr>
        <w:tblStyle w:val="76"/>
        <w:tblW w:w="5000" w:type="pct"/>
        <w:tblInd w:w="0" w:type="dxa"/>
        <w:tblLayout w:type="autofit"/>
        <w:tblCellMar>
          <w:top w:w="0" w:type="dxa"/>
          <w:left w:w="108" w:type="dxa"/>
          <w:bottom w:w="0" w:type="dxa"/>
          <w:right w:w="108" w:type="dxa"/>
        </w:tblCellMar>
      </w:tblPr>
      <w:tblGrid>
        <w:gridCol w:w="539"/>
        <w:gridCol w:w="458"/>
        <w:gridCol w:w="620"/>
        <w:gridCol w:w="539"/>
        <w:gridCol w:w="539"/>
        <w:gridCol w:w="620"/>
        <w:gridCol w:w="620"/>
        <w:gridCol w:w="620"/>
        <w:gridCol w:w="539"/>
        <w:gridCol w:w="620"/>
        <w:gridCol w:w="865"/>
        <w:gridCol w:w="701"/>
        <w:gridCol w:w="621"/>
        <w:gridCol w:w="621"/>
      </w:tblGrid>
      <w:tr>
        <w:tblPrEx>
          <w:tblCellMar>
            <w:top w:w="0" w:type="dxa"/>
            <w:left w:w="108" w:type="dxa"/>
            <w:bottom w:w="0" w:type="dxa"/>
            <w:right w:w="108" w:type="dxa"/>
          </w:tblCellMar>
        </w:tblPrEx>
        <w:trPr>
          <w:trHeight w:val="85" w:hRule="atLeast"/>
        </w:trPr>
        <w:tc>
          <w:tcPr>
            <w:tcW w:w="31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年份</w:t>
            </w:r>
          </w:p>
        </w:tc>
        <w:tc>
          <w:tcPr>
            <w:tcW w:w="1632" w:type="pct"/>
            <w:gridSpan w:val="5"/>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专用桩（万元）</w:t>
            </w:r>
          </w:p>
        </w:tc>
        <w:tc>
          <w:tcPr>
            <w:tcW w:w="1407" w:type="pct"/>
            <w:gridSpan w:val="4"/>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公用桩（万元）</w:t>
            </w:r>
          </w:p>
        </w:tc>
        <w:tc>
          <w:tcPr>
            <w:tcW w:w="506"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自用桩</w:t>
            </w:r>
          </w:p>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（万元）</w:t>
            </w:r>
          </w:p>
        </w:tc>
        <w:tc>
          <w:tcPr>
            <w:tcW w:w="1137" w:type="pct"/>
            <w:gridSpan w:val="3"/>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合计（万元）</w:t>
            </w:r>
          </w:p>
        </w:tc>
      </w:tr>
      <w:tr>
        <w:tblPrEx>
          <w:tblCellMar>
            <w:top w:w="0" w:type="dxa"/>
            <w:left w:w="108" w:type="dxa"/>
            <w:bottom w:w="0" w:type="dxa"/>
            <w:right w:w="108" w:type="dxa"/>
          </w:tblCellMar>
        </w:tblPrEx>
        <w:trPr>
          <w:trHeight w:val="134" w:hRule="atLeast"/>
        </w:trPr>
        <w:tc>
          <w:tcPr>
            <w:tcW w:w="318"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18"/>
                <w:szCs w:val="18"/>
              </w:rPr>
            </w:pPr>
          </w:p>
        </w:tc>
        <w:tc>
          <w:tcPr>
            <w:tcW w:w="27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公交</w:t>
            </w:r>
          </w:p>
        </w:tc>
        <w:tc>
          <w:tcPr>
            <w:tcW w:w="36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公务</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物流</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环卫</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合计</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外部公用</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小区公用</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高速</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合计</w:t>
            </w:r>
          </w:p>
        </w:tc>
        <w:tc>
          <w:tcPr>
            <w:tcW w:w="506"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18"/>
                <w:szCs w:val="18"/>
              </w:rPr>
            </w:pPr>
          </w:p>
        </w:tc>
        <w:tc>
          <w:tcPr>
            <w:tcW w:w="41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总投资</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本体工程</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接入工程</w:t>
            </w:r>
          </w:p>
        </w:tc>
      </w:tr>
      <w:tr>
        <w:tblPrEx>
          <w:tblCellMar>
            <w:top w:w="0" w:type="dxa"/>
            <w:left w:w="108" w:type="dxa"/>
            <w:bottom w:w="0" w:type="dxa"/>
            <w:right w:w="108" w:type="dxa"/>
          </w:tblCellMar>
        </w:tblPrEx>
        <w:trPr>
          <w:trHeight w:val="85" w:hRule="atLeast"/>
        </w:trPr>
        <w:tc>
          <w:tcPr>
            <w:tcW w:w="318"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2022</w:t>
            </w:r>
          </w:p>
        </w:tc>
        <w:tc>
          <w:tcPr>
            <w:tcW w:w="27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0</w:t>
            </w:r>
          </w:p>
        </w:tc>
        <w:tc>
          <w:tcPr>
            <w:tcW w:w="36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0</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192</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0</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192</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8304</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5208</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0</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13512</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1738</w:t>
            </w:r>
          </w:p>
        </w:tc>
        <w:tc>
          <w:tcPr>
            <w:tcW w:w="41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15442</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10440</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5003</w:t>
            </w:r>
          </w:p>
        </w:tc>
      </w:tr>
      <w:tr>
        <w:tblPrEx>
          <w:tblCellMar>
            <w:top w:w="0" w:type="dxa"/>
            <w:left w:w="108" w:type="dxa"/>
            <w:bottom w:w="0" w:type="dxa"/>
            <w:right w:w="108" w:type="dxa"/>
          </w:tblCellMar>
        </w:tblPrEx>
        <w:trPr>
          <w:trHeight w:val="85" w:hRule="atLeast"/>
        </w:trPr>
        <w:tc>
          <w:tcPr>
            <w:tcW w:w="318"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2023</w:t>
            </w:r>
          </w:p>
        </w:tc>
        <w:tc>
          <w:tcPr>
            <w:tcW w:w="27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240</w:t>
            </w:r>
          </w:p>
        </w:tc>
        <w:tc>
          <w:tcPr>
            <w:tcW w:w="36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3312</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1872</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192</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5616</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14016</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6888</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1728</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22632</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2292</w:t>
            </w:r>
          </w:p>
        </w:tc>
        <w:tc>
          <w:tcPr>
            <w:tcW w:w="41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30540</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20551</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9989</w:t>
            </w:r>
          </w:p>
        </w:tc>
      </w:tr>
      <w:tr>
        <w:tblPrEx>
          <w:tblCellMar>
            <w:top w:w="0" w:type="dxa"/>
            <w:left w:w="108" w:type="dxa"/>
            <w:bottom w:w="0" w:type="dxa"/>
            <w:right w:w="108" w:type="dxa"/>
          </w:tblCellMar>
        </w:tblPrEx>
        <w:trPr>
          <w:trHeight w:val="85" w:hRule="atLeast"/>
        </w:trPr>
        <w:tc>
          <w:tcPr>
            <w:tcW w:w="318"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2024</w:t>
            </w:r>
          </w:p>
        </w:tc>
        <w:tc>
          <w:tcPr>
            <w:tcW w:w="27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480</w:t>
            </w:r>
          </w:p>
        </w:tc>
        <w:tc>
          <w:tcPr>
            <w:tcW w:w="36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3792</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2976</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624</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7872</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10176</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8472</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768</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19416</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2828</w:t>
            </w:r>
          </w:p>
        </w:tc>
        <w:tc>
          <w:tcPr>
            <w:tcW w:w="41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30116</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20313</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9803</w:t>
            </w:r>
          </w:p>
        </w:tc>
      </w:tr>
      <w:tr>
        <w:tblPrEx>
          <w:tblCellMar>
            <w:top w:w="0" w:type="dxa"/>
            <w:left w:w="108" w:type="dxa"/>
            <w:bottom w:w="0" w:type="dxa"/>
            <w:right w:w="108" w:type="dxa"/>
          </w:tblCellMar>
        </w:tblPrEx>
        <w:trPr>
          <w:trHeight w:val="85" w:hRule="atLeast"/>
        </w:trPr>
        <w:tc>
          <w:tcPr>
            <w:tcW w:w="318"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2025</w:t>
            </w:r>
          </w:p>
        </w:tc>
        <w:tc>
          <w:tcPr>
            <w:tcW w:w="27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0</w:t>
            </w:r>
          </w:p>
        </w:tc>
        <w:tc>
          <w:tcPr>
            <w:tcW w:w="36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3456</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1152</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2496</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7104</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9936</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10704</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0</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20640</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3566</w:t>
            </w:r>
          </w:p>
        </w:tc>
        <w:tc>
          <w:tcPr>
            <w:tcW w:w="41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31310</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21171</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10140</w:t>
            </w:r>
          </w:p>
        </w:tc>
      </w:tr>
      <w:tr>
        <w:tblPrEx>
          <w:tblCellMar>
            <w:top w:w="0" w:type="dxa"/>
            <w:left w:w="108" w:type="dxa"/>
            <w:bottom w:w="0" w:type="dxa"/>
            <w:right w:w="108" w:type="dxa"/>
          </w:tblCellMar>
        </w:tblPrEx>
        <w:trPr>
          <w:trHeight w:val="85" w:hRule="atLeast"/>
        </w:trPr>
        <w:tc>
          <w:tcPr>
            <w:tcW w:w="318"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18"/>
                <w:szCs w:val="18"/>
              </w:rPr>
            </w:pPr>
            <w:r>
              <w:rPr>
                <w:rFonts w:eastAsia="仿宋_GB2312" w:cs="Times New Roman"/>
                <w:b/>
                <w:bCs/>
                <w:color w:val="000000"/>
                <w:kern w:val="0"/>
                <w:sz w:val="18"/>
                <w:szCs w:val="18"/>
              </w:rPr>
              <w:t>汇总</w:t>
            </w:r>
          </w:p>
        </w:tc>
        <w:tc>
          <w:tcPr>
            <w:tcW w:w="27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720</w:t>
            </w:r>
          </w:p>
        </w:tc>
        <w:tc>
          <w:tcPr>
            <w:tcW w:w="36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10560</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6192</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3312</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20784</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42432</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31272</w:t>
            </w:r>
          </w:p>
        </w:tc>
        <w:tc>
          <w:tcPr>
            <w:tcW w:w="3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2496</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eastAsia="仿宋_GB2312" w:cs="Times New Roman"/>
                <w:color w:val="000000"/>
                <w:kern w:val="0"/>
                <w:sz w:val="18"/>
                <w:szCs w:val="18"/>
              </w:rPr>
              <w:t>76200</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10424</w:t>
            </w:r>
          </w:p>
        </w:tc>
        <w:tc>
          <w:tcPr>
            <w:tcW w:w="41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107408</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72474</w:t>
            </w:r>
          </w:p>
        </w:tc>
        <w:tc>
          <w:tcPr>
            <w:tcW w:w="3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18"/>
                <w:szCs w:val="18"/>
              </w:rPr>
            </w:pPr>
            <w:r>
              <w:rPr>
                <w:rFonts w:hint="eastAsia" w:eastAsia="仿宋_GB2312" w:cs="Times New Roman"/>
                <w:color w:val="000000"/>
                <w:kern w:val="0"/>
                <w:sz w:val="18"/>
                <w:szCs w:val="18"/>
              </w:rPr>
              <w:t>34934</w:t>
            </w:r>
          </w:p>
        </w:tc>
      </w:tr>
    </w:tbl>
    <w:p>
      <w:pPr>
        <w:adjustRightInd w:val="0"/>
        <w:snapToGrid w:val="0"/>
        <w:spacing w:before="156" w:beforeLines="50"/>
        <w:ind w:firstLine="560"/>
        <w:rPr>
          <w:rFonts w:eastAsia="仿宋_GB2312" w:cs="Times New Roman"/>
        </w:rPr>
      </w:pPr>
      <w:r>
        <w:rPr>
          <w:rFonts w:eastAsia="仿宋_GB2312" w:cs="Times New Roman"/>
        </w:rPr>
        <w:t>按建设时序划分， 2022年投资约</w:t>
      </w:r>
      <w:r>
        <w:rPr>
          <w:rFonts w:hint="eastAsia" w:eastAsia="仿宋_GB2312" w:cs="Times New Roman"/>
        </w:rPr>
        <w:t>1.</w:t>
      </w:r>
      <w:r>
        <w:rPr>
          <w:rFonts w:eastAsia="仿宋_GB2312" w:cs="Times New Roman"/>
        </w:rPr>
        <w:t>54</w:t>
      </w:r>
      <w:r>
        <w:rPr>
          <w:rFonts w:hint="eastAsia" w:eastAsia="仿宋_GB2312" w:cs="Times New Roman"/>
        </w:rPr>
        <w:t>亿</w:t>
      </w:r>
      <w:r>
        <w:rPr>
          <w:rFonts w:eastAsia="仿宋_GB2312" w:cs="Times New Roman"/>
        </w:rPr>
        <w:t>元、2023年投资约</w:t>
      </w:r>
      <w:r>
        <w:rPr>
          <w:rFonts w:hint="eastAsia" w:eastAsia="仿宋_GB2312" w:cs="Times New Roman"/>
        </w:rPr>
        <w:t>3.</w:t>
      </w:r>
      <w:r>
        <w:rPr>
          <w:rFonts w:eastAsia="仿宋_GB2312" w:cs="Times New Roman"/>
        </w:rPr>
        <w:t>05</w:t>
      </w:r>
      <w:r>
        <w:rPr>
          <w:rFonts w:hint="eastAsia" w:eastAsia="仿宋_GB2312" w:cs="Times New Roman"/>
        </w:rPr>
        <w:t>亿</w:t>
      </w:r>
      <w:r>
        <w:rPr>
          <w:rFonts w:eastAsia="仿宋_GB2312" w:cs="Times New Roman"/>
        </w:rPr>
        <w:t>元、2024年投资约</w:t>
      </w:r>
      <w:r>
        <w:rPr>
          <w:rFonts w:hint="eastAsia" w:eastAsia="仿宋_GB2312" w:cs="Times New Roman"/>
        </w:rPr>
        <w:t>3.</w:t>
      </w:r>
      <w:r>
        <w:rPr>
          <w:rFonts w:eastAsia="仿宋_GB2312" w:cs="Times New Roman"/>
        </w:rPr>
        <w:t>01</w:t>
      </w:r>
      <w:r>
        <w:rPr>
          <w:rFonts w:hint="eastAsia" w:eastAsia="仿宋_GB2312" w:cs="Times New Roman"/>
        </w:rPr>
        <w:t>亿</w:t>
      </w:r>
      <w:r>
        <w:rPr>
          <w:rFonts w:eastAsia="仿宋_GB2312" w:cs="Times New Roman"/>
        </w:rPr>
        <w:t>元、2025年投资约</w:t>
      </w:r>
      <w:r>
        <w:rPr>
          <w:rFonts w:hint="eastAsia" w:eastAsia="仿宋_GB2312" w:cs="Times New Roman"/>
        </w:rPr>
        <w:t>3.</w:t>
      </w:r>
      <w:r>
        <w:rPr>
          <w:rFonts w:eastAsia="仿宋_GB2312" w:cs="Times New Roman"/>
        </w:rPr>
        <w:t>13</w:t>
      </w:r>
      <w:r>
        <w:rPr>
          <w:rFonts w:hint="eastAsia" w:eastAsia="仿宋_GB2312" w:cs="Times New Roman"/>
        </w:rPr>
        <w:t>亿</w:t>
      </w:r>
      <w:r>
        <w:rPr>
          <w:rFonts w:eastAsia="仿宋_GB2312" w:cs="Times New Roman"/>
        </w:rPr>
        <w:t>元。十四五期间充电设施本体工程投资</w:t>
      </w:r>
      <w:r>
        <w:rPr>
          <w:rFonts w:hint="eastAsia" w:eastAsia="仿宋_GB2312" w:cs="Times New Roman"/>
        </w:rPr>
        <w:t>7.</w:t>
      </w:r>
      <w:r>
        <w:rPr>
          <w:rFonts w:eastAsia="仿宋_GB2312" w:cs="Times New Roman"/>
        </w:rPr>
        <w:t>25</w:t>
      </w:r>
      <w:r>
        <w:rPr>
          <w:rFonts w:hint="eastAsia" w:eastAsia="仿宋_GB2312" w:cs="Times New Roman"/>
        </w:rPr>
        <w:t>亿</w:t>
      </w:r>
      <w:r>
        <w:rPr>
          <w:rFonts w:eastAsia="仿宋_GB2312" w:cs="Times New Roman"/>
        </w:rPr>
        <w:t>元，接入工程投资</w:t>
      </w:r>
      <w:r>
        <w:rPr>
          <w:rFonts w:hint="eastAsia" w:eastAsia="仿宋_GB2312" w:cs="Times New Roman"/>
        </w:rPr>
        <w:t>3.</w:t>
      </w:r>
      <w:r>
        <w:rPr>
          <w:rFonts w:eastAsia="仿宋_GB2312" w:cs="Times New Roman"/>
        </w:rPr>
        <w:t>49</w:t>
      </w:r>
      <w:r>
        <w:rPr>
          <w:rFonts w:hint="eastAsia" w:eastAsia="仿宋_GB2312" w:cs="Times New Roman"/>
        </w:rPr>
        <w:t>亿</w:t>
      </w:r>
      <w:r>
        <w:rPr>
          <w:rFonts w:eastAsia="仿宋_GB2312" w:cs="Times New Roman"/>
        </w:rPr>
        <w:t>元。</w:t>
      </w:r>
    </w:p>
    <w:bookmarkEnd w:id="312"/>
    <w:p>
      <w:pPr>
        <w:pStyle w:val="3"/>
        <w:adjustRightInd w:val="0"/>
        <w:rPr>
          <w:rFonts w:eastAsia="仿宋_GB2312" w:cs="Times New Roman"/>
        </w:rPr>
      </w:pPr>
      <w:bookmarkStart w:id="318" w:name="_Toc54255622"/>
      <w:bookmarkStart w:id="319" w:name="_Toc117243269"/>
      <w:bookmarkStart w:id="320" w:name="_Toc43134269"/>
      <w:r>
        <w:rPr>
          <w:rFonts w:eastAsia="仿宋_GB2312" w:cs="Times New Roman"/>
        </w:rPr>
        <w:t>实施效益</w:t>
      </w:r>
      <w:bookmarkEnd w:id="318"/>
      <w:bookmarkEnd w:id="319"/>
    </w:p>
    <w:p>
      <w:pPr>
        <w:pStyle w:val="106"/>
        <w:numPr>
          <w:ilvl w:val="1"/>
          <w:numId w:val="31"/>
        </w:numPr>
        <w:adjustRightInd w:val="0"/>
        <w:snapToGrid w:val="0"/>
        <w:ind w:left="0" w:firstLine="562"/>
        <w:rPr>
          <w:rFonts w:eastAsia="仿宋_GB2312" w:cs="Times New Roman"/>
          <w:b/>
          <w:bCs/>
        </w:rPr>
      </w:pPr>
      <w:r>
        <w:rPr>
          <w:rFonts w:eastAsia="仿宋_GB2312" w:cs="Times New Roman"/>
          <w:b/>
          <w:bCs/>
        </w:rPr>
        <w:t>实施效果</w:t>
      </w:r>
    </w:p>
    <w:p>
      <w:pPr>
        <w:adjustRightInd w:val="0"/>
        <w:snapToGrid w:val="0"/>
        <w:ind w:firstLine="560"/>
        <w:rPr>
          <w:rFonts w:eastAsia="仿宋_GB2312" w:cs="Times New Roman"/>
          <w:b/>
          <w:bCs/>
        </w:rPr>
      </w:pPr>
      <w:r>
        <w:rPr>
          <w:rFonts w:eastAsia="仿宋_GB2312" w:cs="Times New Roman"/>
        </w:rPr>
        <w:t>前面预测2025年咸宁市共有</w:t>
      </w:r>
      <w:r>
        <w:rPr>
          <w:rFonts w:hint="eastAsia" w:eastAsia="仿宋_GB2312" w:cs="Times New Roman"/>
        </w:rPr>
        <w:t>30146</w:t>
      </w:r>
      <w:r>
        <w:rPr>
          <w:rFonts w:eastAsia="仿宋_GB2312" w:cs="Times New Roman"/>
        </w:rPr>
        <w:t>辆新能源汽车，规划实施后，共新建9253个充电桩，考虑现状充电桩1071个，总桩车比达1：2.9。其中公用桩车比达1：</w:t>
      </w:r>
      <w:r>
        <w:rPr>
          <w:rFonts w:hint="eastAsia" w:eastAsia="仿宋_GB2312" w:cs="Times New Roman"/>
        </w:rPr>
        <w:t>8</w:t>
      </w:r>
      <w:r>
        <w:rPr>
          <w:rFonts w:eastAsia="仿宋_GB2312" w:cs="Times New Roman"/>
        </w:rPr>
        <w:t>，每个乡镇均有公共充电站布点</w:t>
      </w:r>
      <w:r>
        <w:rPr>
          <w:rFonts w:hint="eastAsia" w:eastAsia="仿宋_GB2312" w:cs="Times New Roman"/>
        </w:rPr>
        <w:t>，</w:t>
      </w:r>
      <w:r>
        <w:rPr>
          <w:rFonts w:eastAsia="仿宋_GB2312" w:cs="Times New Roman"/>
        </w:rPr>
        <w:t>满足本次规划桩车比</w:t>
      </w:r>
      <w:r>
        <w:rPr>
          <w:rFonts w:hint="eastAsia" w:eastAsia="仿宋_GB2312" w:cs="Times New Roman"/>
        </w:rPr>
        <w:t>以及</w:t>
      </w:r>
      <w:r>
        <w:rPr>
          <w:rFonts w:eastAsia="仿宋_GB2312" w:cs="Times New Roman"/>
        </w:rPr>
        <w:t>咸宁中心城区1公里、县市城区3公里服务半径以及重点乡镇全覆盖要求。</w:t>
      </w:r>
    </w:p>
    <w:p>
      <w:pPr>
        <w:pStyle w:val="106"/>
        <w:numPr>
          <w:ilvl w:val="1"/>
          <w:numId w:val="31"/>
        </w:numPr>
        <w:adjustRightInd w:val="0"/>
        <w:snapToGrid w:val="0"/>
        <w:ind w:left="0" w:firstLine="562"/>
        <w:rPr>
          <w:rFonts w:eastAsia="仿宋_GB2312" w:cs="Times New Roman"/>
          <w:b/>
          <w:bCs/>
        </w:rPr>
      </w:pPr>
      <w:r>
        <w:rPr>
          <w:rFonts w:eastAsia="仿宋_GB2312" w:cs="Times New Roman"/>
          <w:b/>
          <w:bCs/>
        </w:rPr>
        <w:t>经济效益分析</w:t>
      </w:r>
    </w:p>
    <w:p>
      <w:pPr>
        <w:autoSpaceDE w:val="0"/>
        <w:autoSpaceDN w:val="0"/>
        <w:adjustRightInd w:val="0"/>
        <w:snapToGrid w:val="0"/>
        <w:ind w:firstLine="562"/>
        <w:rPr>
          <w:rFonts w:eastAsia="仿宋_GB2312" w:cs="Times New Roman"/>
          <w:b/>
          <w:bCs/>
          <w:color w:val="000000"/>
          <w:kern w:val="0"/>
        </w:rPr>
      </w:pPr>
      <w:r>
        <w:rPr>
          <w:rFonts w:eastAsia="仿宋_GB2312" w:cs="Times New Roman"/>
          <w:b/>
          <w:bCs/>
          <w:color w:val="000000"/>
          <w:kern w:val="0"/>
        </w:rPr>
        <w:t>（1）影响分析</w:t>
      </w:r>
    </w:p>
    <w:p>
      <w:pPr>
        <w:pStyle w:val="106"/>
        <w:adjustRightInd w:val="0"/>
        <w:snapToGrid w:val="0"/>
        <w:ind w:firstLine="560"/>
        <w:rPr>
          <w:rFonts w:eastAsia="仿宋_GB2312" w:cs="Times New Roman"/>
          <w:b/>
          <w:bCs/>
        </w:rPr>
      </w:pPr>
      <w:r>
        <w:rPr>
          <w:rFonts w:eastAsia="仿宋_GB2312" w:cs="Times New Roman"/>
          <w:color w:val="000000"/>
          <w:kern w:val="0"/>
        </w:rPr>
        <w:t>专用充电站由于充电车辆和充电次数相对稳定，基本 “一日一充”，且单次充电量较大，服务收入比例较公用充电站好，现阶段可大量投入建设</w:t>
      </w:r>
      <w:r>
        <w:rPr>
          <w:rFonts w:hint="eastAsia" w:eastAsia="仿宋_GB2312" w:cs="Times New Roman"/>
          <w:color w:val="000000"/>
          <w:kern w:val="0"/>
        </w:rPr>
        <w:t>。</w:t>
      </w:r>
    </w:p>
    <w:p>
      <w:pPr>
        <w:autoSpaceDE w:val="0"/>
        <w:autoSpaceDN w:val="0"/>
        <w:adjustRightInd w:val="0"/>
        <w:snapToGrid w:val="0"/>
        <w:ind w:firstLine="560"/>
        <w:rPr>
          <w:rFonts w:eastAsia="仿宋_GB2312" w:cs="Times New Roman"/>
          <w:color w:val="000000"/>
          <w:kern w:val="0"/>
        </w:rPr>
      </w:pPr>
      <w:r>
        <w:rPr>
          <w:rFonts w:eastAsia="仿宋_GB2312" w:cs="Times New Roman"/>
          <w:color w:val="000000"/>
          <w:kern w:val="0"/>
        </w:rPr>
        <w:t xml:space="preserve">公用充电站现状条件下，由于影响因素差异较大，投资效益相差较大，主要影响因素有充电站地理位置、服务车辆、单次充电电量、充电桩的利用率、运营人员配置规模等。  </w:t>
      </w:r>
    </w:p>
    <w:p>
      <w:pPr>
        <w:autoSpaceDE w:val="0"/>
        <w:autoSpaceDN w:val="0"/>
        <w:adjustRightInd w:val="0"/>
        <w:snapToGrid w:val="0"/>
        <w:ind w:firstLine="562"/>
        <w:rPr>
          <w:rFonts w:eastAsia="仿宋_GB2312" w:cs="Times New Roman"/>
          <w:b/>
          <w:bCs/>
          <w:color w:val="000000"/>
          <w:kern w:val="0"/>
        </w:rPr>
      </w:pPr>
      <w:r>
        <w:rPr>
          <w:rFonts w:eastAsia="仿宋_GB2312" w:cs="Times New Roman"/>
          <w:b/>
          <w:bCs/>
          <w:color w:val="000000"/>
          <w:kern w:val="0"/>
        </w:rPr>
        <w:t>（2）公用充电设施成本回收期计算</w:t>
      </w:r>
    </w:p>
    <w:p>
      <w:pPr>
        <w:autoSpaceDE w:val="0"/>
        <w:autoSpaceDN w:val="0"/>
        <w:adjustRightInd w:val="0"/>
        <w:snapToGrid w:val="0"/>
        <w:ind w:firstLine="560"/>
        <w:rPr>
          <w:rFonts w:eastAsia="仿宋_GB2312" w:cs="Times New Roman"/>
          <w:color w:val="000000"/>
          <w:kern w:val="0"/>
        </w:rPr>
      </w:pPr>
      <w:r>
        <w:rPr>
          <w:rFonts w:hint="eastAsia" w:eastAsia="仿宋_GB2312" w:cs="Times New Roman"/>
          <w:color w:val="000000"/>
          <w:kern w:val="0"/>
        </w:rPr>
        <w:t>以一8车位（8个60k</w:t>
      </w:r>
      <w:r>
        <w:rPr>
          <w:rFonts w:eastAsia="仿宋_GB2312" w:cs="Times New Roman"/>
          <w:color w:val="000000"/>
          <w:kern w:val="0"/>
        </w:rPr>
        <w:t>W</w:t>
      </w:r>
      <w:r>
        <w:rPr>
          <w:rFonts w:hint="eastAsia" w:eastAsia="仿宋_GB2312" w:cs="Times New Roman"/>
          <w:color w:val="000000"/>
          <w:kern w:val="0"/>
        </w:rPr>
        <w:t>快充桩）公共充电站为例进行计算分析，具体计算方法如下：</w:t>
      </w:r>
    </w:p>
    <w:p>
      <w:pPr>
        <w:adjustRightInd w:val="0"/>
        <w:snapToGrid w:val="0"/>
        <w:ind w:firstLine="562"/>
        <w:rPr>
          <w:rFonts w:eastAsia="仿宋_GB2312" w:cs="Times New Roman"/>
          <w:b/>
          <w:bCs/>
          <w:color w:val="000000"/>
          <w:kern w:val="0"/>
        </w:rPr>
      </w:pPr>
      <w:r>
        <w:rPr>
          <w:rFonts w:eastAsia="仿宋_GB2312" w:cs="Times New Roman"/>
          <w:b/>
          <w:bCs/>
          <w:color w:val="000000"/>
          <w:kern w:val="0"/>
        </w:rPr>
        <w:t>1</w:t>
      </w:r>
      <w:r>
        <w:rPr>
          <w:rFonts w:hint="eastAsia" w:eastAsia="仿宋_GB2312" w:cs="Times New Roman"/>
          <w:b/>
          <w:bCs/>
          <w:color w:val="000000"/>
          <w:kern w:val="0"/>
        </w:rPr>
        <w:t>）充电费用标准分析</w:t>
      </w:r>
    </w:p>
    <w:p>
      <w:pPr>
        <w:adjustRightInd w:val="0"/>
        <w:snapToGrid w:val="0"/>
        <w:ind w:firstLine="562"/>
        <w:rPr>
          <w:rFonts w:eastAsia="仿宋_GB2312" w:cs="Times New Roman"/>
          <w:color w:val="000000"/>
          <w:kern w:val="0"/>
        </w:rPr>
      </w:pPr>
      <w:r>
        <w:rPr>
          <w:rFonts w:hint="eastAsia" w:eastAsia="仿宋_GB2312" w:cs="Times New Roman"/>
          <w:b/>
          <w:bCs/>
          <w:color w:val="000000"/>
          <w:kern w:val="0"/>
        </w:rPr>
        <w:t>a</w:t>
      </w:r>
      <w:r>
        <w:rPr>
          <w:rFonts w:eastAsia="仿宋_GB2312" w:cs="Times New Roman"/>
          <w:b/>
          <w:bCs/>
          <w:color w:val="000000"/>
          <w:kern w:val="0"/>
        </w:rPr>
        <w:t>.</w:t>
      </w:r>
      <w:r>
        <w:rPr>
          <w:rFonts w:hint="eastAsia" w:eastAsia="仿宋_GB2312" w:cs="Times New Roman"/>
          <w:b/>
          <w:bCs/>
          <w:color w:val="000000"/>
          <w:kern w:val="0"/>
        </w:rPr>
        <w:t>充电费用组成</w:t>
      </w:r>
      <w:r>
        <w:rPr>
          <w:rFonts w:eastAsia="仿宋_GB2312" w:cs="Times New Roman"/>
          <w:b/>
          <w:bCs/>
          <w:color w:val="000000"/>
          <w:kern w:val="0"/>
        </w:rPr>
        <w:t>：</w:t>
      </w:r>
      <w:r>
        <w:rPr>
          <w:rFonts w:eastAsia="仿宋_GB2312" w:cs="Times New Roman"/>
          <w:color w:val="000000"/>
          <w:kern w:val="0"/>
        </w:rPr>
        <w:t>咸宁公共充电站充电收费标准表如下</w:t>
      </w:r>
      <w:r>
        <w:rPr>
          <w:rFonts w:hint="eastAsia" w:eastAsia="仿宋_GB2312" w:cs="Times New Roman"/>
          <w:color w:val="000000"/>
          <w:kern w:val="0"/>
        </w:rPr>
        <w:t>表</w:t>
      </w:r>
      <w:r>
        <w:rPr>
          <w:rFonts w:eastAsia="仿宋_GB2312" w:cs="Times New Roman"/>
          <w:color w:val="000000"/>
          <w:kern w:val="0"/>
        </w:rPr>
        <w:t>所示，充电费用</w:t>
      </w:r>
      <w:r>
        <w:rPr>
          <w:rFonts w:hint="eastAsia" w:eastAsia="仿宋_GB2312" w:cs="Times New Roman"/>
          <w:color w:val="000000"/>
          <w:kern w:val="0"/>
        </w:rPr>
        <w:t>由</w:t>
      </w:r>
      <w:r>
        <w:rPr>
          <w:rFonts w:eastAsia="仿宋_GB2312" w:cs="Times New Roman"/>
          <w:color w:val="000000"/>
          <w:kern w:val="0"/>
        </w:rPr>
        <w:t>电费及服务费</w:t>
      </w:r>
      <w:r>
        <w:rPr>
          <w:rFonts w:hint="eastAsia" w:eastAsia="仿宋_GB2312" w:cs="Times New Roman"/>
          <w:color w:val="000000"/>
          <w:kern w:val="0"/>
        </w:rPr>
        <w:t>组成</w:t>
      </w:r>
      <w:r>
        <w:rPr>
          <w:rFonts w:eastAsia="仿宋_GB2312" w:cs="Times New Roman"/>
          <w:color w:val="000000"/>
          <w:kern w:val="0"/>
        </w:rPr>
        <w:t>，其中电费需上交电网公司，服务费为投资企业收入。</w:t>
      </w:r>
    </w:p>
    <w:p>
      <w:pPr>
        <w:pStyle w:val="19"/>
        <w:adjustRightInd w:val="0"/>
        <w:snapToGrid w:val="0"/>
        <w:ind w:firstLine="360"/>
        <w:rPr>
          <w:rFonts w:eastAsia="仿宋_GB2312" w:cs="Times New Roman"/>
          <w:szCs w:val="24"/>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9</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3</w:t>
      </w:r>
      <w:r>
        <w:rPr>
          <w:rFonts w:eastAsia="仿宋_GB2312" w:cs="Times New Roman"/>
        </w:rPr>
        <w:fldChar w:fldCharType="end"/>
      </w:r>
      <w:r>
        <w:rPr>
          <w:rFonts w:eastAsia="仿宋_GB2312" w:cs="Times New Roman"/>
          <w:szCs w:val="24"/>
        </w:rPr>
        <w:t>咸宁市公共充电站充电收费标准</w:t>
      </w:r>
    </w:p>
    <w:tbl>
      <w:tblPr>
        <w:tblStyle w:val="76"/>
        <w:tblW w:w="4881" w:type="pct"/>
        <w:jc w:val="center"/>
        <w:tblLayout w:type="autofit"/>
        <w:tblCellMar>
          <w:top w:w="0" w:type="dxa"/>
          <w:left w:w="108" w:type="dxa"/>
          <w:bottom w:w="0" w:type="dxa"/>
          <w:right w:w="108" w:type="dxa"/>
        </w:tblCellMar>
      </w:tblPr>
      <w:tblGrid>
        <w:gridCol w:w="1612"/>
        <w:gridCol w:w="2316"/>
        <w:gridCol w:w="1443"/>
        <w:gridCol w:w="1294"/>
        <w:gridCol w:w="1654"/>
      </w:tblGrid>
      <w:tr>
        <w:tblPrEx>
          <w:tblCellMar>
            <w:top w:w="0" w:type="dxa"/>
            <w:left w:w="108" w:type="dxa"/>
            <w:bottom w:w="0" w:type="dxa"/>
            <w:right w:w="108" w:type="dxa"/>
          </w:tblCellMar>
        </w:tblPrEx>
        <w:trPr>
          <w:trHeight w:val="99" w:hRule="atLeast"/>
          <w:jc w:val="center"/>
        </w:trPr>
        <w:tc>
          <w:tcPr>
            <w:tcW w:w="96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4"/>
                <w:szCs w:val="24"/>
              </w:rPr>
            </w:pPr>
            <w:r>
              <w:rPr>
                <w:rFonts w:eastAsia="仿宋_GB2312" w:cs="Times New Roman"/>
                <w:b/>
                <w:bCs/>
                <w:color w:val="000000"/>
                <w:kern w:val="0"/>
                <w:sz w:val="24"/>
                <w:szCs w:val="24"/>
              </w:rPr>
              <w:t>分时时段</w:t>
            </w:r>
          </w:p>
        </w:tc>
        <w:tc>
          <w:tcPr>
            <w:tcW w:w="1392"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4"/>
                <w:szCs w:val="24"/>
              </w:rPr>
            </w:pPr>
            <w:r>
              <w:rPr>
                <w:rFonts w:eastAsia="仿宋_GB2312" w:cs="Times New Roman"/>
                <w:b/>
                <w:bCs/>
                <w:color w:val="000000"/>
                <w:kern w:val="0"/>
                <w:sz w:val="24"/>
                <w:szCs w:val="24"/>
              </w:rPr>
              <w:t>时间段</w:t>
            </w:r>
          </w:p>
        </w:tc>
        <w:tc>
          <w:tcPr>
            <w:tcW w:w="867"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4"/>
                <w:szCs w:val="24"/>
              </w:rPr>
            </w:pPr>
            <w:r>
              <w:rPr>
                <w:rFonts w:eastAsia="仿宋_GB2312" w:cs="Times New Roman"/>
                <w:b/>
                <w:bCs/>
                <w:color w:val="000000"/>
                <w:kern w:val="0"/>
                <w:sz w:val="24"/>
                <w:szCs w:val="24"/>
              </w:rPr>
              <w:t>电费（元/kwh）</w:t>
            </w:r>
          </w:p>
        </w:tc>
        <w:tc>
          <w:tcPr>
            <w:tcW w:w="778"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4"/>
                <w:szCs w:val="24"/>
              </w:rPr>
            </w:pPr>
            <w:r>
              <w:rPr>
                <w:rFonts w:eastAsia="仿宋_GB2312" w:cs="Times New Roman"/>
                <w:b/>
                <w:bCs/>
                <w:color w:val="000000"/>
                <w:kern w:val="0"/>
                <w:sz w:val="24"/>
                <w:szCs w:val="24"/>
              </w:rPr>
              <w:t>服务费（元/kwh）</w:t>
            </w:r>
          </w:p>
        </w:tc>
        <w:tc>
          <w:tcPr>
            <w:tcW w:w="99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4"/>
                <w:szCs w:val="24"/>
              </w:rPr>
            </w:pPr>
            <w:r>
              <w:rPr>
                <w:rFonts w:eastAsia="仿宋_GB2312" w:cs="Times New Roman"/>
                <w:b/>
                <w:bCs/>
                <w:color w:val="000000"/>
                <w:kern w:val="0"/>
                <w:sz w:val="24"/>
                <w:szCs w:val="24"/>
              </w:rPr>
              <w:t>总费用（元/kwh）</w:t>
            </w:r>
          </w:p>
        </w:tc>
      </w:tr>
      <w:tr>
        <w:tblPrEx>
          <w:tblCellMar>
            <w:top w:w="0" w:type="dxa"/>
            <w:left w:w="108" w:type="dxa"/>
            <w:bottom w:w="0" w:type="dxa"/>
            <w:right w:w="108" w:type="dxa"/>
          </w:tblCellMar>
        </w:tblPrEx>
        <w:trPr>
          <w:trHeight w:val="99" w:hRule="atLeast"/>
          <w:jc w:val="center"/>
        </w:trPr>
        <w:tc>
          <w:tcPr>
            <w:tcW w:w="969"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峰段</w:t>
            </w:r>
          </w:p>
        </w:tc>
        <w:tc>
          <w:tcPr>
            <w:tcW w:w="139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9：00-15:00</w:t>
            </w:r>
          </w:p>
        </w:tc>
        <w:tc>
          <w:tcPr>
            <w:tcW w:w="86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0.8414</w:t>
            </w:r>
          </w:p>
        </w:tc>
        <w:tc>
          <w:tcPr>
            <w:tcW w:w="7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0.275</w:t>
            </w:r>
          </w:p>
        </w:tc>
        <w:tc>
          <w:tcPr>
            <w:tcW w:w="9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1.1164</w:t>
            </w:r>
          </w:p>
        </w:tc>
      </w:tr>
      <w:tr>
        <w:tblPrEx>
          <w:tblCellMar>
            <w:top w:w="0" w:type="dxa"/>
            <w:left w:w="108" w:type="dxa"/>
            <w:bottom w:w="0" w:type="dxa"/>
            <w:right w:w="108" w:type="dxa"/>
          </w:tblCellMar>
        </w:tblPrEx>
        <w:trPr>
          <w:trHeight w:val="199" w:hRule="atLeast"/>
          <w:jc w:val="center"/>
        </w:trPr>
        <w:tc>
          <w:tcPr>
            <w:tcW w:w="969"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平段</w:t>
            </w:r>
          </w:p>
        </w:tc>
        <w:tc>
          <w:tcPr>
            <w:tcW w:w="139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7：00-9:00，15:00-20:00，22:00-23:00</w:t>
            </w:r>
          </w:p>
        </w:tc>
        <w:tc>
          <w:tcPr>
            <w:tcW w:w="86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0.5796</w:t>
            </w:r>
          </w:p>
        </w:tc>
        <w:tc>
          <w:tcPr>
            <w:tcW w:w="7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0.35</w:t>
            </w:r>
          </w:p>
        </w:tc>
        <w:tc>
          <w:tcPr>
            <w:tcW w:w="9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0.9296</w:t>
            </w:r>
          </w:p>
        </w:tc>
      </w:tr>
      <w:tr>
        <w:tblPrEx>
          <w:tblCellMar>
            <w:top w:w="0" w:type="dxa"/>
            <w:left w:w="108" w:type="dxa"/>
            <w:bottom w:w="0" w:type="dxa"/>
            <w:right w:w="108" w:type="dxa"/>
          </w:tblCellMar>
        </w:tblPrEx>
        <w:trPr>
          <w:trHeight w:val="99" w:hRule="atLeast"/>
          <w:jc w:val="center"/>
        </w:trPr>
        <w:tc>
          <w:tcPr>
            <w:tcW w:w="969"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谷段</w:t>
            </w:r>
          </w:p>
        </w:tc>
        <w:tc>
          <w:tcPr>
            <w:tcW w:w="139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23:00-次日7:00</w:t>
            </w:r>
          </w:p>
        </w:tc>
        <w:tc>
          <w:tcPr>
            <w:tcW w:w="86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0.3017</w:t>
            </w:r>
          </w:p>
        </w:tc>
        <w:tc>
          <w:tcPr>
            <w:tcW w:w="7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0.275</w:t>
            </w:r>
          </w:p>
        </w:tc>
        <w:tc>
          <w:tcPr>
            <w:tcW w:w="9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0.5767</w:t>
            </w:r>
          </w:p>
        </w:tc>
      </w:tr>
      <w:tr>
        <w:tblPrEx>
          <w:tblCellMar>
            <w:top w:w="0" w:type="dxa"/>
            <w:left w:w="108" w:type="dxa"/>
            <w:bottom w:w="0" w:type="dxa"/>
            <w:right w:w="108" w:type="dxa"/>
          </w:tblCellMar>
        </w:tblPrEx>
        <w:trPr>
          <w:trHeight w:val="99" w:hRule="atLeast"/>
          <w:jc w:val="center"/>
        </w:trPr>
        <w:tc>
          <w:tcPr>
            <w:tcW w:w="969"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尖段</w:t>
            </w:r>
          </w:p>
        </w:tc>
        <w:tc>
          <w:tcPr>
            <w:tcW w:w="139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20:00-22:00</w:t>
            </w:r>
          </w:p>
        </w:tc>
        <w:tc>
          <w:tcPr>
            <w:tcW w:w="86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1.0071</w:t>
            </w:r>
          </w:p>
        </w:tc>
        <w:tc>
          <w:tcPr>
            <w:tcW w:w="77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0.225</w:t>
            </w:r>
          </w:p>
        </w:tc>
        <w:tc>
          <w:tcPr>
            <w:tcW w:w="9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1.2321</w:t>
            </w:r>
          </w:p>
        </w:tc>
      </w:tr>
    </w:tbl>
    <w:p>
      <w:pPr>
        <w:adjustRightInd w:val="0"/>
        <w:snapToGrid w:val="0"/>
        <w:ind w:firstLine="560"/>
        <w:rPr>
          <w:rFonts w:eastAsia="仿宋_GB2312" w:cs="Times New Roman"/>
          <w:color w:val="000000"/>
          <w:kern w:val="0"/>
        </w:rPr>
      </w:pPr>
    </w:p>
    <w:p>
      <w:pPr>
        <w:adjustRightInd w:val="0"/>
        <w:snapToGrid w:val="0"/>
        <w:ind w:firstLine="562"/>
        <w:rPr>
          <w:rFonts w:eastAsia="仿宋_GB2312" w:cs="Times New Roman"/>
          <w:color w:val="000000"/>
          <w:kern w:val="0"/>
        </w:rPr>
      </w:pPr>
      <w:r>
        <w:rPr>
          <w:rFonts w:hint="eastAsia" w:eastAsia="仿宋_GB2312" w:cs="Times New Roman"/>
          <w:b/>
          <w:bCs/>
          <w:color w:val="000000"/>
          <w:kern w:val="0"/>
        </w:rPr>
        <w:t>b</w:t>
      </w:r>
      <w:r>
        <w:rPr>
          <w:rFonts w:eastAsia="仿宋_GB2312" w:cs="Times New Roman"/>
          <w:b/>
          <w:bCs/>
          <w:color w:val="000000"/>
          <w:kern w:val="0"/>
        </w:rPr>
        <w:t>.加权平均后充电收费标准：</w:t>
      </w:r>
      <w:r>
        <w:rPr>
          <w:rFonts w:hint="eastAsia" w:eastAsia="仿宋_GB2312" w:cs="Times New Roman"/>
          <w:color w:val="000000"/>
          <w:kern w:val="0"/>
        </w:rPr>
        <w:t>因不同时间段收费标准不同，为简化计算，</w:t>
      </w:r>
      <w:r>
        <w:rPr>
          <w:rFonts w:eastAsia="仿宋_GB2312" w:cs="Times New Roman"/>
          <w:color w:val="000000"/>
          <w:kern w:val="0"/>
        </w:rPr>
        <w:t>根据咸宁不同时间段充电车辆比例（以峰段30%、平段40%、谷段20、尖段10%比例为前提），通过与上面收费表</w:t>
      </w:r>
      <w:r>
        <w:rPr>
          <w:rFonts w:hint="eastAsia" w:eastAsia="仿宋_GB2312" w:cs="Times New Roman"/>
          <w:color w:val="000000"/>
          <w:kern w:val="0"/>
        </w:rPr>
        <w:t>中费用明细</w:t>
      </w:r>
      <w:r>
        <w:rPr>
          <w:rFonts w:eastAsia="仿宋_GB2312" w:cs="Times New Roman"/>
          <w:color w:val="000000"/>
          <w:kern w:val="0"/>
        </w:rPr>
        <w:t>进行加权平均，可以计算出加权后的</w:t>
      </w:r>
      <w:r>
        <w:rPr>
          <w:rFonts w:hint="eastAsia" w:eastAsia="仿宋_GB2312" w:cs="Times New Roman"/>
          <w:color w:val="000000"/>
          <w:kern w:val="0"/>
        </w:rPr>
        <w:t>总费用为</w:t>
      </w:r>
      <w:r>
        <w:rPr>
          <w:rFonts w:eastAsia="仿宋_GB2312" w:cs="Times New Roman"/>
          <w:color w:val="000000"/>
          <w:kern w:val="0"/>
        </w:rPr>
        <w:t>0.95元/kwh</w:t>
      </w:r>
      <w:r>
        <w:rPr>
          <w:rFonts w:hint="eastAsia" w:eastAsia="仿宋_GB2312" w:cs="Times New Roman"/>
          <w:color w:val="000000"/>
          <w:kern w:val="0"/>
        </w:rPr>
        <w:t>，其中为</w:t>
      </w:r>
      <w:r>
        <w:rPr>
          <w:rFonts w:eastAsia="仿宋_GB2312" w:cs="Times New Roman"/>
          <w:color w:val="000000"/>
          <w:kern w:val="0"/>
        </w:rPr>
        <w:t>电费和服务费</w:t>
      </w:r>
      <w:r>
        <w:rPr>
          <w:rFonts w:hint="eastAsia" w:eastAsia="仿宋_GB2312" w:cs="Times New Roman"/>
          <w:color w:val="000000"/>
          <w:kern w:val="0"/>
        </w:rPr>
        <w:t>分别为</w:t>
      </w:r>
      <w:r>
        <w:rPr>
          <w:rFonts w:eastAsia="仿宋_GB2312" w:cs="Times New Roman"/>
          <w:color w:val="000000"/>
          <w:kern w:val="0"/>
        </w:rPr>
        <w:t>0.65元/kwh</w:t>
      </w:r>
      <w:r>
        <w:rPr>
          <w:rFonts w:hint="eastAsia" w:eastAsia="仿宋_GB2312" w:cs="Times New Roman"/>
          <w:color w:val="000000"/>
          <w:kern w:val="0"/>
        </w:rPr>
        <w:t>和</w:t>
      </w:r>
      <w:r>
        <w:rPr>
          <w:rFonts w:eastAsia="仿宋_GB2312" w:cs="Times New Roman"/>
          <w:color w:val="000000"/>
          <w:kern w:val="0"/>
        </w:rPr>
        <w:t>0.30元/kwh。</w:t>
      </w:r>
      <w:r>
        <w:rPr>
          <w:rFonts w:hint="eastAsia" w:eastAsia="仿宋_GB2312" w:cs="Times New Roman"/>
          <w:color w:val="000000"/>
          <w:kern w:val="0"/>
        </w:rPr>
        <w:t>加权平均后收费明细如下</w:t>
      </w:r>
      <w:r>
        <w:rPr>
          <w:rFonts w:eastAsia="仿宋_GB2312" w:cs="Times New Roman"/>
          <w:color w:val="000000"/>
          <w:kern w:val="0"/>
        </w:rPr>
        <w:fldChar w:fldCharType="begin"/>
      </w:r>
      <w:r>
        <w:rPr>
          <w:rFonts w:eastAsia="仿宋_GB2312" w:cs="Times New Roman"/>
          <w:color w:val="000000"/>
          <w:kern w:val="0"/>
        </w:rPr>
        <w:instrText xml:space="preserve"> </w:instrText>
      </w:r>
      <w:r>
        <w:rPr>
          <w:rFonts w:hint="eastAsia" w:eastAsia="仿宋_GB2312" w:cs="Times New Roman"/>
          <w:color w:val="000000"/>
          <w:kern w:val="0"/>
        </w:rPr>
        <w:instrText xml:space="preserve">REF _Ref116655003 \h</w:instrText>
      </w:r>
      <w:r>
        <w:rPr>
          <w:rFonts w:eastAsia="仿宋_GB2312" w:cs="Times New Roman"/>
          <w:color w:val="000000"/>
          <w:kern w:val="0"/>
        </w:rPr>
        <w:instrText xml:space="preserve"> </w:instrText>
      </w:r>
      <w:r>
        <w:rPr>
          <w:rFonts w:eastAsia="仿宋_GB2312" w:cs="Times New Roman"/>
          <w:color w:val="000000"/>
          <w:kern w:val="0"/>
        </w:rPr>
        <w:fldChar w:fldCharType="separate"/>
      </w:r>
      <w:r>
        <w:rPr>
          <w:rFonts w:eastAsia="仿宋_GB2312" w:cs="Times New Roman"/>
        </w:rPr>
        <w:t>表 9</w:t>
      </w:r>
      <w:r>
        <w:rPr>
          <w:rFonts w:eastAsia="仿宋_GB2312" w:cs="Times New Roman"/>
        </w:rPr>
        <w:noBreakHyphen/>
      </w:r>
      <w:r>
        <w:rPr>
          <w:rFonts w:eastAsia="仿宋_GB2312" w:cs="Times New Roman"/>
        </w:rPr>
        <w:t>4</w:t>
      </w:r>
      <w:r>
        <w:rPr>
          <w:rFonts w:eastAsia="仿宋_GB2312" w:cs="Times New Roman"/>
          <w:color w:val="000000"/>
          <w:kern w:val="0"/>
        </w:rPr>
        <w:fldChar w:fldCharType="end"/>
      </w:r>
      <w:r>
        <w:rPr>
          <w:rFonts w:hint="eastAsia" w:eastAsia="仿宋_GB2312" w:cs="Times New Roman"/>
          <w:color w:val="000000"/>
          <w:kern w:val="0"/>
        </w:rPr>
        <w:t>所示。</w:t>
      </w:r>
    </w:p>
    <w:p>
      <w:pPr>
        <w:pStyle w:val="19"/>
        <w:adjustRightInd w:val="0"/>
        <w:snapToGrid w:val="0"/>
        <w:ind w:firstLine="360"/>
        <w:rPr>
          <w:rFonts w:eastAsia="仿宋_GB2312" w:cs="Times New Roman"/>
        </w:rPr>
      </w:pPr>
      <w:bookmarkStart w:id="321" w:name="_Ref116655003"/>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9</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4</w:t>
      </w:r>
      <w:r>
        <w:rPr>
          <w:rFonts w:eastAsia="仿宋_GB2312" w:cs="Times New Roman"/>
        </w:rPr>
        <w:fldChar w:fldCharType="end"/>
      </w:r>
      <w:bookmarkEnd w:id="321"/>
      <w:r>
        <w:rPr>
          <w:rFonts w:eastAsia="仿宋_GB2312" w:cs="Times New Roman"/>
        </w:rPr>
        <w:t>加权平均后充电收费标准</w:t>
      </w:r>
    </w:p>
    <w:tbl>
      <w:tblPr>
        <w:tblStyle w:val="76"/>
        <w:tblW w:w="4890" w:type="pct"/>
        <w:jc w:val="center"/>
        <w:tblLayout w:type="autofit"/>
        <w:tblCellMar>
          <w:top w:w="0" w:type="dxa"/>
          <w:left w:w="108" w:type="dxa"/>
          <w:bottom w:w="0" w:type="dxa"/>
          <w:right w:w="108" w:type="dxa"/>
        </w:tblCellMar>
      </w:tblPr>
      <w:tblGrid>
        <w:gridCol w:w="1004"/>
        <w:gridCol w:w="1224"/>
        <w:gridCol w:w="1888"/>
        <w:gridCol w:w="2109"/>
        <w:gridCol w:w="2110"/>
      </w:tblGrid>
      <w:tr>
        <w:tblPrEx>
          <w:tblCellMar>
            <w:top w:w="0" w:type="dxa"/>
            <w:left w:w="108" w:type="dxa"/>
            <w:bottom w:w="0" w:type="dxa"/>
            <w:right w:w="108" w:type="dxa"/>
          </w:tblCellMar>
        </w:tblPrEx>
        <w:trPr>
          <w:trHeight w:val="232" w:hRule="atLeast"/>
          <w:tblHeader/>
          <w:jc w:val="center"/>
        </w:trPr>
        <w:tc>
          <w:tcPr>
            <w:tcW w:w="1003"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4"/>
                <w:szCs w:val="24"/>
              </w:rPr>
            </w:pPr>
            <w:r>
              <w:rPr>
                <w:rFonts w:eastAsia="仿宋_GB2312" w:cs="Times New Roman"/>
                <w:b/>
                <w:bCs/>
                <w:color w:val="000000"/>
                <w:kern w:val="0"/>
                <w:sz w:val="24"/>
                <w:szCs w:val="24"/>
              </w:rPr>
              <w:t>分时时段</w:t>
            </w:r>
          </w:p>
        </w:tc>
        <w:tc>
          <w:tcPr>
            <w:tcW w:w="113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4"/>
                <w:szCs w:val="24"/>
              </w:rPr>
            </w:pPr>
            <w:r>
              <w:rPr>
                <w:rFonts w:eastAsia="仿宋_GB2312" w:cs="Times New Roman"/>
                <w:b/>
                <w:bCs/>
                <w:color w:val="000000"/>
                <w:kern w:val="0"/>
                <w:sz w:val="24"/>
                <w:szCs w:val="24"/>
              </w:rPr>
              <w:t>充电车辆占比</w:t>
            </w:r>
          </w:p>
        </w:tc>
        <w:tc>
          <w:tcPr>
            <w:tcW w:w="2863" w:type="pct"/>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4"/>
                <w:szCs w:val="24"/>
              </w:rPr>
            </w:pPr>
            <w:r>
              <w:rPr>
                <w:rFonts w:eastAsia="仿宋_GB2312" w:cs="Times New Roman"/>
                <w:b/>
                <w:bCs/>
                <w:color w:val="000000"/>
                <w:kern w:val="0"/>
                <w:sz w:val="24"/>
                <w:szCs w:val="24"/>
              </w:rPr>
              <w:t>加权平均后</w:t>
            </w:r>
          </w:p>
        </w:tc>
      </w:tr>
      <w:tr>
        <w:tblPrEx>
          <w:tblCellMar>
            <w:top w:w="0" w:type="dxa"/>
            <w:left w:w="108" w:type="dxa"/>
            <w:bottom w:w="0" w:type="dxa"/>
            <w:right w:w="108" w:type="dxa"/>
          </w:tblCellMar>
        </w:tblPrEx>
        <w:trPr>
          <w:trHeight w:val="232" w:hRule="atLeast"/>
          <w:tblHeader/>
          <w:jc w:val="center"/>
        </w:trPr>
        <w:tc>
          <w:tcPr>
            <w:tcW w:w="1003" w:type="pct"/>
            <w:vMerge w:val="continue"/>
            <w:tcBorders>
              <w:top w:val="single" w:color="auto" w:sz="4" w:space="0"/>
              <w:left w:val="single" w:color="auto" w:sz="4" w:space="0"/>
              <w:bottom w:val="single" w:color="000000"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24"/>
                <w:szCs w:val="24"/>
              </w:rPr>
            </w:pPr>
          </w:p>
        </w:tc>
        <w:tc>
          <w:tcPr>
            <w:tcW w:w="113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24"/>
                <w:szCs w:val="24"/>
              </w:rPr>
            </w:pPr>
          </w:p>
        </w:tc>
        <w:tc>
          <w:tcPr>
            <w:tcW w:w="99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电费</w:t>
            </w:r>
            <w:r>
              <w:rPr>
                <w:rFonts w:eastAsia="仿宋_GB2312" w:cs="Times New Roman"/>
                <w:b/>
                <w:bCs/>
                <w:color w:val="000000"/>
                <w:kern w:val="0"/>
                <w:sz w:val="24"/>
                <w:szCs w:val="24"/>
              </w:rPr>
              <w:t>（元/kwh）</w:t>
            </w:r>
          </w:p>
        </w:tc>
        <w:tc>
          <w:tcPr>
            <w:tcW w:w="88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服务费</w:t>
            </w:r>
            <w:r>
              <w:rPr>
                <w:rFonts w:eastAsia="仿宋_GB2312" w:cs="Times New Roman"/>
                <w:b/>
                <w:bCs/>
                <w:color w:val="000000"/>
                <w:kern w:val="0"/>
                <w:sz w:val="24"/>
                <w:szCs w:val="24"/>
              </w:rPr>
              <w:t>（元/kwh）</w:t>
            </w:r>
          </w:p>
        </w:tc>
        <w:tc>
          <w:tcPr>
            <w:tcW w:w="9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总费用</w:t>
            </w:r>
            <w:r>
              <w:rPr>
                <w:rFonts w:eastAsia="仿宋_GB2312" w:cs="Times New Roman"/>
                <w:b/>
                <w:bCs/>
                <w:color w:val="000000"/>
                <w:kern w:val="0"/>
                <w:sz w:val="24"/>
                <w:szCs w:val="24"/>
              </w:rPr>
              <w:t>（元/kwh）</w:t>
            </w:r>
          </w:p>
        </w:tc>
      </w:tr>
      <w:tr>
        <w:tblPrEx>
          <w:tblCellMar>
            <w:top w:w="0" w:type="dxa"/>
            <w:left w:w="108" w:type="dxa"/>
            <w:bottom w:w="0" w:type="dxa"/>
            <w:right w:w="108" w:type="dxa"/>
          </w:tblCellMar>
        </w:tblPrEx>
        <w:trPr>
          <w:trHeight w:val="232" w:hRule="atLeast"/>
          <w:jc w:val="center"/>
        </w:trPr>
        <w:tc>
          <w:tcPr>
            <w:tcW w:w="100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峰段</w:t>
            </w:r>
          </w:p>
        </w:tc>
        <w:tc>
          <w:tcPr>
            <w:tcW w:w="113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30%</w:t>
            </w:r>
          </w:p>
        </w:tc>
        <w:tc>
          <w:tcPr>
            <w:tcW w:w="99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0.25242</w:t>
            </w:r>
          </w:p>
        </w:tc>
        <w:tc>
          <w:tcPr>
            <w:tcW w:w="88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0.0825</w:t>
            </w:r>
          </w:p>
        </w:tc>
        <w:tc>
          <w:tcPr>
            <w:tcW w:w="9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0.33492</w:t>
            </w:r>
          </w:p>
        </w:tc>
      </w:tr>
      <w:tr>
        <w:tblPrEx>
          <w:tblCellMar>
            <w:top w:w="0" w:type="dxa"/>
            <w:left w:w="108" w:type="dxa"/>
            <w:bottom w:w="0" w:type="dxa"/>
            <w:right w:w="108" w:type="dxa"/>
          </w:tblCellMar>
        </w:tblPrEx>
        <w:trPr>
          <w:trHeight w:val="466" w:hRule="atLeast"/>
          <w:jc w:val="center"/>
        </w:trPr>
        <w:tc>
          <w:tcPr>
            <w:tcW w:w="1003"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平段</w:t>
            </w:r>
          </w:p>
        </w:tc>
        <w:tc>
          <w:tcPr>
            <w:tcW w:w="113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40%</w:t>
            </w:r>
          </w:p>
        </w:tc>
        <w:tc>
          <w:tcPr>
            <w:tcW w:w="99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0.23184</w:t>
            </w:r>
          </w:p>
        </w:tc>
        <w:tc>
          <w:tcPr>
            <w:tcW w:w="88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0.14</w:t>
            </w:r>
          </w:p>
        </w:tc>
        <w:tc>
          <w:tcPr>
            <w:tcW w:w="9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0.37184</w:t>
            </w:r>
          </w:p>
        </w:tc>
      </w:tr>
      <w:tr>
        <w:tblPrEx>
          <w:tblCellMar>
            <w:top w:w="0" w:type="dxa"/>
            <w:left w:w="108" w:type="dxa"/>
            <w:bottom w:w="0" w:type="dxa"/>
            <w:right w:w="108" w:type="dxa"/>
          </w:tblCellMar>
        </w:tblPrEx>
        <w:trPr>
          <w:trHeight w:val="232" w:hRule="atLeast"/>
          <w:jc w:val="center"/>
        </w:trPr>
        <w:tc>
          <w:tcPr>
            <w:tcW w:w="1003"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谷段</w:t>
            </w:r>
          </w:p>
        </w:tc>
        <w:tc>
          <w:tcPr>
            <w:tcW w:w="113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20%</w:t>
            </w:r>
          </w:p>
        </w:tc>
        <w:tc>
          <w:tcPr>
            <w:tcW w:w="99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0.06034</w:t>
            </w:r>
          </w:p>
        </w:tc>
        <w:tc>
          <w:tcPr>
            <w:tcW w:w="88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0.055</w:t>
            </w:r>
          </w:p>
        </w:tc>
        <w:tc>
          <w:tcPr>
            <w:tcW w:w="9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0.11534</w:t>
            </w:r>
          </w:p>
        </w:tc>
      </w:tr>
      <w:tr>
        <w:tblPrEx>
          <w:tblCellMar>
            <w:top w:w="0" w:type="dxa"/>
            <w:left w:w="108" w:type="dxa"/>
            <w:bottom w:w="0" w:type="dxa"/>
            <w:right w:w="108" w:type="dxa"/>
          </w:tblCellMar>
        </w:tblPrEx>
        <w:trPr>
          <w:trHeight w:val="232" w:hRule="atLeast"/>
          <w:jc w:val="center"/>
        </w:trPr>
        <w:tc>
          <w:tcPr>
            <w:tcW w:w="1003"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4"/>
                <w:szCs w:val="24"/>
              </w:rPr>
            </w:pPr>
            <w:r>
              <w:rPr>
                <w:rFonts w:eastAsia="仿宋_GB2312" w:cs="Times New Roman"/>
                <w:color w:val="000000"/>
                <w:kern w:val="0"/>
                <w:sz w:val="24"/>
                <w:szCs w:val="24"/>
              </w:rPr>
              <w:t>尖段</w:t>
            </w:r>
          </w:p>
        </w:tc>
        <w:tc>
          <w:tcPr>
            <w:tcW w:w="113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w:t>
            </w:r>
          </w:p>
        </w:tc>
        <w:tc>
          <w:tcPr>
            <w:tcW w:w="99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0.10071</w:t>
            </w:r>
          </w:p>
        </w:tc>
        <w:tc>
          <w:tcPr>
            <w:tcW w:w="88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0.0225</w:t>
            </w:r>
          </w:p>
        </w:tc>
        <w:tc>
          <w:tcPr>
            <w:tcW w:w="9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0.12321</w:t>
            </w:r>
          </w:p>
        </w:tc>
      </w:tr>
      <w:tr>
        <w:tblPrEx>
          <w:tblCellMar>
            <w:top w:w="0" w:type="dxa"/>
            <w:left w:w="108" w:type="dxa"/>
            <w:bottom w:w="0" w:type="dxa"/>
            <w:right w:w="108" w:type="dxa"/>
          </w:tblCellMar>
        </w:tblPrEx>
        <w:trPr>
          <w:trHeight w:val="206" w:hRule="atLeast"/>
          <w:jc w:val="center"/>
        </w:trPr>
        <w:tc>
          <w:tcPr>
            <w:tcW w:w="1003" w:type="pct"/>
            <w:tcBorders>
              <w:top w:val="nil"/>
              <w:left w:val="single" w:color="auto" w:sz="4" w:space="0"/>
              <w:bottom w:val="single" w:color="auto" w:sz="4" w:space="0"/>
              <w:right w:val="nil"/>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合计</w:t>
            </w:r>
          </w:p>
        </w:tc>
        <w:tc>
          <w:tcPr>
            <w:tcW w:w="113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100%</w:t>
            </w:r>
          </w:p>
        </w:tc>
        <w:tc>
          <w:tcPr>
            <w:tcW w:w="99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 xml:space="preserve">0.65 </w:t>
            </w:r>
          </w:p>
        </w:tc>
        <w:tc>
          <w:tcPr>
            <w:tcW w:w="88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 xml:space="preserve">0.30 </w:t>
            </w:r>
          </w:p>
        </w:tc>
        <w:tc>
          <w:tcPr>
            <w:tcW w:w="9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 xml:space="preserve">0.95 </w:t>
            </w:r>
          </w:p>
        </w:tc>
      </w:tr>
    </w:tbl>
    <w:p>
      <w:pPr>
        <w:pStyle w:val="173"/>
        <w:spacing w:before="156" w:beforeLines="50"/>
        <w:ind w:firstLine="562"/>
        <w:rPr>
          <w:rFonts w:ascii="Times New Roman" w:hAnsi="Times New Roman" w:cs="Times New Roman"/>
          <w:b/>
          <w:bCs/>
        </w:rPr>
      </w:pPr>
      <w:r>
        <w:rPr>
          <w:rFonts w:hint="eastAsia" w:ascii="Times New Roman" w:hAnsi="Times New Roman" w:cs="Times New Roman"/>
          <w:b/>
          <w:bCs/>
        </w:rPr>
        <w:t>2）</w:t>
      </w:r>
      <w:r>
        <w:rPr>
          <w:rFonts w:ascii="Times New Roman" w:hAnsi="Times New Roman" w:cs="Times New Roman"/>
          <w:b/>
          <w:bCs/>
        </w:rPr>
        <w:t>电费及服务费计算</w:t>
      </w:r>
    </w:p>
    <w:p>
      <w:pPr>
        <w:pStyle w:val="173"/>
        <w:ind w:firstLine="560"/>
        <w:rPr>
          <w:rFonts w:ascii="Times New Roman" w:hAnsi="Times New Roman" w:cs="Times New Roman"/>
        </w:rPr>
      </w:pPr>
      <w:r>
        <w:rPr>
          <w:rFonts w:ascii="Times New Roman" w:hAnsi="Times New Roman" w:cs="Times New Roman"/>
        </w:rPr>
        <w:t>以每个桩60kW充电功率计算，不同利用率情况下，八枪快充站一年总电量=60kW*8*24*365*利用率，其中95%电量为充电电量，此部分电费和服务费由车主支付；5%电量损耗，为投资企业支出，企业收入主要为服务费。不同利用率充电桩收入与损耗支出表如下所示。</w:t>
      </w:r>
    </w:p>
    <w:p>
      <w:pPr>
        <w:pStyle w:val="19"/>
        <w:adjustRightInd w:val="0"/>
        <w:snapToGrid w:val="0"/>
        <w:ind w:firstLine="360"/>
        <w:rPr>
          <w:rFonts w:eastAsia="仿宋_GB2312" w:cs="Times New Roman"/>
        </w:rPr>
      </w:pPr>
      <w:bookmarkStart w:id="322" w:name="_Ref116643031"/>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9</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5</w:t>
      </w:r>
      <w:r>
        <w:rPr>
          <w:rFonts w:eastAsia="仿宋_GB2312" w:cs="Times New Roman"/>
        </w:rPr>
        <w:fldChar w:fldCharType="end"/>
      </w:r>
      <w:bookmarkEnd w:id="322"/>
      <w:r>
        <w:rPr>
          <w:rFonts w:eastAsia="仿宋_GB2312" w:cs="Times New Roman"/>
        </w:rPr>
        <w:t>不同利用率充电站一年收入与损耗支出表</w:t>
      </w:r>
    </w:p>
    <w:tbl>
      <w:tblPr>
        <w:tblStyle w:val="76"/>
        <w:tblW w:w="4912" w:type="pct"/>
        <w:jc w:val="center"/>
        <w:tblLayout w:type="autofit"/>
        <w:tblCellMar>
          <w:top w:w="0" w:type="dxa"/>
          <w:left w:w="108" w:type="dxa"/>
          <w:bottom w:w="0" w:type="dxa"/>
          <w:right w:w="108" w:type="dxa"/>
        </w:tblCellMar>
      </w:tblPr>
      <w:tblGrid>
        <w:gridCol w:w="883"/>
        <w:gridCol w:w="1118"/>
        <w:gridCol w:w="1402"/>
        <w:gridCol w:w="970"/>
        <w:gridCol w:w="1108"/>
        <w:gridCol w:w="970"/>
        <w:gridCol w:w="988"/>
        <w:gridCol w:w="933"/>
      </w:tblGrid>
      <w:tr>
        <w:tblPrEx>
          <w:tblCellMar>
            <w:top w:w="0" w:type="dxa"/>
            <w:left w:w="108" w:type="dxa"/>
            <w:bottom w:w="0" w:type="dxa"/>
            <w:right w:w="108" w:type="dxa"/>
          </w:tblCellMar>
        </w:tblPrEx>
        <w:trPr>
          <w:trHeight w:val="96" w:hRule="atLeast"/>
          <w:tblHeader/>
          <w:jc w:val="center"/>
        </w:trPr>
        <w:tc>
          <w:tcPr>
            <w:tcW w:w="537" w:type="pct"/>
            <w:vMerge w:val="restart"/>
            <w:tcBorders>
              <w:top w:val="single" w:color="auto" w:sz="4" w:space="0"/>
              <w:left w:val="single" w:color="auto" w:sz="4" w:space="0"/>
              <w:bottom w:val="single" w:color="000000"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利用率</w:t>
            </w:r>
          </w:p>
        </w:tc>
        <w:tc>
          <w:tcPr>
            <w:tcW w:w="677" w:type="pct"/>
            <w:vMerge w:val="restart"/>
            <w:tcBorders>
              <w:top w:val="single" w:color="auto" w:sz="4" w:space="0"/>
              <w:left w:val="single" w:color="auto" w:sz="4" w:space="0"/>
              <w:bottom w:val="single" w:color="000000"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总电量</w:t>
            </w:r>
          </w:p>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(kwh)</w:t>
            </w:r>
          </w:p>
        </w:tc>
        <w:tc>
          <w:tcPr>
            <w:tcW w:w="2696" w:type="pct"/>
            <w:gridSpan w:val="4"/>
            <w:tcBorders>
              <w:top w:val="single" w:color="auto" w:sz="4" w:space="0"/>
              <w:left w:val="single" w:color="auto" w:sz="4" w:space="0"/>
              <w:bottom w:val="nil"/>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收入</w:t>
            </w:r>
          </w:p>
        </w:tc>
        <w:tc>
          <w:tcPr>
            <w:tcW w:w="1090" w:type="pct"/>
            <w:gridSpan w:val="2"/>
            <w:tcBorders>
              <w:top w:val="single" w:color="auto" w:sz="4" w:space="0"/>
              <w:left w:val="nil"/>
              <w:bottom w:val="nil"/>
              <w:right w:val="single" w:color="auto" w:sz="4" w:space="0"/>
            </w:tcBorders>
            <w:shd w:val="clear" w:color="auto" w:fill="auto"/>
            <w:noWrap/>
            <w:vAlign w:val="bottom"/>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支出</w:t>
            </w:r>
          </w:p>
        </w:tc>
      </w:tr>
      <w:tr>
        <w:tblPrEx>
          <w:tblCellMar>
            <w:top w:w="0" w:type="dxa"/>
            <w:left w:w="108" w:type="dxa"/>
            <w:bottom w:w="0" w:type="dxa"/>
            <w:right w:w="108" w:type="dxa"/>
          </w:tblCellMar>
        </w:tblPrEx>
        <w:trPr>
          <w:trHeight w:val="196" w:hRule="atLeast"/>
          <w:tblHeader/>
          <w:jc w:val="center"/>
        </w:trPr>
        <w:tc>
          <w:tcPr>
            <w:tcW w:w="537" w:type="pct"/>
            <w:vMerge w:val="continue"/>
            <w:tcBorders>
              <w:top w:val="single" w:color="auto" w:sz="4" w:space="0"/>
              <w:left w:val="single" w:color="auto" w:sz="4" w:space="0"/>
              <w:bottom w:val="single" w:color="000000"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22"/>
                <w:szCs w:val="22"/>
              </w:rPr>
            </w:pPr>
          </w:p>
        </w:tc>
        <w:tc>
          <w:tcPr>
            <w:tcW w:w="677" w:type="pct"/>
            <w:vMerge w:val="continue"/>
            <w:tcBorders>
              <w:top w:val="single" w:color="auto" w:sz="4" w:space="0"/>
              <w:left w:val="single" w:color="auto" w:sz="4" w:space="0"/>
              <w:bottom w:val="single" w:color="000000" w:sz="4" w:space="0"/>
              <w:right w:val="single" w:color="auto" w:sz="4" w:space="0"/>
            </w:tcBorders>
            <w:vAlign w:val="center"/>
          </w:tcPr>
          <w:p>
            <w:pPr>
              <w:widowControl/>
              <w:spacing w:line="240" w:lineRule="auto"/>
              <w:ind w:firstLine="0" w:firstLineChars="0"/>
              <w:jc w:val="left"/>
              <w:rPr>
                <w:rFonts w:eastAsia="仿宋_GB2312" w:cs="Times New Roman"/>
                <w:b/>
                <w:bCs/>
                <w:color w:val="000000"/>
                <w:kern w:val="0"/>
                <w:sz w:val="22"/>
                <w:szCs w:val="22"/>
              </w:rPr>
            </w:pP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一年电量（转化效率95%）</w:t>
            </w:r>
          </w:p>
        </w:tc>
        <w:tc>
          <w:tcPr>
            <w:tcW w:w="589"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电费</w:t>
            </w:r>
          </w:p>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(万元)</w:t>
            </w:r>
          </w:p>
        </w:tc>
        <w:tc>
          <w:tcPr>
            <w:tcW w:w="671"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服务费</w:t>
            </w:r>
          </w:p>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(万元)</w:t>
            </w:r>
          </w:p>
        </w:tc>
        <w:tc>
          <w:tcPr>
            <w:tcW w:w="589"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总费用</w:t>
            </w:r>
          </w:p>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(万元)</w:t>
            </w:r>
          </w:p>
        </w:tc>
        <w:tc>
          <w:tcPr>
            <w:tcW w:w="523"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损耗电量（5%）</w:t>
            </w:r>
          </w:p>
        </w:tc>
        <w:tc>
          <w:tcPr>
            <w:tcW w:w="567"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损耗电费(万元)</w:t>
            </w:r>
          </w:p>
        </w:tc>
      </w:tr>
      <w:tr>
        <w:tblPrEx>
          <w:tblCellMar>
            <w:top w:w="0" w:type="dxa"/>
            <w:left w:w="108" w:type="dxa"/>
            <w:bottom w:w="0" w:type="dxa"/>
            <w:right w:w="108" w:type="dxa"/>
          </w:tblCellMar>
        </w:tblPrEx>
        <w:trPr>
          <w:trHeight w:val="109" w:hRule="atLeast"/>
          <w:jc w:val="center"/>
        </w:trPr>
        <w:tc>
          <w:tcPr>
            <w:tcW w:w="53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w:t>
            </w:r>
          </w:p>
        </w:tc>
        <w:tc>
          <w:tcPr>
            <w:tcW w:w="67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420480</w:t>
            </w:r>
          </w:p>
        </w:tc>
        <w:tc>
          <w:tcPr>
            <w:tcW w:w="84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399456</w:t>
            </w:r>
          </w:p>
        </w:tc>
        <w:tc>
          <w:tcPr>
            <w:tcW w:w="58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25.777</w:t>
            </w:r>
          </w:p>
        </w:tc>
        <w:tc>
          <w:tcPr>
            <w:tcW w:w="67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11.984</w:t>
            </w:r>
          </w:p>
        </w:tc>
        <w:tc>
          <w:tcPr>
            <w:tcW w:w="58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37.761</w:t>
            </w:r>
          </w:p>
        </w:tc>
        <w:tc>
          <w:tcPr>
            <w:tcW w:w="52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21024</w:t>
            </w:r>
          </w:p>
        </w:tc>
        <w:tc>
          <w:tcPr>
            <w:tcW w:w="56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1.357</w:t>
            </w:r>
          </w:p>
        </w:tc>
      </w:tr>
      <w:tr>
        <w:tblPrEx>
          <w:tblCellMar>
            <w:top w:w="0" w:type="dxa"/>
            <w:left w:w="108" w:type="dxa"/>
            <w:bottom w:w="0" w:type="dxa"/>
            <w:right w:w="108" w:type="dxa"/>
          </w:tblCellMar>
        </w:tblPrEx>
        <w:trPr>
          <w:trHeight w:val="96" w:hRule="atLeast"/>
          <w:jc w:val="center"/>
        </w:trPr>
        <w:tc>
          <w:tcPr>
            <w:tcW w:w="53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20%</w:t>
            </w:r>
          </w:p>
        </w:tc>
        <w:tc>
          <w:tcPr>
            <w:tcW w:w="67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840960</w:t>
            </w:r>
          </w:p>
        </w:tc>
        <w:tc>
          <w:tcPr>
            <w:tcW w:w="84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798912</w:t>
            </w:r>
          </w:p>
        </w:tc>
        <w:tc>
          <w:tcPr>
            <w:tcW w:w="58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51.555</w:t>
            </w:r>
          </w:p>
        </w:tc>
        <w:tc>
          <w:tcPr>
            <w:tcW w:w="67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23.967</w:t>
            </w:r>
          </w:p>
        </w:tc>
        <w:tc>
          <w:tcPr>
            <w:tcW w:w="58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75.522</w:t>
            </w:r>
          </w:p>
        </w:tc>
        <w:tc>
          <w:tcPr>
            <w:tcW w:w="52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42048</w:t>
            </w:r>
          </w:p>
        </w:tc>
        <w:tc>
          <w:tcPr>
            <w:tcW w:w="56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2.713</w:t>
            </w:r>
          </w:p>
        </w:tc>
      </w:tr>
      <w:tr>
        <w:tblPrEx>
          <w:tblCellMar>
            <w:top w:w="0" w:type="dxa"/>
            <w:left w:w="108" w:type="dxa"/>
            <w:bottom w:w="0" w:type="dxa"/>
            <w:right w:w="108" w:type="dxa"/>
          </w:tblCellMar>
        </w:tblPrEx>
        <w:trPr>
          <w:trHeight w:val="96" w:hRule="atLeast"/>
          <w:jc w:val="center"/>
        </w:trPr>
        <w:tc>
          <w:tcPr>
            <w:tcW w:w="53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30%</w:t>
            </w:r>
          </w:p>
        </w:tc>
        <w:tc>
          <w:tcPr>
            <w:tcW w:w="67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1261440</w:t>
            </w:r>
          </w:p>
        </w:tc>
        <w:tc>
          <w:tcPr>
            <w:tcW w:w="84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1198368</w:t>
            </w:r>
          </w:p>
        </w:tc>
        <w:tc>
          <w:tcPr>
            <w:tcW w:w="58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77.332</w:t>
            </w:r>
          </w:p>
        </w:tc>
        <w:tc>
          <w:tcPr>
            <w:tcW w:w="67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35.951</w:t>
            </w:r>
          </w:p>
        </w:tc>
        <w:tc>
          <w:tcPr>
            <w:tcW w:w="58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113.283</w:t>
            </w:r>
          </w:p>
        </w:tc>
        <w:tc>
          <w:tcPr>
            <w:tcW w:w="52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63072</w:t>
            </w:r>
          </w:p>
        </w:tc>
        <w:tc>
          <w:tcPr>
            <w:tcW w:w="56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4.070</w:t>
            </w:r>
          </w:p>
        </w:tc>
      </w:tr>
      <w:tr>
        <w:tblPrEx>
          <w:tblCellMar>
            <w:top w:w="0" w:type="dxa"/>
            <w:left w:w="108" w:type="dxa"/>
            <w:bottom w:w="0" w:type="dxa"/>
            <w:right w:w="108" w:type="dxa"/>
          </w:tblCellMar>
        </w:tblPrEx>
        <w:trPr>
          <w:trHeight w:val="96" w:hRule="atLeast"/>
          <w:jc w:val="center"/>
        </w:trPr>
        <w:tc>
          <w:tcPr>
            <w:tcW w:w="53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40%</w:t>
            </w:r>
          </w:p>
        </w:tc>
        <w:tc>
          <w:tcPr>
            <w:tcW w:w="67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1681920</w:t>
            </w:r>
          </w:p>
        </w:tc>
        <w:tc>
          <w:tcPr>
            <w:tcW w:w="84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1597824</w:t>
            </w:r>
          </w:p>
        </w:tc>
        <w:tc>
          <w:tcPr>
            <w:tcW w:w="58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103.109</w:t>
            </w:r>
          </w:p>
        </w:tc>
        <w:tc>
          <w:tcPr>
            <w:tcW w:w="67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47.935</w:t>
            </w:r>
          </w:p>
        </w:tc>
        <w:tc>
          <w:tcPr>
            <w:tcW w:w="58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151.044</w:t>
            </w:r>
          </w:p>
        </w:tc>
        <w:tc>
          <w:tcPr>
            <w:tcW w:w="52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84096</w:t>
            </w:r>
          </w:p>
        </w:tc>
        <w:tc>
          <w:tcPr>
            <w:tcW w:w="56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5.427</w:t>
            </w:r>
          </w:p>
        </w:tc>
      </w:tr>
      <w:tr>
        <w:tblPrEx>
          <w:tblCellMar>
            <w:top w:w="0" w:type="dxa"/>
            <w:left w:w="108" w:type="dxa"/>
            <w:bottom w:w="0" w:type="dxa"/>
            <w:right w:w="108" w:type="dxa"/>
          </w:tblCellMar>
        </w:tblPrEx>
        <w:trPr>
          <w:trHeight w:val="96" w:hRule="atLeast"/>
          <w:jc w:val="center"/>
        </w:trPr>
        <w:tc>
          <w:tcPr>
            <w:tcW w:w="53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50%</w:t>
            </w:r>
          </w:p>
        </w:tc>
        <w:tc>
          <w:tcPr>
            <w:tcW w:w="67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2102400</w:t>
            </w:r>
          </w:p>
        </w:tc>
        <w:tc>
          <w:tcPr>
            <w:tcW w:w="84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1997280</w:t>
            </w:r>
          </w:p>
        </w:tc>
        <w:tc>
          <w:tcPr>
            <w:tcW w:w="58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128.886</w:t>
            </w:r>
          </w:p>
        </w:tc>
        <w:tc>
          <w:tcPr>
            <w:tcW w:w="67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59.918</w:t>
            </w:r>
          </w:p>
        </w:tc>
        <w:tc>
          <w:tcPr>
            <w:tcW w:w="58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188.805</w:t>
            </w:r>
          </w:p>
        </w:tc>
        <w:tc>
          <w:tcPr>
            <w:tcW w:w="52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105120</w:t>
            </w:r>
          </w:p>
        </w:tc>
        <w:tc>
          <w:tcPr>
            <w:tcW w:w="56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6.783</w:t>
            </w:r>
          </w:p>
        </w:tc>
      </w:tr>
    </w:tbl>
    <w:p>
      <w:pPr>
        <w:adjustRightInd w:val="0"/>
        <w:snapToGrid w:val="0"/>
        <w:spacing w:before="156" w:beforeLines="50"/>
        <w:ind w:firstLine="562"/>
        <w:rPr>
          <w:rFonts w:eastAsia="仿宋_GB2312" w:cs="Times New Roman"/>
          <w:b/>
          <w:bCs/>
          <w:color w:val="000000"/>
          <w:kern w:val="0"/>
        </w:rPr>
      </w:pPr>
      <w:r>
        <w:rPr>
          <w:rFonts w:hint="eastAsia" w:eastAsia="仿宋_GB2312" w:cs="Times New Roman"/>
          <w:b/>
          <w:bCs/>
          <w:color w:val="000000"/>
          <w:kern w:val="0"/>
        </w:rPr>
        <w:t>3）运营</w:t>
      </w:r>
      <w:r>
        <w:rPr>
          <w:rFonts w:eastAsia="仿宋_GB2312" w:cs="Times New Roman"/>
          <w:b/>
          <w:bCs/>
          <w:color w:val="000000"/>
          <w:kern w:val="0"/>
        </w:rPr>
        <w:t>费用支出</w:t>
      </w:r>
    </w:p>
    <w:p>
      <w:pPr>
        <w:pStyle w:val="106"/>
        <w:adjustRightInd w:val="0"/>
        <w:snapToGrid w:val="0"/>
        <w:ind w:firstLine="560"/>
        <w:rPr>
          <w:rFonts w:eastAsia="仿宋_GB2312" w:cs="Times New Roman"/>
          <w:color w:val="000000"/>
          <w:kern w:val="0"/>
        </w:rPr>
      </w:pPr>
      <w:r>
        <w:rPr>
          <w:rFonts w:hint="eastAsia" w:eastAsia="仿宋_GB2312" w:cs="Times New Roman"/>
          <w:color w:val="000000"/>
          <w:kern w:val="0"/>
        </w:rPr>
        <w:t>充电站在运营过程中涉及费用主要包括管理费、维修费、场地租金以及电能损耗等。</w:t>
      </w:r>
    </w:p>
    <w:p>
      <w:pPr>
        <w:pStyle w:val="106"/>
        <w:numPr>
          <w:ilvl w:val="0"/>
          <w:numId w:val="32"/>
        </w:numPr>
        <w:adjustRightInd w:val="0"/>
        <w:snapToGrid w:val="0"/>
        <w:ind w:left="0" w:firstLine="560"/>
        <w:rPr>
          <w:rFonts w:eastAsia="仿宋_GB2312" w:cs="Times New Roman"/>
          <w:color w:val="000000"/>
          <w:kern w:val="0"/>
        </w:rPr>
      </w:pPr>
      <w:r>
        <w:rPr>
          <w:rFonts w:eastAsia="仿宋_GB2312" w:cs="Times New Roman"/>
          <w:color w:val="000000"/>
          <w:kern w:val="0"/>
        </w:rPr>
        <w:t>管理费：按照10个充电站配置1名人员安排，一年10万。人员年度费用1万元/年/站；</w:t>
      </w:r>
    </w:p>
    <w:p>
      <w:pPr>
        <w:pStyle w:val="106"/>
        <w:numPr>
          <w:ilvl w:val="0"/>
          <w:numId w:val="32"/>
        </w:numPr>
        <w:adjustRightInd w:val="0"/>
        <w:snapToGrid w:val="0"/>
        <w:ind w:left="0" w:firstLine="560"/>
        <w:rPr>
          <w:rFonts w:eastAsia="仿宋_GB2312" w:cs="Times New Roman"/>
          <w:color w:val="000000"/>
          <w:kern w:val="0"/>
        </w:rPr>
      </w:pPr>
      <w:r>
        <w:rPr>
          <w:rFonts w:eastAsia="仿宋_GB2312" w:cs="Times New Roman"/>
          <w:color w:val="000000"/>
          <w:kern w:val="0"/>
        </w:rPr>
        <w:t>维修费：前2年厂家提供免费维保，默认从第三年维护费用，平均按充电桩投入×2%/年计算；</w:t>
      </w:r>
    </w:p>
    <w:p>
      <w:pPr>
        <w:pStyle w:val="106"/>
        <w:numPr>
          <w:ilvl w:val="0"/>
          <w:numId w:val="32"/>
        </w:numPr>
        <w:adjustRightInd w:val="0"/>
        <w:snapToGrid w:val="0"/>
        <w:ind w:left="0" w:firstLine="560"/>
        <w:rPr>
          <w:rFonts w:eastAsia="仿宋_GB2312" w:cs="Times New Roman"/>
          <w:color w:val="000000"/>
          <w:kern w:val="0"/>
        </w:rPr>
      </w:pPr>
      <w:r>
        <w:rPr>
          <w:rFonts w:eastAsia="仿宋_GB2312" w:cs="Times New Roman"/>
          <w:color w:val="000000"/>
          <w:kern w:val="0"/>
        </w:rPr>
        <w:t>场地租金：充电站占地约为400平方米，</w:t>
      </w:r>
      <w:r>
        <w:rPr>
          <w:rFonts w:hint="eastAsia" w:eastAsia="仿宋_GB2312" w:cs="Times New Roman"/>
          <w:color w:val="000000"/>
          <w:kern w:val="0"/>
        </w:rPr>
        <w:t>3</w:t>
      </w:r>
      <w:r>
        <w:rPr>
          <w:rFonts w:eastAsia="仿宋_GB2312" w:cs="Times New Roman"/>
          <w:color w:val="000000"/>
          <w:kern w:val="0"/>
        </w:rPr>
        <w:t>万元/年；</w:t>
      </w:r>
    </w:p>
    <w:p>
      <w:pPr>
        <w:pStyle w:val="106"/>
        <w:numPr>
          <w:ilvl w:val="0"/>
          <w:numId w:val="32"/>
        </w:numPr>
        <w:adjustRightInd w:val="0"/>
        <w:snapToGrid w:val="0"/>
        <w:ind w:left="0" w:firstLine="560"/>
        <w:rPr>
          <w:rFonts w:eastAsia="仿宋_GB2312" w:cs="Times New Roman"/>
          <w:color w:val="000000"/>
          <w:kern w:val="0"/>
        </w:rPr>
      </w:pPr>
      <w:r>
        <w:rPr>
          <w:rFonts w:eastAsia="仿宋_GB2312" w:cs="Times New Roman"/>
          <w:color w:val="000000"/>
          <w:kern w:val="0"/>
        </w:rPr>
        <w:t>电能损耗：不同利用率损耗不同，参考</w:t>
      </w:r>
      <w:r>
        <w:rPr>
          <w:rFonts w:eastAsia="仿宋_GB2312" w:cs="Times New Roman"/>
          <w:color w:val="000000"/>
          <w:kern w:val="0"/>
        </w:rPr>
        <w:fldChar w:fldCharType="begin"/>
      </w:r>
      <w:r>
        <w:rPr>
          <w:rFonts w:eastAsia="仿宋_GB2312" w:cs="Times New Roman"/>
          <w:color w:val="000000"/>
          <w:kern w:val="0"/>
        </w:rPr>
        <w:instrText xml:space="preserve"> REF _Ref116643031 \h </w:instrText>
      </w:r>
      <w:r>
        <w:rPr>
          <w:rFonts w:eastAsia="仿宋_GB2312" w:cs="Times New Roman"/>
          <w:color w:val="000000"/>
          <w:kern w:val="0"/>
        </w:rPr>
        <w:fldChar w:fldCharType="separate"/>
      </w:r>
      <w:r>
        <w:rPr>
          <w:rFonts w:eastAsia="仿宋_GB2312" w:cs="Times New Roman"/>
        </w:rPr>
        <w:t>表 9</w:t>
      </w:r>
      <w:r>
        <w:rPr>
          <w:rFonts w:eastAsia="仿宋_GB2312" w:cs="Times New Roman"/>
        </w:rPr>
        <w:noBreakHyphen/>
      </w:r>
      <w:r>
        <w:rPr>
          <w:rFonts w:eastAsia="仿宋_GB2312" w:cs="Times New Roman"/>
        </w:rPr>
        <w:t>5</w:t>
      </w:r>
      <w:r>
        <w:rPr>
          <w:rFonts w:eastAsia="仿宋_GB2312" w:cs="Times New Roman"/>
          <w:color w:val="000000"/>
          <w:kern w:val="0"/>
        </w:rPr>
        <w:fldChar w:fldCharType="end"/>
      </w:r>
      <w:r>
        <w:rPr>
          <w:rFonts w:hint="eastAsia" w:eastAsia="仿宋_GB2312" w:cs="Times New Roman"/>
          <w:color w:val="000000"/>
          <w:kern w:val="0"/>
        </w:rPr>
        <w:t>。</w:t>
      </w:r>
    </w:p>
    <w:p>
      <w:pPr>
        <w:pStyle w:val="19"/>
        <w:adjustRightInd w:val="0"/>
        <w:snapToGrid w:val="0"/>
        <w:ind w:firstLine="360"/>
        <w:rPr>
          <w:rFonts w:eastAsia="仿宋_GB2312" w:cs="Times New Roman"/>
        </w:rPr>
      </w:pPr>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9</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6</w:t>
      </w:r>
      <w:r>
        <w:rPr>
          <w:rFonts w:eastAsia="仿宋_GB2312" w:cs="Times New Roman"/>
        </w:rPr>
        <w:fldChar w:fldCharType="end"/>
      </w:r>
      <w:r>
        <w:rPr>
          <w:rFonts w:eastAsia="仿宋_GB2312" w:cs="Times New Roman"/>
        </w:rPr>
        <w:t>充电站</w:t>
      </w:r>
      <w:r>
        <w:rPr>
          <w:rFonts w:hint="eastAsia" w:eastAsia="仿宋_GB2312" w:cs="Times New Roman"/>
        </w:rPr>
        <w:t>运营</w:t>
      </w:r>
      <w:r>
        <w:rPr>
          <w:rFonts w:eastAsia="仿宋_GB2312" w:cs="Times New Roman"/>
        </w:rPr>
        <w:t>费用支出表</w:t>
      </w:r>
    </w:p>
    <w:tbl>
      <w:tblPr>
        <w:tblStyle w:val="76"/>
        <w:tblW w:w="5000" w:type="pct"/>
        <w:tblInd w:w="0" w:type="dxa"/>
        <w:tblLayout w:type="autofit"/>
        <w:tblCellMar>
          <w:top w:w="0" w:type="dxa"/>
          <w:left w:w="108" w:type="dxa"/>
          <w:bottom w:w="0" w:type="dxa"/>
          <w:right w:w="108" w:type="dxa"/>
        </w:tblCellMar>
      </w:tblPr>
      <w:tblGrid>
        <w:gridCol w:w="1747"/>
        <w:gridCol w:w="4585"/>
        <w:gridCol w:w="2190"/>
      </w:tblGrid>
      <w:tr>
        <w:tblPrEx>
          <w:tblCellMar>
            <w:top w:w="0" w:type="dxa"/>
            <w:left w:w="108" w:type="dxa"/>
            <w:bottom w:w="0" w:type="dxa"/>
            <w:right w:w="108" w:type="dxa"/>
          </w:tblCellMar>
        </w:tblPrEx>
        <w:trPr>
          <w:trHeight w:val="30" w:hRule="atLeast"/>
          <w:tblHeader/>
        </w:trPr>
        <w:tc>
          <w:tcPr>
            <w:tcW w:w="102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费用明细</w:t>
            </w:r>
          </w:p>
        </w:tc>
        <w:tc>
          <w:tcPr>
            <w:tcW w:w="269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2"/>
                <w:szCs w:val="22"/>
              </w:rPr>
            </w:pPr>
            <w:r>
              <w:rPr>
                <w:rFonts w:eastAsia="仿宋_GB2312" w:cs="Times New Roman"/>
                <w:b/>
                <w:bCs/>
                <w:color w:val="000000"/>
                <w:kern w:val="0"/>
                <w:sz w:val="22"/>
                <w:szCs w:val="22"/>
              </w:rPr>
              <w:t>备注</w:t>
            </w:r>
          </w:p>
        </w:tc>
        <w:tc>
          <w:tcPr>
            <w:tcW w:w="128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b/>
                <w:bCs/>
                <w:color w:val="000000"/>
                <w:kern w:val="0"/>
                <w:sz w:val="22"/>
                <w:szCs w:val="22"/>
              </w:rPr>
            </w:pPr>
            <w:r>
              <w:rPr>
                <w:rFonts w:eastAsia="仿宋_GB2312" w:cs="Times New Roman"/>
                <w:b/>
                <w:bCs/>
                <w:color w:val="000000"/>
                <w:kern w:val="0"/>
                <w:sz w:val="22"/>
                <w:szCs w:val="22"/>
              </w:rPr>
              <w:t>费用（万元/年）</w:t>
            </w:r>
          </w:p>
        </w:tc>
      </w:tr>
      <w:tr>
        <w:tblPrEx>
          <w:tblCellMar>
            <w:top w:w="0" w:type="dxa"/>
            <w:left w:w="108" w:type="dxa"/>
            <w:bottom w:w="0" w:type="dxa"/>
            <w:right w:w="108" w:type="dxa"/>
          </w:tblCellMar>
        </w:tblPrEx>
        <w:trPr>
          <w:trHeight w:val="155" w:hRule="atLeast"/>
        </w:trPr>
        <w:tc>
          <w:tcPr>
            <w:tcW w:w="102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管理费支出</w:t>
            </w:r>
          </w:p>
        </w:tc>
        <w:tc>
          <w:tcPr>
            <w:tcW w:w="2690"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2"/>
                <w:szCs w:val="22"/>
              </w:rPr>
            </w:pPr>
            <w:bookmarkStart w:id="323" w:name="_Hlk113545536"/>
            <w:r>
              <w:rPr>
                <w:rFonts w:eastAsia="仿宋_GB2312" w:cs="Times New Roman"/>
                <w:color w:val="000000"/>
                <w:kern w:val="0"/>
                <w:sz w:val="22"/>
                <w:szCs w:val="22"/>
              </w:rPr>
              <w:t>按照10个充电站配置1名人员安排，一年10万。人员年度费用1万元/年/站</w:t>
            </w:r>
            <w:bookmarkEnd w:id="323"/>
          </w:p>
        </w:tc>
        <w:tc>
          <w:tcPr>
            <w:tcW w:w="128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1</w:t>
            </w:r>
          </w:p>
        </w:tc>
      </w:tr>
      <w:tr>
        <w:tblPrEx>
          <w:tblCellMar>
            <w:top w:w="0" w:type="dxa"/>
            <w:left w:w="108" w:type="dxa"/>
            <w:bottom w:w="0" w:type="dxa"/>
            <w:right w:w="108" w:type="dxa"/>
          </w:tblCellMar>
        </w:tblPrEx>
        <w:trPr>
          <w:trHeight w:val="124" w:hRule="atLeast"/>
        </w:trPr>
        <w:tc>
          <w:tcPr>
            <w:tcW w:w="102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维修费用</w:t>
            </w:r>
          </w:p>
        </w:tc>
        <w:tc>
          <w:tcPr>
            <w:tcW w:w="2690"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前2年无偿维保，默认从第三年维护费用，平均按充电桩投入×2%/年计算。</w:t>
            </w:r>
          </w:p>
        </w:tc>
        <w:tc>
          <w:tcPr>
            <w:tcW w:w="128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2</w:t>
            </w:r>
          </w:p>
        </w:tc>
      </w:tr>
      <w:tr>
        <w:tblPrEx>
          <w:tblCellMar>
            <w:top w:w="0" w:type="dxa"/>
            <w:left w:w="108" w:type="dxa"/>
            <w:bottom w:w="0" w:type="dxa"/>
            <w:right w:w="108" w:type="dxa"/>
          </w:tblCellMar>
        </w:tblPrEx>
        <w:trPr>
          <w:trHeight w:val="62" w:hRule="atLeast"/>
        </w:trPr>
        <w:tc>
          <w:tcPr>
            <w:tcW w:w="102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场地租金</w:t>
            </w:r>
          </w:p>
        </w:tc>
        <w:tc>
          <w:tcPr>
            <w:tcW w:w="2690"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eastAsia="仿宋_GB2312" w:cs="Times New Roman"/>
                <w:color w:val="000000"/>
                <w:kern w:val="0"/>
                <w:sz w:val="22"/>
                <w:szCs w:val="22"/>
              </w:rPr>
            </w:pPr>
            <w:bookmarkStart w:id="324" w:name="_Hlk113545695"/>
            <w:r>
              <w:rPr>
                <w:rFonts w:eastAsia="仿宋_GB2312" w:cs="Times New Roman"/>
                <w:color w:val="000000"/>
                <w:kern w:val="0"/>
                <w:sz w:val="22"/>
                <w:szCs w:val="22"/>
              </w:rPr>
              <w:t>充电站占地约为400平方米，</w:t>
            </w:r>
            <w:r>
              <w:rPr>
                <w:rFonts w:hint="eastAsia" w:eastAsia="仿宋_GB2312" w:cs="Times New Roman"/>
                <w:color w:val="000000"/>
                <w:kern w:val="0"/>
                <w:sz w:val="22"/>
                <w:szCs w:val="22"/>
              </w:rPr>
              <w:t>3</w:t>
            </w:r>
            <w:r>
              <w:rPr>
                <w:rFonts w:eastAsia="仿宋_GB2312" w:cs="Times New Roman"/>
                <w:color w:val="000000"/>
                <w:kern w:val="0"/>
                <w:sz w:val="22"/>
                <w:szCs w:val="22"/>
              </w:rPr>
              <w:t>万元/年</w:t>
            </w:r>
            <w:bookmarkEnd w:id="324"/>
          </w:p>
        </w:tc>
        <w:tc>
          <w:tcPr>
            <w:tcW w:w="128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hint="eastAsia" w:eastAsia="仿宋_GB2312" w:cs="Times New Roman"/>
                <w:color w:val="000000"/>
                <w:kern w:val="0"/>
                <w:sz w:val="22"/>
                <w:szCs w:val="22"/>
              </w:rPr>
              <w:t>3</w:t>
            </w:r>
          </w:p>
        </w:tc>
      </w:tr>
      <w:tr>
        <w:tblPrEx>
          <w:tblCellMar>
            <w:top w:w="0" w:type="dxa"/>
            <w:left w:w="108" w:type="dxa"/>
            <w:bottom w:w="0" w:type="dxa"/>
            <w:right w:w="108" w:type="dxa"/>
          </w:tblCellMar>
        </w:tblPrEx>
        <w:trPr>
          <w:trHeight w:val="62" w:hRule="atLeast"/>
        </w:trPr>
        <w:tc>
          <w:tcPr>
            <w:tcW w:w="102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电能损耗</w:t>
            </w:r>
          </w:p>
        </w:tc>
        <w:tc>
          <w:tcPr>
            <w:tcW w:w="269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按5%损耗</w:t>
            </w:r>
          </w:p>
        </w:tc>
        <w:tc>
          <w:tcPr>
            <w:tcW w:w="128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eastAsia="仿宋_GB2312" w:cs="Times New Roman"/>
                <w:color w:val="000000"/>
                <w:kern w:val="0"/>
                <w:sz w:val="22"/>
                <w:szCs w:val="22"/>
              </w:rPr>
            </w:pPr>
            <w:r>
              <w:rPr>
                <w:rFonts w:eastAsia="仿宋_GB2312" w:cs="Times New Roman"/>
                <w:color w:val="000000"/>
                <w:kern w:val="0"/>
                <w:sz w:val="22"/>
                <w:szCs w:val="22"/>
              </w:rPr>
              <w:t>利用率不同损耗不同</w:t>
            </w:r>
          </w:p>
        </w:tc>
      </w:tr>
      <w:tr>
        <w:tblPrEx>
          <w:tblCellMar>
            <w:top w:w="0" w:type="dxa"/>
            <w:left w:w="108" w:type="dxa"/>
            <w:bottom w:w="0" w:type="dxa"/>
            <w:right w:w="108" w:type="dxa"/>
          </w:tblCellMar>
        </w:tblPrEx>
        <w:trPr>
          <w:trHeight w:val="30" w:hRule="atLeast"/>
        </w:trPr>
        <w:tc>
          <w:tcPr>
            <w:tcW w:w="3715"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前两年</w:t>
            </w:r>
            <w:r>
              <w:rPr>
                <w:rFonts w:hint="eastAsia" w:eastAsia="仿宋_GB2312" w:cs="Times New Roman"/>
                <w:color w:val="000000"/>
                <w:kern w:val="0"/>
                <w:sz w:val="22"/>
                <w:szCs w:val="22"/>
              </w:rPr>
              <w:t>每年</w:t>
            </w:r>
            <w:r>
              <w:rPr>
                <w:rFonts w:eastAsia="仿宋_GB2312" w:cs="Times New Roman"/>
                <w:color w:val="000000"/>
                <w:kern w:val="0"/>
                <w:sz w:val="22"/>
                <w:szCs w:val="22"/>
              </w:rPr>
              <w:t>合计（不含损耗与维修）</w:t>
            </w:r>
          </w:p>
        </w:tc>
        <w:tc>
          <w:tcPr>
            <w:tcW w:w="128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hint="eastAsia" w:eastAsia="仿宋_GB2312" w:cs="Times New Roman"/>
                <w:color w:val="000000"/>
                <w:kern w:val="0"/>
                <w:sz w:val="22"/>
                <w:szCs w:val="22"/>
              </w:rPr>
              <w:t>4</w:t>
            </w:r>
          </w:p>
        </w:tc>
      </w:tr>
      <w:tr>
        <w:tblPrEx>
          <w:tblCellMar>
            <w:top w:w="0" w:type="dxa"/>
            <w:left w:w="108" w:type="dxa"/>
            <w:bottom w:w="0" w:type="dxa"/>
            <w:right w:w="108" w:type="dxa"/>
          </w:tblCellMar>
        </w:tblPrEx>
        <w:trPr>
          <w:trHeight w:val="30" w:hRule="atLeast"/>
        </w:trPr>
        <w:tc>
          <w:tcPr>
            <w:tcW w:w="3715"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eastAsia="仿宋_GB2312" w:cs="Times New Roman"/>
                <w:color w:val="000000"/>
                <w:kern w:val="0"/>
                <w:sz w:val="22"/>
                <w:szCs w:val="22"/>
              </w:rPr>
              <w:t>第三年</w:t>
            </w:r>
            <w:r>
              <w:rPr>
                <w:rFonts w:hint="eastAsia" w:eastAsia="仿宋_GB2312" w:cs="Times New Roman"/>
                <w:color w:val="000000"/>
                <w:kern w:val="0"/>
                <w:sz w:val="22"/>
                <w:szCs w:val="22"/>
              </w:rPr>
              <w:t>及以后每年</w:t>
            </w:r>
            <w:r>
              <w:rPr>
                <w:rFonts w:eastAsia="仿宋_GB2312" w:cs="Times New Roman"/>
                <w:color w:val="000000"/>
                <w:kern w:val="0"/>
                <w:sz w:val="22"/>
                <w:szCs w:val="22"/>
              </w:rPr>
              <w:t>合计（不含损耗）</w:t>
            </w:r>
          </w:p>
        </w:tc>
        <w:tc>
          <w:tcPr>
            <w:tcW w:w="128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2"/>
                <w:szCs w:val="22"/>
              </w:rPr>
            </w:pPr>
            <w:r>
              <w:rPr>
                <w:rFonts w:hint="eastAsia" w:eastAsia="仿宋_GB2312" w:cs="Times New Roman"/>
                <w:color w:val="000000"/>
                <w:kern w:val="0"/>
                <w:sz w:val="22"/>
                <w:szCs w:val="22"/>
              </w:rPr>
              <w:t>6</w:t>
            </w:r>
          </w:p>
        </w:tc>
      </w:tr>
    </w:tbl>
    <w:p>
      <w:pPr>
        <w:adjustRightInd w:val="0"/>
        <w:snapToGrid w:val="0"/>
        <w:spacing w:before="156" w:beforeLines="50"/>
        <w:ind w:firstLine="562"/>
        <w:rPr>
          <w:rFonts w:eastAsia="仿宋_GB2312" w:cs="Times New Roman"/>
          <w:b/>
          <w:bCs/>
          <w:color w:val="000000"/>
          <w:kern w:val="0"/>
        </w:rPr>
      </w:pPr>
      <w:r>
        <w:rPr>
          <w:rFonts w:hint="eastAsia" w:eastAsia="仿宋_GB2312" w:cs="Times New Roman"/>
          <w:b/>
          <w:bCs/>
          <w:color w:val="000000"/>
          <w:kern w:val="0"/>
        </w:rPr>
        <w:t>4）投资回收期计算</w:t>
      </w:r>
    </w:p>
    <w:p>
      <w:pPr>
        <w:adjustRightInd w:val="0"/>
        <w:snapToGrid w:val="0"/>
        <w:ind w:firstLine="560"/>
        <w:rPr>
          <w:rFonts w:eastAsia="仿宋_GB2312" w:cs="Times New Roman"/>
          <w:color w:val="000000"/>
          <w:kern w:val="0"/>
        </w:rPr>
      </w:pPr>
      <w:r>
        <w:rPr>
          <w:rFonts w:hint="eastAsia" w:eastAsia="仿宋_GB2312" w:cs="Times New Roman"/>
          <w:color w:val="000000"/>
          <w:kern w:val="0"/>
        </w:rPr>
        <w:t>根据上节投资估算，8车位公用站总投资192万，其中本体投资144万，故以投资商前期建设费用144万为前提条件进行计算。</w:t>
      </w:r>
      <w:r>
        <w:rPr>
          <w:rFonts w:eastAsia="仿宋_GB2312" w:cs="Times New Roman"/>
          <w:color w:val="000000"/>
          <w:kern w:val="0"/>
        </w:rPr>
        <w:t>每年收入=服务费-管理费-维修费-场地租金-损耗电能电费，可计算出不同利用率情况下，投资回收期。折旧按20年分摊，当利用率小于12.6%时，投资回收期大于20年处于亏损；当利用率大于12.6%时，投资回收期少于20年而处于盈利状态，利用率越高投资回收期越短。</w:t>
      </w:r>
    </w:p>
    <w:p>
      <w:pPr>
        <w:pStyle w:val="19"/>
        <w:adjustRightInd w:val="0"/>
        <w:snapToGrid w:val="0"/>
        <w:ind w:firstLine="360"/>
        <w:rPr>
          <w:rFonts w:eastAsia="仿宋_GB2312" w:cs="Times New Roman"/>
        </w:rPr>
      </w:pPr>
      <w:bookmarkStart w:id="325" w:name="_Ref116656263"/>
      <w:r>
        <w:rPr>
          <w:rFonts w:eastAsia="仿宋_GB2312" w:cs="Times New Roman"/>
        </w:rPr>
        <w:t xml:space="preserve">表 </w:t>
      </w:r>
      <w:r>
        <w:rPr>
          <w:rFonts w:eastAsia="仿宋_GB2312" w:cs="Times New Roman"/>
        </w:rPr>
        <w:fldChar w:fldCharType="begin"/>
      </w:r>
      <w:r>
        <w:rPr>
          <w:rFonts w:eastAsia="仿宋_GB2312" w:cs="Times New Roman"/>
        </w:rPr>
        <w:instrText xml:space="preserve"> STYLEREF 1 \s </w:instrText>
      </w:r>
      <w:r>
        <w:rPr>
          <w:rFonts w:eastAsia="仿宋_GB2312" w:cs="Times New Roman"/>
        </w:rPr>
        <w:fldChar w:fldCharType="separate"/>
      </w:r>
      <w:r>
        <w:rPr>
          <w:rFonts w:eastAsia="仿宋_GB2312" w:cs="Times New Roman"/>
        </w:rPr>
        <w:t>9</w:t>
      </w:r>
      <w:r>
        <w:rPr>
          <w:rFonts w:eastAsia="仿宋_GB2312" w:cs="Times New Roman"/>
        </w:rPr>
        <w:fldChar w:fldCharType="end"/>
      </w:r>
      <w:r>
        <w:rPr>
          <w:rFonts w:eastAsia="仿宋_GB2312" w:cs="Times New Roman"/>
        </w:rPr>
        <w:noBreakHyphen/>
      </w:r>
      <w:r>
        <w:rPr>
          <w:rFonts w:eastAsia="仿宋_GB2312" w:cs="Times New Roman"/>
        </w:rPr>
        <w:fldChar w:fldCharType="begin"/>
      </w:r>
      <w:r>
        <w:rPr>
          <w:rFonts w:eastAsia="仿宋_GB2312" w:cs="Times New Roman"/>
        </w:rPr>
        <w:instrText xml:space="preserve"> SEQ 表 \* ARABIC \s 1 </w:instrText>
      </w:r>
      <w:r>
        <w:rPr>
          <w:rFonts w:eastAsia="仿宋_GB2312" w:cs="Times New Roman"/>
        </w:rPr>
        <w:fldChar w:fldCharType="separate"/>
      </w:r>
      <w:r>
        <w:rPr>
          <w:rFonts w:eastAsia="仿宋_GB2312" w:cs="Times New Roman"/>
        </w:rPr>
        <w:t>7</w:t>
      </w:r>
      <w:r>
        <w:rPr>
          <w:rFonts w:eastAsia="仿宋_GB2312" w:cs="Times New Roman"/>
        </w:rPr>
        <w:fldChar w:fldCharType="end"/>
      </w:r>
      <w:bookmarkEnd w:id="325"/>
      <w:r>
        <w:rPr>
          <w:rFonts w:eastAsia="仿宋_GB2312" w:cs="Times New Roman"/>
        </w:rPr>
        <w:t>不同利用率投资回收期</w:t>
      </w:r>
    </w:p>
    <w:tbl>
      <w:tblPr>
        <w:tblStyle w:val="76"/>
        <w:tblW w:w="5000" w:type="pct"/>
        <w:tblInd w:w="0" w:type="dxa"/>
        <w:tblLayout w:type="autofit"/>
        <w:tblCellMar>
          <w:top w:w="0" w:type="dxa"/>
          <w:left w:w="108" w:type="dxa"/>
          <w:bottom w:w="0" w:type="dxa"/>
          <w:right w:w="108" w:type="dxa"/>
        </w:tblCellMar>
      </w:tblPr>
      <w:tblGrid>
        <w:gridCol w:w="2815"/>
        <w:gridCol w:w="2891"/>
        <w:gridCol w:w="2816"/>
      </w:tblGrid>
      <w:tr>
        <w:tblPrEx>
          <w:tblCellMar>
            <w:top w:w="0" w:type="dxa"/>
            <w:left w:w="108" w:type="dxa"/>
            <w:bottom w:w="0" w:type="dxa"/>
            <w:right w:w="108" w:type="dxa"/>
          </w:tblCellMar>
        </w:tblPrEx>
        <w:trPr>
          <w:trHeight w:val="288" w:hRule="atLeast"/>
        </w:trPr>
        <w:tc>
          <w:tcPr>
            <w:tcW w:w="16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利用率</w:t>
            </w:r>
          </w:p>
        </w:tc>
        <w:tc>
          <w:tcPr>
            <w:tcW w:w="169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总电量（万kwh）</w:t>
            </w:r>
          </w:p>
        </w:tc>
        <w:tc>
          <w:tcPr>
            <w:tcW w:w="1652"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b/>
                <w:bCs/>
                <w:color w:val="000000"/>
                <w:kern w:val="0"/>
                <w:sz w:val="21"/>
                <w:szCs w:val="21"/>
              </w:rPr>
            </w:pPr>
            <w:r>
              <w:rPr>
                <w:rFonts w:eastAsia="仿宋_GB2312" w:cs="Times New Roman"/>
                <w:b/>
                <w:bCs/>
                <w:color w:val="000000"/>
                <w:kern w:val="0"/>
                <w:sz w:val="21"/>
                <w:szCs w:val="21"/>
              </w:rPr>
              <w:t>投资回收期（年）</w:t>
            </w:r>
          </w:p>
        </w:tc>
      </w:tr>
      <w:tr>
        <w:tblPrEx>
          <w:tblCellMar>
            <w:top w:w="0" w:type="dxa"/>
            <w:left w:w="108" w:type="dxa"/>
            <w:bottom w:w="0" w:type="dxa"/>
            <w:right w:w="108" w:type="dxa"/>
          </w:tblCellMar>
        </w:tblPrEx>
        <w:trPr>
          <w:trHeight w:val="276" w:hRule="atLeast"/>
        </w:trPr>
        <w:tc>
          <w:tcPr>
            <w:tcW w:w="16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12.61%</w:t>
            </w:r>
          </w:p>
        </w:tc>
        <w:tc>
          <w:tcPr>
            <w:tcW w:w="16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53.02</w:t>
            </w:r>
          </w:p>
        </w:tc>
        <w:tc>
          <w:tcPr>
            <w:tcW w:w="165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r>
      <w:tr>
        <w:tblPrEx>
          <w:tblCellMar>
            <w:top w:w="0" w:type="dxa"/>
            <w:left w:w="108" w:type="dxa"/>
            <w:bottom w:w="0" w:type="dxa"/>
            <w:right w:w="108" w:type="dxa"/>
          </w:tblCellMar>
        </w:tblPrEx>
        <w:trPr>
          <w:trHeight w:val="276" w:hRule="atLeast"/>
        </w:trPr>
        <w:tc>
          <w:tcPr>
            <w:tcW w:w="16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w:t>
            </w:r>
          </w:p>
        </w:tc>
        <w:tc>
          <w:tcPr>
            <w:tcW w:w="1696"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84.10</w:t>
            </w:r>
          </w:p>
        </w:tc>
        <w:tc>
          <w:tcPr>
            <w:tcW w:w="165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9.70</w:t>
            </w:r>
          </w:p>
        </w:tc>
      </w:tr>
      <w:tr>
        <w:trPr>
          <w:trHeight w:val="276" w:hRule="atLeast"/>
        </w:trPr>
        <w:tc>
          <w:tcPr>
            <w:tcW w:w="16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30%</w:t>
            </w:r>
          </w:p>
        </w:tc>
        <w:tc>
          <w:tcPr>
            <w:tcW w:w="1696"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126.14</w:t>
            </w:r>
          </w:p>
        </w:tc>
        <w:tc>
          <w:tcPr>
            <w:tcW w:w="165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5.72</w:t>
            </w:r>
          </w:p>
        </w:tc>
      </w:tr>
      <w:tr>
        <w:tblPrEx>
          <w:tblCellMar>
            <w:top w:w="0" w:type="dxa"/>
            <w:left w:w="108" w:type="dxa"/>
            <w:bottom w:w="0" w:type="dxa"/>
            <w:right w:w="108" w:type="dxa"/>
          </w:tblCellMar>
        </w:tblPrEx>
        <w:trPr>
          <w:trHeight w:val="276" w:hRule="atLeast"/>
        </w:trPr>
        <w:tc>
          <w:tcPr>
            <w:tcW w:w="16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40%</w:t>
            </w:r>
          </w:p>
        </w:tc>
        <w:tc>
          <w:tcPr>
            <w:tcW w:w="1696"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168.19</w:t>
            </w:r>
          </w:p>
        </w:tc>
        <w:tc>
          <w:tcPr>
            <w:tcW w:w="165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4.05</w:t>
            </w:r>
          </w:p>
        </w:tc>
      </w:tr>
      <w:tr>
        <w:tblPrEx>
          <w:tblCellMar>
            <w:top w:w="0" w:type="dxa"/>
            <w:left w:w="108" w:type="dxa"/>
            <w:bottom w:w="0" w:type="dxa"/>
            <w:right w:w="108" w:type="dxa"/>
          </w:tblCellMar>
        </w:tblPrEx>
        <w:trPr>
          <w:trHeight w:val="276" w:hRule="atLeast"/>
        </w:trPr>
        <w:tc>
          <w:tcPr>
            <w:tcW w:w="16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50%</w:t>
            </w:r>
          </w:p>
        </w:tc>
        <w:tc>
          <w:tcPr>
            <w:tcW w:w="1696"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210.24</w:t>
            </w:r>
          </w:p>
        </w:tc>
        <w:tc>
          <w:tcPr>
            <w:tcW w:w="165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eastAsia="仿宋_GB2312" w:cs="Times New Roman"/>
                <w:color w:val="000000"/>
                <w:kern w:val="0"/>
                <w:sz w:val="21"/>
                <w:szCs w:val="21"/>
              </w:rPr>
            </w:pPr>
            <w:r>
              <w:rPr>
                <w:rFonts w:eastAsia="仿宋_GB2312" w:cs="Times New Roman"/>
                <w:color w:val="000000"/>
                <w:sz w:val="21"/>
                <w:szCs w:val="21"/>
              </w:rPr>
              <w:t>3.14</w:t>
            </w:r>
          </w:p>
        </w:tc>
      </w:tr>
    </w:tbl>
    <w:p>
      <w:pPr>
        <w:pStyle w:val="173"/>
        <w:spacing w:before="156" w:beforeLines="50"/>
        <w:ind w:firstLine="562"/>
        <w:rPr>
          <w:rFonts w:ascii="Times New Roman" w:hAnsi="Times New Roman" w:cs="Times New Roman"/>
          <w:b/>
          <w:bCs/>
        </w:rPr>
      </w:pPr>
      <w:r>
        <w:rPr>
          <w:rFonts w:hint="eastAsia" w:ascii="Times New Roman" w:hAnsi="Times New Roman" w:cs="Times New Roman"/>
          <w:b/>
          <w:bCs/>
        </w:rPr>
        <w:t>（3）公用充电设施经济效益</w:t>
      </w:r>
      <w:r>
        <w:rPr>
          <w:rFonts w:ascii="Times New Roman" w:hAnsi="Times New Roman" w:cs="Times New Roman"/>
          <w:b/>
          <w:bCs/>
        </w:rPr>
        <w:t>计算</w:t>
      </w:r>
    </w:p>
    <w:p>
      <w:pPr>
        <w:pStyle w:val="173"/>
        <w:ind w:firstLine="560"/>
        <w:rPr>
          <w:rFonts w:ascii="Times New Roman" w:hAnsi="Times New Roman" w:cs="Times New Roman"/>
        </w:rPr>
      </w:pPr>
      <w:r>
        <w:rPr>
          <w:rFonts w:ascii="Times New Roman" w:hAnsi="Times New Roman" w:cs="Times New Roman"/>
        </w:rPr>
        <w:t>以2025年30%电动环卫车（一天一充）、物流车（三天一充）、20%电动公务车（三天一充）、50%电动私家车（一周一充）、100%电动网约车和出租车（一天一充）在公用桩上充电，充电时长统一按3小时计算，可得电动汽车每天在公用桩上充电时长为10246小时，咸宁2025年公用充电桩达3119个，利用率=10246/(3119*24)=13.7%</w:t>
      </w:r>
      <w:r>
        <w:rPr>
          <w:rFonts w:ascii="Times New Roman" w:hAnsi="Times New Roman" w:cs="Times New Roman"/>
          <w:kern w:val="0"/>
        </w:rPr>
        <w:t>。参考</w:t>
      </w:r>
      <w:r>
        <w:rPr>
          <w:rFonts w:ascii="Times New Roman" w:hAnsi="Times New Roman" w:cs="Times New Roman"/>
          <w:kern w:val="0"/>
        </w:rPr>
        <w:fldChar w:fldCharType="begin"/>
      </w:r>
      <w:r>
        <w:rPr>
          <w:rFonts w:ascii="Times New Roman" w:hAnsi="Times New Roman" w:cs="Times New Roman"/>
          <w:kern w:val="0"/>
        </w:rPr>
        <w:instrText xml:space="preserve"> REF _Ref116656263 \h </w:instrText>
      </w:r>
      <w:r>
        <w:rPr>
          <w:rFonts w:ascii="Times New Roman" w:hAnsi="Times New Roman" w:cs="Times New Roman"/>
          <w:kern w:val="0"/>
        </w:rPr>
        <w:fldChar w:fldCharType="separate"/>
      </w:r>
      <w:r>
        <w:rPr>
          <w:rFonts w:cs="Times New Roman"/>
        </w:rPr>
        <w:t>表 9</w:t>
      </w:r>
      <w:r>
        <w:rPr>
          <w:rFonts w:cs="Times New Roman"/>
        </w:rPr>
        <w:noBreakHyphen/>
      </w:r>
      <w:r>
        <w:rPr>
          <w:rFonts w:cs="Times New Roman"/>
        </w:rPr>
        <w:t>7</w:t>
      </w:r>
      <w:r>
        <w:rPr>
          <w:rFonts w:ascii="Times New Roman" w:hAnsi="Times New Roman" w:cs="Times New Roman"/>
          <w:kern w:val="0"/>
        </w:rPr>
        <w:fldChar w:fldCharType="end"/>
      </w:r>
      <w:r>
        <w:rPr>
          <w:rFonts w:ascii="Times New Roman" w:hAnsi="Times New Roman" w:cs="Times New Roman"/>
          <w:kern w:val="0"/>
        </w:rPr>
        <w:t>不同利用率投资回收期可知，咸宁公用桩利用率</w:t>
      </w:r>
      <w:r>
        <w:rPr>
          <w:rFonts w:hint="eastAsia" w:ascii="Times New Roman" w:hAnsi="Times New Roman" w:cs="Times New Roman"/>
          <w:kern w:val="0"/>
        </w:rPr>
        <w:t>高于12.6%</w:t>
      </w:r>
      <w:r>
        <w:rPr>
          <w:rFonts w:ascii="Times New Roman" w:hAnsi="Times New Roman" w:cs="Times New Roman"/>
          <w:kern w:val="0"/>
        </w:rPr>
        <w:t>，投资回收期</w:t>
      </w:r>
      <w:r>
        <w:rPr>
          <w:rFonts w:hint="eastAsia" w:ascii="Times New Roman" w:hAnsi="Times New Roman" w:cs="Times New Roman"/>
          <w:kern w:val="0"/>
        </w:rPr>
        <w:t>小于</w:t>
      </w:r>
      <w:r>
        <w:rPr>
          <w:rFonts w:ascii="Times New Roman" w:hAnsi="Times New Roman" w:cs="Times New Roman"/>
          <w:kern w:val="0"/>
        </w:rPr>
        <w:t>20年，处于</w:t>
      </w:r>
      <w:r>
        <w:rPr>
          <w:rFonts w:hint="eastAsia" w:ascii="Times New Roman" w:hAnsi="Times New Roman" w:cs="Times New Roman"/>
          <w:kern w:val="0"/>
        </w:rPr>
        <w:t>盈利</w:t>
      </w:r>
      <w:r>
        <w:rPr>
          <w:rFonts w:ascii="Times New Roman" w:hAnsi="Times New Roman" w:cs="Times New Roman"/>
          <w:kern w:val="0"/>
        </w:rPr>
        <w:t>状态。</w:t>
      </w:r>
    </w:p>
    <w:p>
      <w:pPr>
        <w:pStyle w:val="106"/>
        <w:numPr>
          <w:ilvl w:val="1"/>
          <w:numId w:val="31"/>
        </w:numPr>
        <w:adjustRightInd w:val="0"/>
        <w:snapToGrid w:val="0"/>
        <w:ind w:left="0" w:firstLine="562"/>
        <w:rPr>
          <w:rFonts w:eastAsia="仿宋_GB2312" w:cs="Times New Roman"/>
          <w:b/>
          <w:bCs/>
        </w:rPr>
      </w:pPr>
      <w:r>
        <w:rPr>
          <w:rFonts w:eastAsia="仿宋_GB2312" w:cs="Times New Roman"/>
          <w:b/>
          <w:bCs/>
        </w:rPr>
        <w:t>社会效益评价</w:t>
      </w:r>
    </w:p>
    <w:bookmarkEnd w:id="320"/>
    <w:p>
      <w:pPr>
        <w:pStyle w:val="106"/>
        <w:numPr>
          <w:ilvl w:val="1"/>
          <w:numId w:val="33"/>
        </w:numPr>
        <w:adjustRightInd w:val="0"/>
        <w:snapToGrid w:val="0"/>
        <w:ind w:left="0" w:firstLine="560"/>
        <w:rPr>
          <w:rFonts w:eastAsia="仿宋_GB2312" w:cs="Times New Roman"/>
        </w:rPr>
      </w:pPr>
      <w:r>
        <w:rPr>
          <w:rFonts w:eastAsia="仿宋_GB2312" w:cs="Times New Roman"/>
        </w:rPr>
        <w:t>优化便民出行，降低城市噪音</w:t>
      </w:r>
    </w:p>
    <w:p>
      <w:pPr>
        <w:adjustRightInd w:val="0"/>
        <w:snapToGrid w:val="0"/>
        <w:ind w:firstLine="560"/>
        <w:rPr>
          <w:rFonts w:eastAsia="仿宋_GB2312" w:cs="Times New Roman"/>
        </w:rPr>
      </w:pPr>
      <w:r>
        <w:rPr>
          <w:rFonts w:eastAsia="仿宋_GB2312" w:cs="Times New Roman"/>
        </w:rPr>
        <w:t>随着十四五期间规划充电设施的投运，基本实现了充电服务半径全覆盖的目标，方便了居民的绿色出行。推动了新能源汽车发展，新能源汽车比同类燃油车辆噪声低5分贝以上，大规模推广新能源汽车大幅度降低了城市噪音。</w:t>
      </w:r>
    </w:p>
    <w:p>
      <w:pPr>
        <w:pStyle w:val="106"/>
        <w:numPr>
          <w:ilvl w:val="1"/>
          <w:numId w:val="33"/>
        </w:numPr>
        <w:adjustRightInd w:val="0"/>
        <w:snapToGrid w:val="0"/>
        <w:ind w:left="0" w:firstLine="560"/>
        <w:rPr>
          <w:rFonts w:eastAsia="仿宋_GB2312" w:cs="Times New Roman"/>
        </w:rPr>
      </w:pPr>
      <w:r>
        <w:rPr>
          <w:rFonts w:eastAsia="仿宋_GB2312" w:cs="Times New Roman"/>
        </w:rPr>
        <w:t>完成节能减排，打赢蓝天保卫战</w:t>
      </w:r>
    </w:p>
    <w:p>
      <w:pPr>
        <w:adjustRightInd w:val="0"/>
        <w:snapToGrid w:val="0"/>
        <w:ind w:firstLine="560"/>
        <w:rPr>
          <w:rFonts w:eastAsia="仿宋_GB2312" w:cs="Times New Roman"/>
        </w:rPr>
      </w:pPr>
      <w:r>
        <w:rPr>
          <w:rFonts w:eastAsia="仿宋_GB2312" w:cs="Times New Roman"/>
        </w:rPr>
        <w:t>新能源汽车代替燃油汽车的效益，首先体现在节能减排上</w:t>
      </w:r>
      <w:r>
        <w:rPr>
          <w:rFonts w:hint="eastAsia" w:eastAsia="仿宋_GB2312" w:cs="Times New Roman"/>
        </w:rPr>
        <w:t>。</w:t>
      </w:r>
      <w:r>
        <w:rPr>
          <w:rFonts w:eastAsia="仿宋_GB2312" w:cs="Times New Roman"/>
        </w:rPr>
        <w:t>若以燃油车8L/百公里、新能源汽车16kWh/百公里进行折算，1kWh电车里程数等效于0.5L汽油里程数，电网发一度电CO</w:t>
      </w:r>
      <w:r>
        <w:rPr>
          <w:rFonts w:eastAsia="仿宋_GB2312" w:cs="Times New Roman"/>
          <w:vertAlign w:val="subscript"/>
        </w:rPr>
        <w:t>2</w:t>
      </w:r>
      <w:r>
        <w:rPr>
          <w:rFonts w:eastAsia="仿宋_GB2312" w:cs="Times New Roman"/>
        </w:rPr>
        <w:t>排放约0.79kg，燃油车燃烧0.5L汽油CO</w:t>
      </w:r>
      <w:r>
        <w:rPr>
          <w:rFonts w:eastAsia="仿宋_GB2312" w:cs="Times New Roman"/>
          <w:vertAlign w:val="subscript"/>
        </w:rPr>
        <w:t>2</w:t>
      </w:r>
      <w:r>
        <w:rPr>
          <w:rFonts w:eastAsia="仿宋_GB2312" w:cs="Times New Roman"/>
        </w:rPr>
        <w:t>排放约1.125kg，即使用电车替代燃油车相比减排CO</w:t>
      </w:r>
      <w:r>
        <w:rPr>
          <w:rFonts w:eastAsia="仿宋_GB2312" w:cs="Times New Roman"/>
          <w:vertAlign w:val="subscript"/>
        </w:rPr>
        <w:t>2</w:t>
      </w:r>
      <w:r>
        <w:rPr>
          <w:rFonts w:eastAsia="仿宋_GB2312" w:cs="Times New Roman"/>
        </w:rPr>
        <w:t>为0.34kg/kWh。</w:t>
      </w:r>
    </w:p>
    <w:p>
      <w:pPr>
        <w:adjustRightInd w:val="0"/>
        <w:snapToGrid w:val="0"/>
        <w:ind w:firstLine="0" w:firstLineChars="0"/>
        <w:jc w:val="center"/>
        <w:rPr>
          <w:rFonts w:eastAsia="仿宋_GB2312" w:cs="Times New Roman"/>
          <w:b/>
          <w:bCs/>
          <w:sz w:val="24"/>
          <w:szCs w:val="24"/>
        </w:rPr>
      </w:pPr>
      <w:r>
        <w:rPr>
          <w:rFonts w:eastAsia="仿宋_GB2312" w:cs="Times New Roman"/>
          <w:b/>
          <w:bCs/>
          <w:sz w:val="24"/>
          <w:szCs w:val="24"/>
        </w:rPr>
        <w:t xml:space="preserve">表 </w:t>
      </w:r>
      <w:r>
        <w:rPr>
          <w:rFonts w:eastAsia="仿宋_GB2312" w:cs="Times New Roman"/>
          <w:b/>
          <w:bCs/>
          <w:sz w:val="24"/>
          <w:szCs w:val="24"/>
        </w:rPr>
        <w:fldChar w:fldCharType="begin"/>
      </w:r>
      <w:r>
        <w:rPr>
          <w:rFonts w:eastAsia="仿宋_GB2312" w:cs="Times New Roman"/>
          <w:b/>
          <w:bCs/>
          <w:sz w:val="24"/>
          <w:szCs w:val="24"/>
        </w:rPr>
        <w:instrText xml:space="preserve"> STYLEREF 1 \s </w:instrText>
      </w:r>
      <w:r>
        <w:rPr>
          <w:rFonts w:eastAsia="仿宋_GB2312" w:cs="Times New Roman"/>
          <w:b/>
          <w:bCs/>
          <w:sz w:val="24"/>
          <w:szCs w:val="24"/>
        </w:rPr>
        <w:fldChar w:fldCharType="separate"/>
      </w:r>
      <w:r>
        <w:rPr>
          <w:rFonts w:eastAsia="仿宋_GB2312" w:cs="Times New Roman"/>
          <w:b/>
          <w:bCs/>
          <w:sz w:val="24"/>
          <w:szCs w:val="24"/>
        </w:rPr>
        <w:t>9</w:t>
      </w:r>
      <w:r>
        <w:rPr>
          <w:rFonts w:eastAsia="仿宋_GB2312" w:cs="Times New Roman"/>
          <w:b/>
          <w:bCs/>
          <w:sz w:val="24"/>
          <w:szCs w:val="24"/>
        </w:rPr>
        <w:fldChar w:fldCharType="end"/>
      </w:r>
      <w:r>
        <w:rPr>
          <w:rFonts w:eastAsia="仿宋_GB2312" w:cs="Times New Roman"/>
          <w:b/>
          <w:bCs/>
          <w:sz w:val="24"/>
          <w:szCs w:val="24"/>
        </w:rPr>
        <w:noBreakHyphen/>
      </w:r>
      <w:r>
        <w:rPr>
          <w:rFonts w:eastAsia="仿宋_GB2312" w:cs="Times New Roman"/>
          <w:b/>
          <w:bCs/>
          <w:sz w:val="24"/>
          <w:szCs w:val="24"/>
        </w:rPr>
        <w:fldChar w:fldCharType="begin"/>
      </w:r>
      <w:r>
        <w:rPr>
          <w:rFonts w:eastAsia="仿宋_GB2312" w:cs="Times New Roman"/>
          <w:b/>
          <w:bCs/>
          <w:sz w:val="24"/>
          <w:szCs w:val="24"/>
        </w:rPr>
        <w:instrText xml:space="preserve"> SEQ 表 \* ARABIC \s 1 </w:instrText>
      </w:r>
      <w:r>
        <w:rPr>
          <w:rFonts w:eastAsia="仿宋_GB2312" w:cs="Times New Roman"/>
          <w:b/>
          <w:bCs/>
          <w:sz w:val="24"/>
          <w:szCs w:val="24"/>
        </w:rPr>
        <w:fldChar w:fldCharType="separate"/>
      </w:r>
      <w:r>
        <w:rPr>
          <w:rFonts w:eastAsia="仿宋_GB2312" w:cs="Times New Roman"/>
          <w:b/>
          <w:bCs/>
          <w:sz w:val="24"/>
          <w:szCs w:val="24"/>
        </w:rPr>
        <w:t>8</w:t>
      </w:r>
      <w:r>
        <w:rPr>
          <w:rFonts w:eastAsia="仿宋_GB2312" w:cs="Times New Roman"/>
          <w:b/>
          <w:bCs/>
          <w:sz w:val="24"/>
          <w:szCs w:val="24"/>
        </w:rPr>
        <w:fldChar w:fldCharType="end"/>
      </w:r>
      <w:r>
        <w:rPr>
          <w:rFonts w:eastAsia="仿宋_GB2312" w:cs="Times New Roman"/>
          <w:b/>
          <w:bCs/>
          <w:sz w:val="24"/>
          <w:szCs w:val="24"/>
        </w:rPr>
        <w:t>碳排放折算表</w:t>
      </w:r>
    </w:p>
    <w:tbl>
      <w:tblPr>
        <w:tblStyle w:val="76"/>
        <w:tblW w:w="5000" w:type="pct"/>
        <w:tblInd w:w="0" w:type="dxa"/>
        <w:tblLayout w:type="autofit"/>
        <w:tblCellMar>
          <w:top w:w="0" w:type="dxa"/>
          <w:left w:w="0" w:type="dxa"/>
          <w:bottom w:w="0" w:type="dxa"/>
          <w:right w:w="0" w:type="dxa"/>
        </w:tblCellMar>
      </w:tblPr>
      <w:tblGrid>
        <w:gridCol w:w="1425"/>
        <w:gridCol w:w="1415"/>
        <w:gridCol w:w="1417"/>
        <w:gridCol w:w="981"/>
        <w:gridCol w:w="1366"/>
        <w:gridCol w:w="1712"/>
      </w:tblGrid>
      <w:tr>
        <w:tblPrEx>
          <w:tblCellMar>
            <w:top w:w="0" w:type="dxa"/>
            <w:left w:w="0" w:type="dxa"/>
            <w:bottom w:w="0" w:type="dxa"/>
            <w:right w:w="0" w:type="dxa"/>
          </w:tblCellMar>
        </w:tblPrEx>
        <w:trPr>
          <w:trHeight w:val="250" w:hRule="atLeast"/>
        </w:trPr>
        <w:tc>
          <w:tcPr>
            <w:tcW w:w="3150" w:type="pct"/>
            <w:gridSpan w:val="4"/>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新能源汽车碳排放</w:t>
            </w:r>
          </w:p>
        </w:tc>
        <w:tc>
          <w:tcPr>
            <w:tcW w:w="185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油车碳排放</w:t>
            </w:r>
          </w:p>
        </w:tc>
      </w:tr>
      <w:tr>
        <w:tblPrEx>
          <w:tblCellMar>
            <w:top w:w="0" w:type="dxa"/>
            <w:left w:w="0" w:type="dxa"/>
            <w:bottom w:w="0" w:type="dxa"/>
            <w:right w:w="0" w:type="dxa"/>
          </w:tblCellMar>
        </w:tblPrEx>
        <w:trPr>
          <w:trHeight w:val="250" w:hRule="atLeast"/>
        </w:trPr>
        <w:tc>
          <w:tcPr>
            <w:tcW w:w="85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电量(kWh)</w:t>
            </w:r>
          </w:p>
        </w:tc>
        <w:tc>
          <w:tcPr>
            <w:tcW w:w="85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标准煤(kg)</w:t>
            </w:r>
          </w:p>
        </w:tc>
        <w:tc>
          <w:tcPr>
            <w:tcW w:w="85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碳粉层(kg)</w:t>
            </w:r>
          </w:p>
        </w:tc>
        <w:tc>
          <w:tcPr>
            <w:tcW w:w="589"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hint="eastAsia" w:eastAsia="仿宋_GB2312" w:cs="Times New Roman"/>
                <w:color w:val="000000"/>
                <w:kern w:val="0"/>
                <w:sz w:val="21"/>
              </w:rPr>
              <w:t>CO</w:t>
            </w:r>
            <w:r>
              <w:rPr>
                <w:rFonts w:eastAsia="仿宋_GB2312" w:cs="Times New Roman"/>
                <w:color w:val="000000"/>
                <w:kern w:val="0"/>
                <w:sz w:val="21"/>
                <w:vertAlign w:val="subscript"/>
              </w:rPr>
              <w:t>2</w:t>
            </w:r>
            <w:r>
              <w:rPr>
                <w:rFonts w:eastAsia="仿宋_GB2312" w:cs="Times New Roman"/>
                <w:color w:val="000000"/>
                <w:kern w:val="0"/>
                <w:sz w:val="21"/>
              </w:rPr>
              <w:t>(kg)</w:t>
            </w:r>
          </w:p>
        </w:tc>
        <w:tc>
          <w:tcPr>
            <w:tcW w:w="82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汽油油耗(L)</w:t>
            </w:r>
          </w:p>
        </w:tc>
        <w:tc>
          <w:tcPr>
            <w:tcW w:w="103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排放</w:t>
            </w:r>
            <w:r>
              <w:rPr>
                <w:rFonts w:hint="eastAsia" w:eastAsia="仿宋_GB2312" w:cs="Times New Roman"/>
                <w:color w:val="000000"/>
                <w:kern w:val="0"/>
                <w:sz w:val="21"/>
              </w:rPr>
              <w:t>CO</w:t>
            </w:r>
            <w:r>
              <w:rPr>
                <w:rFonts w:eastAsia="仿宋_GB2312" w:cs="Times New Roman"/>
                <w:color w:val="000000"/>
                <w:kern w:val="0"/>
                <w:sz w:val="21"/>
                <w:vertAlign w:val="subscript"/>
              </w:rPr>
              <w:t>2</w:t>
            </w:r>
            <w:r>
              <w:rPr>
                <w:rFonts w:eastAsia="仿宋_GB2312" w:cs="Times New Roman"/>
                <w:color w:val="000000"/>
                <w:kern w:val="0"/>
                <w:sz w:val="21"/>
              </w:rPr>
              <w:t>(kg)</w:t>
            </w:r>
          </w:p>
        </w:tc>
      </w:tr>
      <w:tr>
        <w:tblPrEx>
          <w:tblCellMar>
            <w:top w:w="0" w:type="dxa"/>
            <w:left w:w="0" w:type="dxa"/>
            <w:bottom w:w="0" w:type="dxa"/>
            <w:right w:w="0" w:type="dxa"/>
          </w:tblCellMar>
        </w:tblPrEx>
        <w:trPr>
          <w:trHeight w:val="250" w:hRule="atLeast"/>
        </w:trPr>
        <w:tc>
          <w:tcPr>
            <w:tcW w:w="857"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w:t>
            </w:r>
          </w:p>
        </w:tc>
        <w:tc>
          <w:tcPr>
            <w:tcW w:w="85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0.4</w:t>
            </w:r>
          </w:p>
        </w:tc>
        <w:tc>
          <w:tcPr>
            <w:tcW w:w="852"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0.272</w:t>
            </w:r>
          </w:p>
        </w:tc>
        <w:tc>
          <w:tcPr>
            <w:tcW w:w="589"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0.79</w:t>
            </w:r>
          </w:p>
        </w:tc>
        <w:tc>
          <w:tcPr>
            <w:tcW w:w="821"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0.50</w:t>
            </w:r>
          </w:p>
        </w:tc>
        <w:tc>
          <w:tcPr>
            <w:tcW w:w="103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1.125</w:t>
            </w:r>
          </w:p>
        </w:tc>
      </w:tr>
    </w:tbl>
    <w:p>
      <w:pPr>
        <w:adjustRightInd w:val="0"/>
        <w:snapToGrid w:val="0"/>
        <w:ind w:firstLine="560"/>
        <w:rPr>
          <w:rFonts w:eastAsia="仿宋_GB2312" w:cs="Times New Roman"/>
        </w:rPr>
      </w:pPr>
      <w:r>
        <w:rPr>
          <w:rFonts w:eastAsia="仿宋_GB2312" w:cs="Times New Roman"/>
        </w:rPr>
        <w:t>本规划实施后，按新能源汽车预测数量以及不同车型电池容量与充电周期进行估算，至2025年可实现充电电量超过</w:t>
      </w:r>
      <w:r>
        <w:rPr>
          <w:rFonts w:hint="eastAsia" w:eastAsia="仿宋_GB2312" w:cs="Times New Roman"/>
        </w:rPr>
        <w:t>2.63亿</w:t>
      </w:r>
      <w:r>
        <w:rPr>
          <w:rFonts w:eastAsia="仿宋_GB2312" w:cs="Times New Roman"/>
        </w:rPr>
        <w:t>千瓦时/年，不考虑电能损耗，共节约标准煤10.54万吨/年，替代汽油超过</w:t>
      </w:r>
      <w:r>
        <w:rPr>
          <w:rFonts w:hint="eastAsia" w:eastAsia="仿宋_GB2312" w:cs="Times New Roman"/>
        </w:rPr>
        <w:t>1.32亿</w:t>
      </w:r>
      <w:r>
        <w:rPr>
          <w:rFonts w:eastAsia="仿宋_GB2312" w:cs="Times New Roman"/>
        </w:rPr>
        <w:t>L/年，减少二氧化碳排放超过8.82万吨/年，将有效提升大气污染防治与地区空气质量，改善当地空气环境。</w:t>
      </w:r>
    </w:p>
    <w:p>
      <w:pPr>
        <w:adjustRightInd w:val="0"/>
        <w:snapToGrid w:val="0"/>
        <w:ind w:firstLine="0" w:firstLineChars="0"/>
        <w:jc w:val="center"/>
        <w:rPr>
          <w:rFonts w:eastAsia="仿宋_GB2312" w:cs="Times New Roman"/>
          <w:b/>
          <w:bCs/>
          <w:sz w:val="24"/>
          <w:szCs w:val="24"/>
        </w:rPr>
      </w:pPr>
      <w:r>
        <w:rPr>
          <w:rFonts w:eastAsia="仿宋_GB2312" w:cs="Times New Roman"/>
          <w:b/>
          <w:bCs/>
          <w:sz w:val="24"/>
          <w:szCs w:val="24"/>
        </w:rPr>
        <w:t xml:space="preserve">表 </w:t>
      </w:r>
      <w:r>
        <w:rPr>
          <w:rFonts w:eastAsia="仿宋_GB2312" w:cs="Times New Roman"/>
          <w:b/>
          <w:bCs/>
          <w:sz w:val="24"/>
          <w:szCs w:val="24"/>
        </w:rPr>
        <w:fldChar w:fldCharType="begin"/>
      </w:r>
      <w:r>
        <w:rPr>
          <w:rFonts w:eastAsia="仿宋_GB2312" w:cs="Times New Roman"/>
          <w:b/>
          <w:bCs/>
          <w:sz w:val="24"/>
          <w:szCs w:val="24"/>
        </w:rPr>
        <w:instrText xml:space="preserve"> STYLEREF 1 \s </w:instrText>
      </w:r>
      <w:r>
        <w:rPr>
          <w:rFonts w:eastAsia="仿宋_GB2312" w:cs="Times New Roman"/>
          <w:b/>
          <w:bCs/>
          <w:sz w:val="24"/>
          <w:szCs w:val="24"/>
        </w:rPr>
        <w:fldChar w:fldCharType="separate"/>
      </w:r>
      <w:r>
        <w:rPr>
          <w:rFonts w:eastAsia="仿宋_GB2312" w:cs="Times New Roman"/>
          <w:b/>
          <w:bCs/>
          <w:sz w:val="24"/>
          <w:szCs w:val="24"/>
        </w:rPr>
        <w:t>9</w:t>
      </w:r>
      <w:r>
        <w:rPr>
          <w:rFonts w:eastAsia="仿宋_GB2312" w:cs="Times New Roman"/>
          <w:b/>
          <w:bCs/>
          <w:sz w:val="24"/>
          <w:szCs w:val="24"/>
        </w:rPr>
        <w:fldChar w:fldCharType="end"/>
      </w:r>
      <w:r>
        <w:rPr>
          <w:rFonts w:eastAsia="仿宋_GB2312" w:cs="Times New Roman"/>
          <w:b/>
          <w:bCs/>
          <w:sz w:val="24"/>
          <w:szCs w:val="24"/>
        </w:rPr>
        <w:noBreakHyphen/>
      </w:r>
      <w:r>
        <w:rPr>
          <w:rFonts w:eastAsia="仿宋_GB2312" w:cs="Times New Roman"/>
          <w:b/>
          <w:bCs/>
          <w:sz w:val="24"/>
          <w:szCs w:val="24"/>
        </w:rPr>
        <w:fldChar w:fldCharType="begin"/>
      </w:r>
      <w:r>
        <w:rPr>
          <w:rFonts w:eastAsia="仿宋_GB2312" w:cs="Times New Roman"/>
          <w:b/>
          <w:bCs/>
          <w:sz w:val="24"/>
          <w:szCs w:val="24"/>
        </w:rPr>
        <w:instrText xml:space="preserve"> SEQ 表 \* ARABIC \s 1 </w:instrText>
      </w:r>
      <w:r>
        <w:rPr>
          <w:rFonts w:eastAsia="仿宋_GB2312" w:cs="Times New Roman"/>
          <w:b/>
          <w:bCs/>
          <w:sz w:val="24"/>
          <w:szCs w:val="24"/>
        </w:rPr>
        <w:fldChar w:fldCharType="separate"/>
      </w:r>
      <w:r>
        <w:rPr>
          <w:rFonts w:eastAsia="仿宋_GB2312" w:cs="Times New Roman"/>
          <w:b/>
          <w:bCs/>
          <w:sz w:val="24"/>
          <w:szCs w:val="24"/>
        </w:rPr>
        <w:t>9</w:t>
      </w:r>
      <w:r>
        <w:rPr>
          <w:rFonts w:eastAsia="仿宋_GB2312" w:cs="Times New Roman"/>
          <w:b/>
          <w:bCs/>
          <w:sz w:val="24"/>
          <w:szCs w:val="24"/>
        </w:rPr>
        <w:fldChar w:fldCharType="end"/>
      </w:r>
      <w:r>
        <w:rPr>
          <w:rFonts w:eastAsia="仿宋_GB2312" w:cs="Times New Roman"/>
          <w:b/>
          <w:bCs/>
          <w:sz w:val="24"/>
          <w:szCs w:val="24"/>
        </w:rPr>
        <w:t>咸宁新能源汽车碳排放减排量表</w:t>
      </w:r>
    </w:p>
    <w:tbl>
      <w:tblPr>
        <w:tblStyle w:val="76"/>
        <w:tblW w:w="4989" w:type="pct"/>
        <w:tblInd w:w="0" w:type="dxa"/>
        <w:tblLayout w:type="fixed"/>
        <w:tblCellMar>
          <w:top w:w="0" w:type="dxa"/>
          <w:left w:w="0" w:type="dxa"/>
          <w:bottom w:w="0" w:type="dxa"/>
          <w:right w:w="0" w:type="dxa"/>
        </w:tblCellMar>
      </w:tblPr>
      <w:tblGrid>
        <w:gridCol w:w="1150"/>
        <w:gridCol w:w="971"/>
        <w:gridCol w:w="942"/>
        <w:gridCol w:w="1121"/>
        <w:gridCol w:w="1256"/>
        <w:gridCol w:w="1117"/>
        <w:gridCol w:w="1741"/>
      </w:tblGrid>
      <w:tr>
        <w:tblPrEx>
          <w:tblCellMar>
            <w:top w:w="0" w:type="dxa"/>
            <w:left w:w="0" w:type="dxa"/>
            <w:bottom w:w="0" w:type="dxa"/>
            <w:right w:w="0" w:type="dxa"/>
          </w:tblCellMar>
        </w:tblPrEx>
        <w:trPr>
          <w:trHeight w:val="193" w:hRule="atLeast"/>
          <w:tblHeader/>
        </w:trPr>
        <w:tc>
          <w:tcPr>
            <w:tcW w:w="2521" w:type="pct"/>
            <w:gridSpan w:val="4"/>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新能源汽车碳排放</w:t>
            </w:r>
          </w:p>
        </w:tc>
        <w:tc>
          <w:tcPr>
            <w:tcW w:w="1430" w:type="pct"/>
            <w:gridSpan w:val="2"/>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油车碳排放</w:t>
            </w:r>
          </w:p>
        </w:tc>
        <w:tc>
          <w:tcPr>
            <w:tcW w:w="105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2025年减少co2排放(万吨)</w:t>
            </w:r>
          </w:p>
        </w:tc>
      </w:tr>
      <w:tr>
        <w:tblPrEx>
          <w:tblCellMar>
            <w:top w:w="0" w:type="dxa"/>
            <w:left w:w="0" w:type="dxa"/>
            <w:bottom w:w="0" w:type="dxa"/>
            <w:right w:w="0" w:type="dxa"/>
          </w:tblCellMar>
        </w:tblPrEx>
        <w:trPr>
          <w:trHeight w:val="193" w:hRule="atLeast"/>
          <w:tblHeader/>
        </w:trPr>
        <w:tc>
          <w:tcPr>
            <w:tcW w:w="693"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耗电量(</w:t>
            </w:r>
            <w:r>
              <w:rPr>
                <w:rFonts w:hint="eastAsia" w:eastAsia="仿宋_GB2312" w:cs="Times New Roman"/>
                <w:color w:val="000000"/>
                <w:kern w:val="0"/>
                <w:sz w:val="21"/>
                <w:szCs w:val="21"/>
              </w:rPr>
              <w:t>亿</w:t>
            </w:r>
            <w:r>
              <w:rPr>
                <w:rFonts w:eastAsia="仿宋_GB2312" w:cs="Times New Roman"/>
                <w:color w:val="000000"/>
                <w:kern w:val="0"/>
                <w:sz w:val="21"/>
                <w:szCs w:val="21"/>
              </w:rPr>
              <w:t>kWh)</w:t>
            </w:r>
          </w:p>
        </w:tc>
        <w:tc>
          <w:tcPr>
            <w:tcW w:w="5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标准煤(万吨)</w:t>
            </w:r>
          </w:p>
        </w:tc>
        <w:tc>
          <w:tcPr>
            <w:tcW w:w="56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碳粉层(万吨)</w:t>
            </w:r>
          </w:p>
        </w:tc>
        <w:tc>
          <w:tcPr>
            <w:tcW w:w="67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co2(万吨)</w:t>
            </w:r>
          </w:p>
        </w:tc>
        <w:tc>
          <w:tcPr>
            <w:tcW w:w="75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汽油油耗(</w:t>
            </w:r>
            <w:r>
              <w:rPr>
                <w:rFonts w:hint="eastAsia" w:eastAsia="仿宋_GB2312" w:cs="Times New Roman"/>
                <w:color w:val="000000"/>
                <w:kern w:val="0"/>
                <w:sz w:val="21"/>
                <w:szCs w:val="21"/>
              </w:rPr>
              <w:t>亿</w:t>
            </w:r>
            <w:r>
              <w:rPr>
                <w:rFonts w:eastAsia="仿宋_GB2312" w:cs="Times New Roman"/>
                <w:color w:val="000000"/>
                <w:kern w:val="0"/>
                <w:sz w:val="21"/>
                <w:szCs w:val="21"/>
              </w:rPr>
              <w:t>L)</w:t>
            </w:r>
          </w:p>
        </w:tc>
        <w:tc>
          <w:tcPr>
            <w:tcW w:w="67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r>
              <w:rPr>
                <w:rFonts w:eastAsia="仿宋_GB2312" w:cs="Times New Roman"/>
                <w:color w:val="000000"/>
                <w:kern w:val="0"/>
                <w:sz w:val="21"/>
                <w:szCs w:val="21"/>
              </w:rPr>
              <w:t>排放co2(万吨)</w:t>
            </w:r>
          </w:p>
        </w:tc>
        <w:tc>
          <w:tcPr>
            <w:tcW w:w="1050"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rPr>
                <w:rFonts w:eastAsia="仿宋_GB2312" w:cs="Times New Roman"/>
                <w:color w:val="000000"/>
                <w:kern w:val="0"/>
                <w:sz w:val="21"/>
                <w:szCs w:val="21"/>
              </w:rPr>
            </w:pPr>
          </w:p>
        </w:tc>
      </w:tr>
      <w:tr>
        <w:tblPrEx>
          <w:tblCellMar>
            <w:top w:w="0" w:type="dxa"/>
            <w:left w:w="0" w:type="dxa"/>
            <w:bottom w:w="0" w:type="dxa"/>
            <w:right w:w="0" w:type="dxa"/>
          </w:tblCellMar>
        </w:tblPrEx>
        <w:trPr>
          <w:trHeight w:val="193" w:hRule="atLeast"/>
        </w:trPr>
        <w:tc>
          <w:tcPr>
            <w:tcW w:w="693"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hint="eastAsia" w:eastAsia="仿宋_GB2312" w:cs="Times New Roman"/>
                <w:color w:val="000000"/>
                <w:kern w:val="0"/>
                <w:sz w:val="21"/>
              </w:rPr>
              <w:t>2.63</w:t>
            </w:r>
          </w:p>
        </w:tc>
        <w:tc>
          <w:tcPr>
            <w:tcW w:w="585"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10.54</w:t>
            </w:r>
          </w:p>
        </w:tc>
        <w:tc>
          <w:tcPr>
            <w:tcW w:w="568"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7.16</w:t>
            </w:r>
          </w:p>
        </w:tc>
        <w:tc>
          <w:tcPr>
            <w:tcW w:w="674"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20.81</w:t>
            </w:r>
          </w:p>
        </w:tc>
        <w:tc>
          <w:tcPr>
            <w:tcW w:w="757"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hint="eastAsia" w:eastAsia="仿宋_GB2312" w:cs="Times New Roman"/>
                <w:color w:val="000000"/>
                <w:kern w:val="0"/>
                <w:sz w:val="21"/>
              </w:rPr>
              <w:t>1.32</w:t>
            </w:r>
          </w:p>
        </w:tc>
        <w:tc>
          <w:tcPr>
            <w:tcW w:w="673"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29.63</w:t>
            </w:r>
          </w:p>
        </w:tc>
        <w:tc>
          <w:tcPr>
            <w:tcW w:w="1050" w:type="pct"/>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ind w:firstLine="0" w:firstLineChars="0"/>
              <w:jc w:val="center"/>
              <w:rPr>
                <w:rFonts w:eastAsia="仿宋_GB2312" w:cs="Times New Roman"/>
                <w:color w:val="000000"/>
                <w:kern w:val="0"/>
                <w:sz w:val="21"/>
              </w:rPr>
            </w:pPr>
            <w:r>
              <w:rPr>
                <w:rFonts w:eastAsia="仿宋_GB2312" w:cs="Times New Roman"/>
                <w:color w:val="000000"/>
                <w:kern w:val="0"/>
                <w:sz w:val="21"/>
              </w:rPr>
              <w:t>8.82</w:t>
            </w:r>
          </w:p>
        </w:tc>
      </w:tr>
    </w:tbl>
    <w:p>
      <w:pPr>
        <w:pStyle w:val="106"/>
        <w:numPr>
          <w:ilvl w:val="1"/>
          <w:numId w:val="33"/>
        </w:numPr>
        <w:adjustRightInd w:val="0"/>
        <w:snapToGrid w:val="0"/>
        <w:spacing w:before="156" w:beforeLines="50"/>
        <w:ind w:left="0" w:firstLine="560"/>
        <w:rPr>
          <w:rFonts w:eastAsia="仿宋_GB2312" w:cs="Times New Roman"/>
        </w:rPr>
      </w:pPr>
      <w:r>
        <w:rPr>
          <w:rFonts w:eastAsia="仿宋_GB2312" w:cs="Times New Roman"/>
        </w:rPr>
        <w:t>带动新能源汽车发展，推动当地经济</w:t>
      </w:r>
    </w:p>
    <w:p>
      <w:pPr>
        <w:adjustRightInd w:val="0"/>
        <w:snapToGrid w:val="0"/>
        <w:ind w:firstLine="560"/>
        <w:rPr>
          <w:rFonts w:eastAsia="仿宋_GB2312" w:cs="Times New Roman"/>
        </w:rPr>
      </w:pPr>
      <w:r>
        <w:rPr>
          <w:rFonts w:eastAsia="仿宋_GB2312" w:cs="Times New Roman"/>
        </w:rPr>
        <w:t>随着大量充电设施的投入，居民对于新能源汽车购买欲逐渐提高，提高了新能源汽车销量，带动新能源汽车整车及上下游产业链（包括电池、电机、电控，汽车服务等）的发展，推动当地经济，使新能源汽车成为推动经济发展的支柱产业。</w:t>
      </w:r>
    </w:p>
    <w:p>
      <w:pPr>
        <w:pStyle w:val="106"/>
        <w:numPr>
          <w:ilvl w:val="1"/>
          <w:numId w:val="33"/>
        </w:numPr>
        <w:adjustRightInd w:val="0"/>
        <w:snapToGrid w:val="0"/>
        <w:ind w:left="0" w:firstLine="560"/>
        <w:rPr>
          <w:rFonts w:eastAsia="仿宋_GB2312" w:cs="Times New Roman"/>
        </w:rPr>
      </w:pPr>
      <w:r>
        <w:rPr>
          <w:rFonts w:eastAsia="仿宋_GB2312" w:cs="Times New Roman"/>
        </w:rPr>
        <w:t>减少石油消耗，提高国家能源安全</w:t>
      </w:r>
    </w:p>
    <w:p>
      <w:pPr>
        <w:adjustRightInd w:val="0"/>
        <w:snapToGrid w:val="0"/>
        <w:ind w:firstLine="560"/>
        <w:rPr>
          <w:rFonts w:eastAsia="仿宋_GB2312" w:cs="Times New Roman"/>
        </w:rPr>
      </w:pPr>
      <w:r>
        <w:rPr>
          <w:rFonts w:eastAsia="仿宋_GB2312" w:cs="Times New Roman"/>
        </w:rPr>
        <w:t>中国石油进口依存度已达70.9%，能源安全隐患较大，而车用石油消耗占比42%。除能源安全以外，因化石燃料消耗带来的环境、气候等多方面影响也在逐年增大。充电基础设施建设促进了新能源汽车的发展，提高了燃料经济性，将有效降低汽车石油消费，减少石油消耗。</w:t>
      </w:r>
    </w:p>
    <w:p>
      <w:pPr>
        <w:pStyle w:val="2"/>
        <w:rPr>
          <w:rFonts w:eastAsia="仿宋_GB2312" w:cs="Times New Roman"/>
        </w:rPr>
      </w:pPr>
      <w:bookmarkStart w:id="326" w:name="_Toc117243270"/>
      <w:r>
        <w:rPr>
          <w:rFonts w:eastAsia="仿宋_GB2312" w:cs="Times New Roman"/>
        </w:rPr>
        <w:t>结论及建议</w:t>
      </w:r>
      <w:bookmarkEnd w:id="326"/>
    </w:p>
    <w:p>
      <w:pPr>
        <w:pStyle w:val="3"/>
        <w:adjustRightInd w:val="0"/>
        <w:rPr>
          <w:rFonts w:eastAsia="仿宋_GB2312" w:cs="Times New Roman"/>
        </w:rPr>
      </w:pPr>
      <w:bookmarkStart w:id="327" w:name="_Toc117243271"/>
      <w:r>
        <w:rPr>
          <w:rFonts w:eastAsia="仿宋_GB2312" w:cs="Times New Roman"/>
        </w:rPr>
        <w:t>结论</w:t>
      </w:r>
      <w:bookmarkEnd w:id="327"/>
    </w:p>
    <w:p>
      <w:pPr>
        <w:pStyle w:val="581"/>
        <w:ind w:firstLine="562"/>
        <w:rPr>
          <w:rFonts w:eastAsia="仿宋_GB2312"/>
          <w:b/>
          <w:bCs/>
        </w:rPr>
      </w:pPr>
      <w:r>
        <w:rPr>
          <w:rFonts w:hint="eastAsia" w:eastAsia="仿宋_GB2312"/>
          <w:b/>
          <w:bCs/>
        </w:rPr>
        <w:t>1.</w:t>
      </w:r>
      <w:r>
        <w:rPr>
          <w:rFonts w:eastAsia="仿宋_GB2312"/>
          <w:b/>
          <w:bCs/>
        </w:rPr>
        <w:t xml:space="preserve"> 新能源汽车及充换电设施预测情况</w:t>
      </w:r>
    </w:p>
    <w:p>
      <w:pPr>
        <w:pStyle w:val="583"/>
        <w:ind w:firstLine="560"/>
        <w:rPr>
          <w:rFonts w:eastAsia="仿宋_GB2312"/>
        </w:rPr>
      </w:pPr>
      <w:r>
        <w:rPr>
          <w:rFonts w:eastAsia="仿宋_GB2312"/>
        </w:rPr>
        <w:t>经预测， 2025年咸宁市汽车保有量达429254辆，其中新能源汽车30146辆，新能源汽车占比7.02%；至2030年汽车保有量达559747辆，其中新能源汽车101805辆，新能源汽车占比18.19%。</w:t>
      </w:r>
    </w:p>
    <w:p>
      <w:pPr>
        <w:pStyle w:val="583"/>
        <w:ind w:firstLine="560"/>
        <w:rPr>
          <w:rFonts w:eastAsia="仿宋_GB2312"/>
        </w:rPr>
      </w:pPr>
      <w:r>
        <w:rPr>
          <w:rFonts w:eastAsia="仿宋_GB2312"/>
        </w:rPr>
        <w:t>经预测，至2025年，共需配置各类新能源汽车充电桩8174个；至2030年，共需配置各类新能源汽车充电桩总计约26876个。</w:t>
      </w:r>
    </w:p>
    <w:p>
      <w:pPr>
        <w:pStyle w:val="581"/>
        <w:ind w:firstLine="562"/>
        <w:rPr>
          <w:rFonts w:eastAsia="仿宋_GB2312"/>
          <w:b/>
          <w:bCs/>
        </w:rPr>
      </w:pPr>
      <w:r>
        <w:rPr>
          <w:rFonts w:hint="eastAsia" w:eastAsia="仿宋_GB2312"/>
          <w:b/>
          <w:bCs/>
        </w:rPr>
        <w:t>2.</w:t>
      </w:r>
      <w:r>
        <w:rPr>
          <w:rFonts w:eastAsia="仿宋_GB2312"/>
          <w:b/>
          <w:bCs/>
        </w:rPr>
        <w:t xml:space="preserve"> 新能源汽车充换电设施规划情况</w:t>
      </w:r>
    </w:p>
    <w:p>
      <w:pPr>
        <w:adjustRightInd w:val="0"/>
        <w:snapToGrid w:val="0"/>
        <w:ind w:firstLine="560"/>
        <w:rPr>
          <w:rFonts w:eastAsia="仿宋_GB2312" w:cs="Times New Roman"/>
        </w:rPr>
      </w:pPr>
      <w:r>
        <w:rPr>
          <w:rFonts w:eastAsia="仿宋_GB2312" w:cs="Times New Roman"/>
          <w:color w:val="000000" w:themeColor="text1"/>
          <w14:textFill>
            <w14:solidFill>
              <w14:schemeClr w14:val="tx1"/>
            </w14:solidFill>
          </w14:textFill>
        </w:rPr>
        <w:t>综合各类充换电设施规划方案，</w:t>
      </w:r>
      <w:r>
        <w:rPr>
          <w:rFonts w:eastAsia="仿宋_GB2312" w:cs="Times New Roman"/>
        </w:rPr>
        <w:t xml:space="preserve"> “十四五”期间，共规划新建外部公共充电站197座，1768个直流充电桩；物流充电站17座，充电桩258个；环卫充电站9座，充电桩138个；公交充电站2座，充电桩30个；公务充电站69座，充电桩440个；高速充电站15座，充电桩104个；小区公共充电桩1303个，小区自用充电桩5212个。充电桩共计9253个。</w:t>
      </w:r>
    </w:p>
    <w:p>
      <w:pPr>
        <w:adjustRightInd w:val="0"/>
        <w:snapToGrid w:val="0"/>
        <w:ind w:firstLine="560"/>
        <w:rPr>
          <w:rFonts w:eastAsia="仿宋_GB2312" w:cs="Times New Roman"/>
        </w:rPr>
      </w:pPr>
      <w:r>
        <w:rPr>
          <w:rFonts w:eastAsia="仿宋_GB2312" w:cs="Times New Roman"/>
        </w:rPr>
        <w:t>“十四五”期间，每个乡镇均有公共充电站布点，通过规划评估，总体规模方面，均满足桩车比和服务半径约为“1、3、5”要求且略有超前，达到重点乡镇均有布点实现全覆盖的目标。</w:t>
      </w:r>
    </w:p>
    <w:p>
      <w:pPr>
        <w:pStyle w:val="581"/>
        <w:ind w:firstLine="562"/>
        <w:rPr>
          <w:rFonts w:eastAsia="仿宋_GB2312"/>
          <w:b/>
          <w:bCs/>
        </w:rPr>
      </w:pPr>
      <w:r>
        <w:rPr>
          <w:rFonts w:hint="eastAsia" w:eastAsia="仿宋_GB2312"/>
          <w:b/>
          <w:bCs/>
        </w:rPr>
        <w:t>3.</w:t>
      </w:r>
      <w:r>
        <w:rPr>
          <w:rFonts w:eastAsia="仿宋_GB2312"/>
          <w:b/>
          <w:bCs/>
        </w:rPr>
        <w:t xml:space="preserve"> 新能源汽车充换电设施供电需求情况</w:t>
      </w:r>
    </w:p>
    <w:p>
      <w:pPr>
        <w:pStyle w:val="583"/>
        <w:ind w:firstLine="560"/>
        <w:rPr>
          <w:rFonts w:eastAsia="仿宋_GB2312"/>
          <w:color w:val="000000" w:themeColor="text1"/>
          <w14:textFill>
            <w14:solidFill>
              <w14:schemeClr w14:val="tx1"/>
            </w14:solidFill>
          </w14:textFill>
        </w:rPr>
      </w:pPr>
      <w:r>
        <w:rPr>
          <w:rFonts w:eastAsia="仿宋_GB2312"/>
          <w:color w:val="000000" w:themeColor="text1"/>
          <w14:textFill>
            <w14:solidFill>
              <w14:schemeClr w14:val="tx1"/>
            </w14:solidFill>
          </w14:textFill>
        </w:rPr>
        <w:t xml:space="preserve">至2025年， </w:t>
      </w:r>
      <w:r>
        <w:rPr>
          <w:rFonts w:eastAsia="仿宋_GB2312"/>
        </w:rPr>
        <w:t>公交、物流、环卫、公务专用充电设施供电需求总容量为59.86MVA；公共及高速服务区充电设施的供电需求总容量为219.47MVA，小区自用充电设施的供电需求总容量为42.03MVA，十四五期间规划建设充电设施供电需求总容量为321.36MVA。</w:t>
      </w:r>
    </w:p>
    <w:p>
      <w:pPr>
        <w:pStyle w:val="583"/>
        <w:ind w:firstLine="560"/>
        <w:rPr>
          <w:rFonts w:eastAsia="仿宋_GB2312"/>
        </w:rPr>
      </w:pPr>
    </w:p>
    <w:p>
      <w:pPr>
        <w:pStyle w:val="3"/>
        <w:adjustRightInd w:val="0"/>
        <w:rPr>
          <w:rFonts w:eastAsia="仿宋_GB2312" w:cs="Times New Roman"/>
        </w:rPr>
      </w:pPr>
      <w:bookmarkStart w:id="328" w:name="_Toc117243272"/>
      <w:r>
        <w:rPr>
          <w:rFonts w:eastAsia="仿宋_GB2312" w:cs="Times New Roman"/>
        </w:rPr>
        <w:t>建议</w:t>
      </w:r>
      <w:bookmarkEnd w:id="328"/>
    </w:p>
    <w:p>
      <w:pPr>
        <w:adjustRightInd w:val="0"/>
        <w:snapToGrid w:val="0"/>
        <w:ind w:firstLine="562"/>
        <w:rPr>
          <w:rFonts w:eastAsia="仿宋_GB2312" w:cs="Times New Roman"/>
          <w:b/>
          <w:bCs/>
        </w:rPr>
      </w:pPr>
      <w:r>
        <w:rPr>
          <w:rFonts w:eastAsia="仿宋_GB2312" w:cs="Times New Roman"/>
          <w:b/>
          <w:bCs/>
        </w:rPr>
        <w:t>1.简化规划建设审批</w:t>
      </w:r>
    </w:p>
    <w:p>
      <w:pPr>
        <w:adjustRightInd w:val="0"/>
        <w:snapToGrid w:val="0"/>
        <w:ind w:firstLine="560"/>
        <w:rPr>
          <w:rFonts w:eastAsia="仿宋_GB2312" w:cs="Times New Roman"/>
        </w:rPr>
      </w:pPr>
      <w:r>
        <w:rPr>
          <w:rFonts w:eastAsia="仿宋_GB2312" w:cs="Times New Roman"/>
        </w:rPr>
        <w:t>按照简政放权、放管结合、优化服务的要求，</w:t>
      </w:r>
      <w:r>
        <w:rPr>
          <w:rFonts w:hint="eastAsia" w:eastAsia="仿宋_GB2312" w:cs="Times New Roman"/>
        </w:rPr>
        <w:t>优化</w:t>
      </w:r>
      <w:r>
        <w:rPr>
          <w:rFonts w:eastAsia="仿宋_GB2312" w:cs="Times New Roman"/>
        </w:rPr>
        <w:t>充电基础设施规划建设审批环节，加快办理速度。个人在自有停车库、停车位，各居住区、单位在既有停车位安装充电设施的，</w:t>
      </w:r>
      <w:r>
        <w:rPr>
          <w:rFonts w:hint="eastAsia" w:eastAsia="仿宋_GB2312" w:cs="Times New Roman"/>
        </w:rPr>
        <w:t>建议</w:t>
      </w:r>
      <w:r>
        <w:rPr>
          <w:rFonts w:eastAsia="仿宋_GB2312" w:cs="Times New Roman"/>
        </w:rPr>
        <w:t>无需办理建设用地规划许可证、建设工程规划许可证和施工许可证。建设城市公共停车场时，</w:t>
      </w:r>
      <w:r>
        <w:rPr>
          <w:rFonts w:hint="eastAsia" w:eastAsia="仿宋_GB2312" w:cs="Times New Roman"/>
        </w:rPr>
        <w:t>建议</w:t>
      </w:r>
      <w:r>
        <w:rPr>
          <w:rFonts w:eastAsia="仿宋_GB2312" w:cs="Times New Roman"/>
        </w:rPr>
        <w:t>无需为同步建设充电桩群等充电基础设施单独办理建设工程规划许可证和施工许可证。</w:t>
      </w:r>
    </w:p>
    <w:p>
      <w:pPr>
        <w:adjustRightInd w:val="0"/>
        <w:snapToGrid w:val="0"/>
        <w:ind w:firstLine="562"/>
        <w:rPr>
          <w:rFonts w:eastAsia="仿宋_GB2312" w:cs="Times New Roman"/>
          <w:b/>
          <w:bCs/>
        </w:rPr>
      </w:pPr>
      <w:r>
        <w:rPr>
          <w:rFonts w:eastAsia="仿宋_GB2312" w:cs="Times New Roman"/>
          <w:b/>
          <w:bCs/>
        </w:rPr>
        <w:t>2.完善财政价格政策</w:t>
      </w:r>
    </w:p>
    <w:p>
      <w:pPr>
        <w:adjustRightInd w:val="0"/>
        <w:snapToGrid w:val="0"/>
        <w:ind w:firstLine="560"/>
        <w:rPr>
          <w:rFonts w:eastAsia="仿宋_GB2312" w:cs="Times New Roman"/>
          <w:b/>
          <w:bCs/>
        </w:rPr>
      </w:pPr>
      <w:r>
        <w:rPr>
          <w:rFonts w:eastAsia="仿宋_GB2312" w:cs="Times New Roman"/>
        </w:rPr>
        <w:t>加大对</w:t>
      </w:r>
      <w:r>
        <w:rPr>
          <w:rFonts w:hint="eastAsia" w:eastAsia="仿宋_GB2312" w:cs="Times New Roman"/>
        </w:rPr>
        <w:t>新能源汽车购买及</w:t>
      </w:r>
      <w:r>
        <w:rPr>
          <w:rFonts w:eastAsia="仿宋_GB2312" w:cs="Times New Roman"/>
        </w:rPr>
        <w:t>充电基础设施</w:t>
      </w:r>
      <w:r>
        <w:rPr>
          <w:rFonts w:hint="eastAsia" w:eastAsia="仿宋_GB2312" w:cs="Times New Roman"/>
        </w:rPr>
        <w:t>建设</w:t>
      </w:r>
      <w:r>
        <w:rPr>
          <w:rFonts w:eastAsia="仿宋_GB2312" w:cs="Times New Roman"/>
        </w:rPr>
        <w:t>的补贴力度，加快制定“十四五”期间充电基础设施建设财政奖励办法，督促各地尽快制定有关支持政策并向社会公布，给予市场稳定的政策预期。对向电网经营企业直接报装接电的经营性集中式充换电设施用电，</w:t>
      </w:r>
      <w:r>
        <w:rPr>
          <w:rFonts w:hint="eastAsia" w:eastAsia="仿宋_GB2312" w:cs="Times New Roman"/>
        </w:rPr>
        <w:t>建议</w:t>
      </w:r>
      <w:r>
        <w:rPr>
          <w:rFonts w:eastAsia="仿宋_GB2312" w:cs="Times New Roman"/>
        </w:rPr>
        <w:t>执行大工业用电价格，2025年前暂免收取基本电费；其他充电设施按其所在场所执行分类目录电价。允许充电服务企业向用户收取电费及服务费。</w:t>
      </w:r>
    </w:p>
    <w:p>
      <w:pPr>
        <w:adjustRightInd w:val="0"/>
        <w:snapToGrid w:val="0"/>
        <w:ind w:firstLine="562"/>
        <w:rPr>
          <w:rFonts w:eastAsia="仿宋_GB2312" w:cs="Times New Roman"/>
          <w:b/>
          <w:bCs/>
        </w:rPr>
      </w:pPr>
      <w:r>
        <w:rPr>
          <w:rFonts w:eastAsia="仿宋_GB2312" w:cs="Times New Roman"/>
          <w:b/>
          <w:bCs/>
        </w:rPr>
        <w:t>3.加大用地支持力度</w:t>
      </w:r>
    </w:p>
    <w:p>
      <w:pPr>
        <w:adjustRightInd w:val="0"/>
        <w:snapToGrid w:val="0"/>
        <w:ind w:firstLine="560"/>
        <w:rPr>
          <w:rFonts w:eastAsia="仿宋_GB2312" w:cs="Times New Roman"/>
        </w:rPr>
      </w:pPr>
      <w:r>
        <w:rPr>
          <w:rFonts w:eastAsia="仿宋_GB2312" w:cs="Times New Roman"/>
        </w:rPr>
        <w:t>将独立占地的集中式充换电站用地纳入公用设施营业网点用地范围，按照加油加气站用地供应模式，根据可供应国有建设用地情况，优先安排土地供应。供应新建项目用地需配建充电基础设施的，可将配建要求纳入土地供应条件，允许土地使用权取得人与其他市场主体合作，按要求投资建设运营充电基础设施。鼓励在已有各类建筑物配建停车场、公交场站、社会公共停车场、高速公路服务区等场所配建充电基础设施，地方政府应协调有关单位在用地方面予以支持。</w:t>
      </w:r>
    </w:p>
    <w:p>
      <w:pPr>
        <w:adjustRightInd w:val="0"/>
        <w:snapToGrid w:val="0"/>
        <w:ind w:firstLine="562"/>
        <w:rPr>
          <w:rFonts w:eastAsia="仿宋_GB2312" w:cs="Times New Roman"/>
          <w:b/>
          <w:bCs/>
        </w:rPr>
      </w:pPr>
      <w:r>
        <w:rPr>
          <w:rFonts w:hint="eastAsia" w:eastAsia="仿宋_GB2312" w:cs="Times New Roman"/>
          <w:b/>
          <w:bCs/>
        </w:rPr>
        <w:t>4</w:t>
      </w:r>
      <w:r>
        <w:rPr>
          <w:rFonts w:eastAsia="仿宋_GB2312" w:cs="Times New Roman"/>
          <w:b/>
          <w:bCs/>
        </w:rPr>
        <w:t>.加强电力保障</w:t>
      </w:r>
    </w:p>
    <w:p>
      <w:pPr>
        <w:adjustRightInd w:val="0"/>
        <w:snapToGrid w:val="0"/>
        <w:ind w:firstLine="560"/>
        <w:rPr>
          <w:rFonts w:eastAsia="仿宋_GB2312" w:cs="Times New Roman"/>
        </w:rPr>
      </w:pPr>
      <w:r>
        <w:rPr>
          <w:rFonts w:eastAsia="仿宋_GB2312" w:cs="Times New Roman"/>
        </w:rPr>
        <w:t>电网企业应加强充换电基础设施配套电网建设与改造，保障充电基础设施无障碍接入，确保电力供应的 “畅通无阻 ”，满足充换电设施运营需求。开辟绿色通道，优化流程，简化手续，提高效率，限时办结，为充换电基础设施接入电网提供便利条件。</w:t>
      </w:r>
    </w:p>
    <w:p>
      <w:pPr>
        <w:adjustRightInd w:val="0"/>
        <w:snapToGrid w:val="0"/>
        <w:ind w:firstLine="562"/>
        <w:rPr>
          <w:rFonts w:eastAsia="仿宋_GB2312" w:cs="Times New Roman"/>
          <w:b/>
          <w:bCs/>
        </w:rPr>
      </w:pPr>
      <w:r>
        <w:rPr>
          <w:rFonts w:hint="eastAsia" w:eastAsia="仿宋_GB2312" w:cs="Times New Roman"/>
          <w:b/>
          <w:bCs/>
        </w:rPr>
        <w:t>5</w:t>
      </w:r>
      <w:r>
        <w:rPr>
          <w:rFonts w:eastAsia="仿宋_GB2312" w:cs="Times New Roman"/>
          <w:b/>
          <w:bCs/>
        </w:rPr>
        <w:t>.加强市场化经营</w:t>
      </w:r>
    </w:p>
    <w:p>
      <w:pPr>
        <w:adjustRightInd w:val="0"/>
        <w:snapToGrid w:val="0"/>
        <w:ind w:firstLine="560"/>
        <w:rPr>
          <w:rFonts w:eastAsia="仿宋_GB2312" w:cs="Times New Roman"/>
        </w:rPr>
      </w:pPr>
      <w:r>
        <w:rPr>
          <w:rFonts w:eastAsia="仿宋_GB2312" w:cs="Times New Roman"/>
        </w:rPr>
        <w:t>提升公共充电设施服务效率</w:t>
      </w:r>
      <w:r>
        <w:rPr>
          <w:rFonts w:hint="eastAsia" w:eastAsia="仿宋_GB2312" w:cs="Times New Roman"/>
        </w:rPr>
        <w:t>，</w:t>
      </w:r>
      <w:r>
        <w:rPr>
          <w:rFonts w:eastAsia="仿宋_GB2312" w:cs="Times New Roman"/>
        </w:rPr>
        <w:t>以客户为中心、服务为导向，建立充电设施运营绩效评价体系，评价结果与充电设施利用率、充电市场占比、客户满意率等指标挂钩</w:t>
      </w:r>
      <w:r>
        <w:rPr>
          <w:rFonts w:hint="eastAsia" w:eastAsia="仿宋_GB2312" w:cs="Times New Roman"/>
        </w:rPr>
        <w:t>。</w:t>
      </w:r>
      <w:r>
        <w:rPr>
          <w:rFonts w:eastAsia="仿宋_GB2312" w:cs="Times New Roman"/>
        </w:rPr>
        <w:t>优化公共充电设施布局，研究与停车资源方等市场化主体合作模式，加强热点区域充电设施建设运营，提升投资精准性</w:t>
      </w:r>
      <w:r>
        <w:rPr>
          <w:rFonts w:hint="eastAsia" w:eastAsia="仿宋_GB2312" w:cs="Times New Roman"/>
        </w:rPr>
        <w:t>。</w:t>
      </w:r>
      <w:r>
        <w:rPr>
          <w:rFonts w:eastAsia="仿宋_GB2312" w:cs="Times New Roman"/>
        </w:rPr>
        <w:t xml:space="preserve">落实充电服务价格市场化调整机制，实施优惠引流，试点开展充电设施对外租赁运营，大力提升充电桩利用率。 </w:t>
      </w:r>
    </w:p>
    <w:p>
      <w:pPr>
        <w:adjustRightInd w:val="0"/>
        <w:snapToGrid w:val="0"/>
        <w:ind w:firstLine="562"/>
        <w:rPr>
          <w:rFonts w:eastAsia="仿宋_GB2312" w:cs="Times New Roman"/>
          <w:b/>
          <w:bCs/>
        </w:rPr>
      </w:pPr>
      <w:r>
        <w:rPr>
          <w:rFonts w:hint="eastAsia" w:eastAsia="仿宋_GB2312" w:cs="Times New Roman"/>
          <w:b/>
          <w:bCs/>
        </w:rPr>
        <w:t>6</w:t>
      </w:r>
      <w:r>
        <w:rPr>
          <w:rFonts w:eastAsia="仿宋_GB2312" w:cs="Times New Roman"/>
          <w:b/>
          <w:bCs/>
        </w:rPr>
        <w:t>.探索新的充电模式，加强统一管理</w:t>
      </w:r>
    </w:p>
    <w:p>
      <w:pPr>
        <w:adjustRightInd w:val="0"/>
        <w:snapToGrid w:val="0"/>
        <w:ind w:firstLine="560"/>
        <w:rPr>
          <w:rFonts w:eastAsia="仿宋_GB2312" w:cs="Times New Roman"/>
        </w:rPr>
      </w:pPr>
      <w:r>
        <w:rPr>
          <w:rFonts w:hint="eastAsia" w:eastAsia="仿宋_GB2312" w:cs="Times New Roman"/>
        </w:rPr>
        <w:t>严格执行新建住宅小区配套充电设施验收标准，促进小区自用桩配套消防设施按照相关法律法规要求建设，为自用桩建设安装提供必要条件。新能源私家车充电从公用桩为主逐步向自用桩为主转变，构建科学合理的充电网络。</w:t>
      </w:r>
    </w:p>
    <w:p>
      <w:pPr>
        <w:adjustRightInd w:val="0"/>
        <w:snapToGrid w:val="0"/>
        <w:ind w:firstLine="560"/>
        <w:rPr>
          <w:rFonts w:eastAsia="仿宋_GB2312" w:cs="Times New Roman"/>
        </w:rPr>
      </w:pPr>
      <w:r>
        <w:rPr>
          <w:rFonts w:eastAsia="仿宋_GB2312" w:cs="Times New Roman"/>
        </w:rPr>
        <w:t>鼓励居民区私人充电桩共享模式，推动私人充电桩智能化改造，提升私人充电桩的资源利用效率，提高居民区充电桩的整体充电服务能力。鼓励储充一体的充电桩模式解决存量及新建小区建桩难、充电难等问题。</w:t>
      </w:r>
    </w:p>
    <w:p>
      <w:pPr>
        <w:adjustRightInd w:val="0"/>
        <w:snapToGrid w:val="0"/>
        <w:ind w:firstLine="560"/>
        <w:rPr>
          <w:rFonts w:eastAsia="仿宋_GB2312" w:cs="Times New Roman"/>
        </w:rPr>
      </w:pPr>
      <w:r>
        <w:rPr>
          <w:rFonts w:eastAsia="仿宋_GB2312" w:cs="Times New Roman"/>
        </w:rPr>
        <w:t>加快智慧车联网平台及V2G、智能有序等新技术应用。发挥平台接入优势，汇聚第三方运营商充电桩，积极引导居民充电桩统一接入车联网平台，统一管理并对外开放共享，充分利用国网智慧车联网平台负荷聚合运营系统实现电动汽车柔性负荷参与电网互动，达到削峰填谷的目标，发挥出电动汽车电力“海绵”作用。</w:t>
      </w:r>
    </w:p>
    <w:p>
      <w:pPr>
        <w:adjustRightInd w:val="0"/>
        <w:snapToGrid w:val="0"/>
        <w:ind w:firstLine="0" w:firstLineChars="0"/>
        <w:rPr>
          <w:rFonts w:eastAsia="仿宋_GB2312" w:cs="Times New Roman"/>
        </w:rPr>
      </w:pPr>
    </w:p>
    <w:p>
      <w:pPr>
        <w:adjustRightInd w:val="0"/>
        <w:snapToGrid w:val="0"/>
        <w:ind w:firstLine="0" w:firstLineChars="0"/>
        <w:rPr>
          <w:rFonts w:eastAsia="仿宋_GB2312" w:cs="Times New Roman"/>
        </w:rPr>
        <w:sectPr>
          <w:footerReference r:id="rId16" w:type="default"/>
          <w:pgSz w:w="11906" w:h="16838"/>
          <w:pgMar w:top="1440" w:right="1800" w:bottom="1440" w:left="1800" w:header="851" w:footer="992" w:gutter="0"/>
          <w:cols w:space="425" w:num="1"/>
          <w:docGrid w:type="lines" w:linePitch="312" w:charSpace="0"/>
        </w:sectPr>
      </w:pPr>
    </w:p>
    <w:p>
      <w:pPr>
        <w:pStyle w:val="2"/>
        <w:numPr>
          <w:ilvl w:val="0"/>
          <w:numId w:val="0"/>
        </w:numPr>
        <w:jc w:val="both"/>
        <w:rPr>
          <w:rFonts w:eastAsia="仿宋_GB2312" w:cs="Times New Roman"/>
          <w:sz w:val="36"/>
          <w:szCs w:val="36"/>
        </w:rPr>
      </w:pPr>
      <w:bookmarkStart w:id="329" w:name="_Toc117243273"/>
      <w:r>
        <w:rPr>
          <w:rFonts w:eastAsia="仿宋_GB2312" w:cs="Times New Roman"/>
          <w:sz w:val="36"/>
          <w:szCs w:val="36"/>
        </w:rPr>
        <w:t>附图 咸宁市新能源汽车充电设施布局图</w:t>
      </w:r>
      <w:bookmarkEnd w:id="329"/>
    </w:p>
    <w:p>
      <w:pPr>
        <w:pStyle w:val="3"/>
        <w:numPr>
          <w:ilvl w:val="0"/>
          <w:numId w:val="0"/>
        </w:numPr>
        <w:adjustRightInd w:val="0"/>
        <w:rPr>
          <w:rFonts w:eastAsia="仿宋_GB2312" w:cs="Times New Roman"/>
        </w:rPr>
      </w:pPr>
      <w:bookmarkStart w:id="330" w:name="_Toc117243274"/>
      <w:r>
        <w:rPr>
          <w:rFonts w:eastAsia="仿宋_GB2312" w:cs="Times New Roman"/>
        </w:rPr>
        <w:t>1.咸宁市2025年高速充电站布局图</w:t>
      </w:r>
      <w:bookmarkEnd w:id="330"/>
    </w:p>
    <w:p>
      <w:pPr>
        <w:pStyle w:val="3"/>
        <w:numPr>
          <w:ilvl w:val="0"/>
          <w:numId w:val="0"/>
        </w:numPr>
        <w:adjustRightInd w:val="0"/>
        <w:rPr>
          <w:rFonts w:eastAsia="仿宋_GB2312" w:cs="Times New Roman"/>
        </w:rPr>
      </w:pPr>
      <w:bookmarkStart w:id="331" w:name="_Toc117243275"/>
      <w:r>
        <w:rPr>
          <w:rFonts w:eastAsia="仿宋_GB2312" w:cs="Times New Roman"/>
        </w:rPr>
        <w:t>2.咸宁市2025年公共充电站布局图</w:t>
      </w:r>
      <w:bookmarkEnd w:id="331"/>
    </w:p>
    <w:p>
      <w:pPr>
        <w:pStyle w:val="3"/>
        <w:numPr>
          <w:ilvl w:val="0"/>
          <w:numId w:val="0"/>
        </w:numPr>
        <w:adjustRightInd w:val="0"/>
        <w:rPr>
          <w:rFonts w:eastAsia="仿宋_GB2312" w:cs="Times New Roman"/>
        </w:rPr>
      </w:pPr>
      <w:bookmarkStart w:id="332" w:name="_Toc117243276"/>
      <w:r>
        <w:rPr>
          <w:rFonts w:eastAsia="仿宋_GB2312" w:cs="Times New Roman"/>
        </w:rPr>
        <w:t>3.咸宁市2025年物流充电站布局图</w:t>
      </w:r>
      <w:bookmarkEnd w:id="332"/>
    </w:p>
    <w:p>
      <w:pPr>
        <w:pStyle w:val="3"/>
        <w:numPr>
          <w:ilvl w:val="0"/>
          <w:numId w:val="0"/>
        </w:numPr>
        <w:adjustRightInd w:val="0"/>
        <w:rPr>
          <w:rFonts w:eastAsia="仿宋_GB2312" w:cs="Times New Roman"/>
        </w:rPr>
      </w:pPr>
      <w:bookmarkStart w:id="333" w:name="_Toc117243277"/>
      <w:r>
        <w:rPr>
          <w:rFonts w:eastAsia="仿宋_GB2312" w:cs="Times New Roman"/>
        </w:rPr>
        <w:t>4.咸宁市2025年环卫充电站布局图</w:t>
      </w:r>
      <w:bookmarkEnd w:id="333"/>
    </w:p>
    <w:p>
      <w:pPr>
        <w:pStyle w:val="3"/>
        <w:numPr>
          <w:ilvl w:val="0"/>
          <w:numId w:val="0"/>
        </w:numPr>
        <w:adjustRightInd w:val="0"/>
        <w:rPr>
          <w:rFonts w:eastAsia="仿宋_GB2312" w:cs="Times New Roman"/>
        </w:rPr>
      </w:pPr>
      <w:bookmarkStart w:id="334" w:name="_Toc117243278"/>
      <w:r>
        <w:rPr>
          <w:rFonts w:eastAsia="仿宋_GB2312" w:cs="Times New Roman"/>
        </w:rPr>
        <w:t>5.咸宁远景年物流充电站布局图</w:t>
      </w:r>
      <w:bookmarkEnd w:id="334"/>
    </w:p>
    <w:p>
      <w:pPr>
        <w:widowControl/>
        <w:adjustRightInd w:val="0"/>
        <w:snapToGrid w:val="0"/>
        <w:spacing w:line="240" w:lineRule="auto"/>
        <w:ind w:firstLine="0" w:firstLineChars="0"/>
        <w:jc w:val="left"/>
        <w:rPr>
          <w:rFonts w:eastAsia="仿宋_GB2312" w:cs="Times New Roman"/>
          <w:sz w:val="21"/>
          <w:szCs w:val="22"/>
        </w:rPr>
        <w:sectPr>
          <w:pgSz w:w="11906" w:h="16838"/>
          <w:pgMar w:top="1440" w:right="1800" w:bottom="1440" w:left="1800" w:header="851" w:footer="992" w:gutter="0"/>
          <w:cols w:space="425" w:num="1"/>
          <w:docGrid w:type="lines" w:linePitch="312" w:charSpace="0"/>
        </w:sectPr>
      </w:pPr>
    </w:p>
    <w:p>
      <w:pPr>
        <w:pStyle w:val="2"/>
        <w:numPr>
          <w:ilvl w:val="0"/>
          <w:numId w:val="0"/>
        </w:numPr>
        <w:jc w:val="both"/>
        <w:rPr>
          <w:rFonts w:eastAsia="仿宋_GB2312" w:cs="Times New Roman"/>
          <w:sz w:val="36"/>
          <w:szCs w:val="36"/>
        </w:rPr>
      </w:pPr>
      <w:bookmarkStart w:id="335" w:name="_Toc117243279"/>
      <w:r>
        <w:rPr>
          <w:rFonts w:eastAsia="仿宋_GB2312" w:cs="Times New Roman"/>
          <w:sz w:val="36"/>
          <w:szCs w:val="36"/>
        </w:rPr>
        <w:t>附表 咸宁市2025年充电设施布局项目表</w:t>
      </w:r>
      <w:bookmarkEnd w:id="335"/>
    </w:p>
    <w:p>
      <w:pPr>
        <w:adjustRightInd w:val="0"/>
        <w:snapToGrid w:val="0"/>
        <w:ind w:firstLine="198" w:firstLineChars="71"/>
        <w:rPr>
          <w:rFonts w:eastAsia="仿宋_GB2312" w:cs="Times New Roman"/>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等线 Light">
    <w:altName w:val="汉仪中宋简"/>
    <w:panose1 w:val="02010600030101010101"/>
    <w:charset w:val="86"/>
    <w:family w:val="auto"/>
    <w:pitch w:val="default"/>
    <w:sig w:usb0="00000000" w:usb1="00000000" w:usb2="00000016" w:usb3="00000000" w:csb0="0004000F" w:csb1="00000000"/>
  </w:font>
  <w:font w:name="华文细黑">
    <w:altName w:val="汉仪中等线简"/>
    <w:panose1 w:val="02010600040101010101"/>
    <w:charset w:val="86"/>
    <w:family w:val="auto"/>
    <w:pitch w:val="default"/>
    <w:sig w:usb0="00000000" w:usb1="00000000" w:usb2="00000010" w:usb3="00000000" w:csb0="0004009F" w:csb1="00000000"/>
  </w:font>
  <w:font w:name="等线">
    <w:altName w:val="汉仪中宋简"/>
    <w:panose1 w:val="02010600030101010101"/>
    <w:charset w:val="86"/>
    <w:family w:val="auto"/>
    <w:pitch w:val="default"/>
    <w:sig w:usb0="00000000" w:usb1="00000000" w:usb2="00000016" w:usb3="00000000" w:csb0="0004000F" w:csb1="00000000"/>
  </w:font>
  <w:font w:name="华文楷体">
    <w:altName w:val="方正楷体_GBK"/>
    <w:panose1 w:val="02010600040101010101"/>
    <w:charset w:val="86"/>
    <w:family w:val="auto"/>
    <w:pitch w:val="default"/>
    <w:sig w:usb0="00000000" w:usb1="00000000" w:usb2="00000010" w:usb3="00000000" w:csb0="0004009F" w:csb1="00000000"/>
  </w:font>
  <w:font w:name="楷体_GB2312">
    <w:altName w:val="楷体"/>
    <w:panose1 w:val="02010609030101010101"/>
    <w:charset w:val="86"/>
    <w:family w:val="modern"/>
    <w:pitch w:val="default"/>
    <w:sig w:usb0="00000000" w:usb1="00000000" w:usb2="00000000" w:usb3="00000000" w:csb0="00040000" w:csb1="00000000"/>
  </w:font>
  <w:font w:name="Cambria">
    <w:altName w:val="FreeSerif"/>
    <w:panose1 w:val="02040503050406030204"/>
    <w:charset w:val="00"/>
    <w:family w:val="roman"/>
    <w:pitch w:val="default"/>
    <w:sig w:usb0="00000000" w:usb1="00000000" w:usb2="02000000" w:usb3="00000000" w:csb0="0000019F" w:csb1="00000000"/>
  </w:font>
  <w:font w:name="楷体">
    <w:panose1 w:val="02010609060101010101"/>
    <w:charset w:val="86"/>
    <w:family w:val="modern"/>
    <w:pitch w:val="default"/>
    <w:sig w:usb0="800002BF" w:usb1="38CF7CFA" w:usb2="00000016" w:usb3="00000000" w:csb0="00040001" w:csb1="00000000"/>
  </w:font>
  <w:font w:name="Calibri Light">
    <w:altName w:val="DejaVu Sans"/>
    <w:panose1 w:val="020F0302020204030204"/>
    <w:charset w:val="00"/>
    <w:family w:val="swiss"/>
    <w:pitch w:val="default"/>
    <w:sig w:usb0="00000000" w:usb1="00000000" w:usb2="00000009" w:usb3="00000000" w:csb0="000001FF" w:csb1="00000000"/>
  </w:font>
  <w:font w:name="ABCDEE+宋体">
    <w:altName w:val="方正书宋_GBK"/>
    <w:panose1 w:val="00000000000000000000"/>
    <w:charset w:val="86"/>
    <w:family w:val="roman"/>
    <w:pitch w:val="default"/>
    <w:sig w:usb0="00000000" w:usb1="00000000" w:usb2="00000010" w:usb3="00000000" w:csb0="00040000" w:csb1="00000000"/>
  </w:font>
  <w:font w:name="ˎ̥">
    <w:altName w:val="仿宋"/>
    <w:panose1 w:val="00000000000000000000"/>
    <w:charset w:val="00"/>
    <w:family w:val="roman"/>
    <w:pitch w:val="default"/>
    <w:sig w:usb0="00000000" w:usb1="00000000" w:usb2="00000000" w:usb3="00000000" w:csb0="00000000" w:csb1="00000000"/>
  </w:font>
  <w:font w:name="Arial Unicode MS">
    <w:altName w:val="Nimbus Roman No9 L"/>
    <w:panose1 w:val="020B0604020202020204"/>
    <w:charset w:val="86"/>
    <w:family w:val="swiss"/>
    <w:pitch w:val="default"/>
    <w:sig w:usb0="00000000" w:usb1="00000000" w:usb2="0000003F" w:usb3="00000000" w:csb0="003F01FF" w:csb1="00000000"/>
  </w:font>
  <w:font w:name="Microsoft YaHei UI">
    <w:altName w:val="Droid Sans Fallback"/>
    <w:panose1 w:val="020B0503020204020204"/>
    <w:charset w:val="86"/>
    <w:family w:val="swiss"/>
    <w:pitch w:val="default"/>
    <w:sig w:usb0="00000000" w:usb1="00000000" w:usb2="00000016" w:usb3="00000000" w:csb0="0004001F" w:csb1="00000000"/>
  </w:font>
  <w:font w:name="方正仿宋_GBK">
    <w:panose1 w:val="02000000000000000000"/>
    <w:charset w:val="86"/>
    <w:family w:val="script"/>
    <w:pitch w:val="default"/>
    <w:sig w:usb0="00000001" w:usb1="08000000" w:usb2="00000000" w:usb3="00000000" w:csb0="00040000" w:csb1="00000000"/>
  </w:font>
  <w:font w:name="微软雅黑">
    <w:altName w:val="黑体"/>
    <w:panose1 w:val="020B0503020204020204"/>
    <w:charset w:val="86"/>
    <w:family w:val="swiss"/>
    <w:pitch w:val="default"/>
    <w:sig w:usb0="00000000" w:usb1="00000000" w:usb2="00000016" w:usb3="00000000" w:csb0="0004001F" w:csb1="00000000"/>
  </w:font>
  <w:font w:name="Times New Roman Italic">
    <w:altName w:val="Nimbus Roman No9 L"/>
    <w:panose1 w:val="02020503050405090304"/>
    <w:charset w:val="00"/>
    <w:family w:val="roman"/>
    <w:pitch w:val="default"/>
    <w:sig w:usb0="00000000" w:usb1="00000000" w:usb2="00000000" w:usb3="00000000" w:csb0="00000000" w:csb1="00000000"/>
  </w:font>
  <w:font w:name="幼圆">
    <w:altName w:val="仿宋"/>
    <w:panose1 w:val="02010509060101010101"/>
    <w:charset w:val="86"/>
    <w:family w:val="modern"/>
    <w:pitch w:val="default"/>
    <w:sig w:usb0="00000000" w:usb1="00000000" w:usb2="00000010" w:usb3="00000000" w:csb0="00040000" w:csb1="00000000"/>
  </w:font>
  <w:font w:name="Tahoma">
    <w:altName w:val="Droid Sans"/>
    <w:panose1 w:val="020B0604030504040204"/>
    <w:charset w:val="00"/>
    <w:family w:val="swiss"/>
    <w:pitch w:val="default"/>
    <w:sig w:usb0="00000000" w:usb1="00000000" w:usb2="00000029" w:usb3="00000000" w:csb0="000101FF" w:csb1="00000000"/>
  </w:font>
  <w:font w:name="Verdana">
    <w:altName w:val="Ubuntu"/>
    <w:panose1 w:val="020B0604030504040204"/>
    <w:charset w:val="00"/>
    <w:family w:val="swiss"/>
    <w:pitch w:val="default"/>
    <w:sig w:usb0="00000000" w:usb1="00000000" w:usb2="00000010" w:usb3="00000000" w:csb0="0000019F" w:csb1="00000000"/>
  </w:font>
  <w:font w:name="EU-F1">
    <w:altName w:val="仿宋"/>
    <w:panose1 w:val="00000000000000000000"/>
    <w:charset w:val="86"/>
    <w:family w:val="script"/>
    <w:pitch w:val="default"/>
    <w:sig w:usb0="00000000" w:usb1="00000000" w:usb2="00000010" w:usb3="00000000" w:csb0="00040000" w:csb1="00000000"/>
  </w:font>
  <w:font w:name="华文仿宋">
    <w:altName w:val="汉仪仿宋简"/>
    <w:panose1 w:val="02010600040101010101"/>
    <w:charset w:val="86"/>
    <w:family w:val="auto"/>
    <w:pitch w:val="default"/>
    <w:sig w:usb0="00000000" w:usb1="00000000" w:usb2="00000010" w:usb3="00000000" w:csb0="0004009F" w:csb1="00000000"/>
  </w:font>
  <w:font w:name="方正小标宋简体">
    <w:panose1 w:val="02000000000000000000"/>
    <w:charset w:val="86"/>
    <w:family w:val="auto"/>
    <w:pitch w:val="default"/>
    <w:sig w:usb0="A00002BF" w:usb1="184F6CFA" w:usb2="00000012" w:usb3="00000000" w:csb0="00040001" w:csb1="00000000"/>
  </w:font>
  <w:font w:name="Cambria Math">
    <w:altName w:val="DejaVu Math TeX Gyre"/>
    <w:panose1 w:val="02040503050406030204"/>
    <w:charset w:val="00"/>
    <w:family w:val="roman"/>
    <w:pitch w:val="default"/>
    <w:sig w:usb0="00000000" w:usb1="00000000" w:usb2="02000000" w:usb3="00000000" w:csb0="0000019F"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DejaVu Sans">
    <w:panose1 w:val="020B0603030804020204"/>
    <w:charset w:val="00"/>
    <w:family w:val="auto"/>
    <w:pitch w:val="default"/>
    <w:sig w:usb0="E7006EFF" w:usb1="D200FDFF" w:usb2="0A246029" w:usb3="0400200C" w:csb0="600001FF" w:csb1="DFFF0000"/>
  </w:font>
  <w:font w:name="等线">
    <w:altName w:val="仿宋"/>
    <w:panose1 w:val="00000000000000000000"/>
    <w:charset w:val="00"/>
    <w:family w:val="auto"/>
    <w:pitch w:val="default"/>
    <w:sig w:usb0="00000000" w:usb1="00000000" w:usb2="00000000" w:usb3="00000000" w:csb0="00000000" w:csb1="00000000"/>
  </w:font>
  <w:font w:name="Liberation Serif">
    <w:panose1 w:val="02020603050405020304"/>
    <w:charset w:val="00"/>
    <w:family w:val="auto"/>
    <w:pitch w:val="default"/>
    <w:sig w:usb0="A00002AF" w:usb1="500078FB" w:usb2="00000000" w:usb3="00000000" w:csb0="6000009F" w:csb1="DFD70000"/>
  </w:font>
  <w:font w:name="等线 Light">
    <w:altName w:val="仿宋"/>
    <w:panose1 w:val="00000000000000000000"/>
    <w:charset w:val="00"/>
    <w:family w:val="auto"/>
    <w:pitch w:val="default"/>
    <w:sig w:usb0="00000000" w:usb1="00000000" w:usb2="00000000" w:usb3="00000000" w:csb0="00000000" w:csb1="00000000"/>
  </w:font>
  <w:font w:name="汉仪中宋简">
    <w:panose1 w:val="02010600000101010101"/>
    <w:charset w:val="86"/>
    <w:family w:val="auto"/>
    <w:pitch w:val="default"/>
    <w:sig w:usb0="00000001" w:usb1="080E0800" w:usb2="00000002" w:usb3="00000000" w:csb0="00040000" w:csb1="00000000"/>
  </w:font>
  <w:font w:name="DejaVu Math TeX Gyre">
    <w:panose1 w:val="02000503000000000000"/>
    <w:charset w:val="00"/>
    <w:family w:val="auto"/>
    <w:pitch w:val="default"/>
    <w:sig w:usb0="A10000EF" w:usb1="4201F9EE" w:usb2="02000000" w:usb3="00000000" w:csb0="60000193" w:csb1="0DD40000"/>
  </w:font>
  <w:font w:name="方正宋体S-超大字符集">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ind w:firstLine="360"/>
      <w:jc w:val="center"/>
    </w:pPr>
    <w:r>
      <w:fldChar w:fldCharType="begin"/>
    </w:r>
    <w:r>
      <w:instrText xml:space="preserve">PAGE   \* MERGEFORMAT</w:instrText>
    </w:r>
    <w:r>
      <w:fldChar w:fldCharType="separate"/>
    </w:r>
    <w:r>
      <w:rPr>
        <w:lang w:val="zh-CN"/>
      </w:rPr>
      <w:t>I</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ind w:firstLine="360"/>
      <w:jc w:val="center"/>
    </w:pPr>
    <w:r>
      <w:fldChar w:fldCharType="begin"/>
    </w:r>
    <w:r>
      <w:instrText xml:space="preserve">PAGE   \* MERGEFORMAT</w:instrText>
    </w:r>
    <w:r>
      <w:fldChar w:fldCharType="separate"/>
    </w:r>
    <w:r>
      <w:rPr>
        <w:lang w:val="zh-CN"/>
      </w:rPr>
      <w:t>1</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ind w:firstLine="360"/>
      <w:jc w:val="center"/>
    </w:pPr>
    <w:r>
      <w:fldChar w:fldCharType="begin"/>
    </w:r>
    <w:r>
      <w:instrText xml:space="preserve">PAGE   \* MERGEFORMAT</w:instrText>
    </w:r>
    <w:r>
      <w:fldChar w:fldCharType="separate"/>
    </w:r>
    <w:r>
      <w:rPr>
        <w:lang w:val="zh-CN"/>
      </w:rPr>
      <w:t>135</w:t>
    </w:r>
    <w:r>
      <w:rPr>
        <w:lang w:val="zh-C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ind w:firstLine="360"/>
      <w:jc w:val="center"/>
    </w:pPr>
    <w:r>
      <w:fldChar w:fldCharType="begin"/>
    </w:r>
    <w:r>
      <w:instrText xml:space="preserve">PAGE   \* MERGEFORMAT</w:instrText>
    </w:r>
    <w:r>
      <w:fldChar w:fldCharType="separate"/>
    </w:r>
    <w:r>
      <w:rPr>
        <w:lang w:val="zh-CN"/>
      </w:rPr>
      <w:t>137</w:t>
    </w:r>
    <w:r>
      <w:rPr>
        <w:lang w:val="zh-C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ind w:firstLine="360"/>
      <w:jc w:val="center"/>
    </w:pPr>
    <w:r>
      <w:fldChar w:fldCharType="begin"/>
    </w:r>
    <w:r>
      <w:instrText xml:space="preserve">PAGE   \* MERGEFORMAT</w:instrText>
    </w:r>
    <w:r>
      <w:fldChar w:fldCharType="separate"/>
    </w:r>
    <w:r>
      <w:rPr>
        <w:lang w:val="zh-CN"/>
      </w:rPr>
      <w:t>149</w:t>
    </w:r>
    <w:r>
      <w:rPr>
        <w:lang w:val="zh-C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ind w:firstLine="360"/>
      <w:jc w:val="center"/>
    </w:pPr>
    <w:r>
      <w:fldChar w:fldCharType="begin"/>
    </w:r>
    <w:r>
      <w:instrText xml:space="preserve">PAGE   \* MERGEFORMAT</w:instrText>
    </w:r>
    <w:r>
      <w:fldChar w:fldCharType="separate"/>
    </w:r>
    <w:r>
      <w:rPr>
        <w:lang w:val="zh-CN"/>
      </w:rPr>
      <w:t>150</w:t>
    </w:r>
    <w:r>
      <w:rPr>
        <w:lang w:val="zh-CN"/>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ind w:firstLine="360"/>
      <w:jc w:val="center"/>
    </w:pPr>
    <w:r>
      <w:fldChar w:fldCharType="begin"/>
    </w:r>
    <w:r>
      <w:instrText xml:space="preserve">PAGE   \* MERGEFORMAT</w:instrText>
    </w:r>
    <w:r>
      <w:fldChar w:fldCharType="separate"/>
    </w:r>
    <w:r>
      <w:rPr>
        <w:lang w:val="zh-CN"/>
      </w:rPr>
      <w:t>237</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9"/>
      <w:ind w:firstLine="420"/>
      <w:rPr>
        <w:rFonts w:hint="default" w:ascii="仿宋" w:hAnsi="仿宋" w:eastAsia="仿宋"/>
        <w:sz w:val="21"/>
        <w:szCs w:val="21"/>
        <w:lang w:val="en-US" w:eastAsia="zh-CN"/>
      </w:rPr>
    </w:pPr>
    <w:r>
      <w:rPr>
        <w:rFonts w:hint="eastAsia" w:ascii="仿宋" w:hAnsi="仿宋"/>
        <w:sz w:val="21"/>
        <w:szCs w:val="21"/>
      </w:rPr>
      <w:t>咸宁市新能源汽车充电设施专项规划</w:t>
    </w:r>
    <w:r>
      <w:rPr>
        <w:rFonts w:hint="eastAsia" w:ascii="仿宋" w:hAnsi="仿宋"/>
        <w:sz w:val="21"/>
        <w:szCs w:val="21"/>
        <w:lang w:eastAsia="zh-CN"/>
      </w:rPr>
      <w:t>（</w:t>
    </w:r>
    <w:r>
      <w:rPr>
        <w:rFonts w:hint="eastAsia" w:ascii="仿宋" w:hAnsi="仿宋"/>
        <w:sz w:val="21"/>
        <w:szCs w:val="21"/>
        <w:lang w:val="en-US" w:eastAsia="zh-CN"/>
      </w:rPr>
      <w:t>2022-2030年）</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5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BA184A"/>
    <w:multiLevelType w:val="singleLevel"/>
    <w:tmpl w:val="8FBA184A"/>
    <w:lvl w:ilvl="0" w:tentative="0">
      <w:start w:val="1"/>
      <w:numFmt w:val="decimal"/>
      <w:suff w:val="nothing"/>
      <w:lvlText w:val="（%1）"/>
      <w:lvlJc w:val="left"/>
    </w:lvl>
  </w:abstractNum>
  <w:abstractNum w:abstractNumId="1">
    <w:nsid w:val="024E1D97"/>
    <w:multiLevelType w:val="multilevel"/>
    <w:tmpl w:val="024E1D97"/>
    <w:lvl w:ilvl="0" w:tentative="0">
      <w:start w:val="1"/>
      <w:numFmt w:val="decimal"/>
      <w:lvlText w:val="第%1章"/>
      <w:lvlJc w:val="center"/>
      <w:rPr>
        <w:rFonts w:hint="eastAsia"/>
        <w:b/>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decimal"/>
      <w:suff w:val="space"/>
      <w:lvlText w:val="%1.%2"/>
      <w:lvlJc w:val="left"/>
      <w:rPr>
        <w:rFonts w:hint="eastAsia" w:ascii="Times New Roman" w:hAnsi="Times New Roman"/>
        <w:b/>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2" w:tentative="0">
      <w:start w:val="1"/>
      <w:numFmt w:val="decimal"/>
      <w:suff w:val="space"/>
      <w:lvlText w:val="%1.%2.%3"/>
      <w:lvlJc w:val="left"/>
      <w:rPr>
        <w:rFonts w:hint="eastAsia"/>
        <w:b/>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suff w:val="space"/>
      <w:lvlText w:val="%1.%2.%3.%4"/>
      <w:lvlJc w:val="left"/>
      <w:rPr>
        <w:rFonts w:hint="eastAsia" w:ascii="Times New Roman" w:hAnsi="Times New Roman"/>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4" w:tentative="0">
      <w:start w:val="1"/>
      <w:numFmt w:val="decimal"/>
      <w:lvlText w:val="%1.%2.%3.%4.%5"/>
      <w:lvlJc w:val="left"/>
      <w:pPr>
        <w:ind w:left="2125" w:hanging="425"/>
      </w:pPr>
      <w:rPr>
        <w:rFonts w:hint="eastAsia"/>
      </w:rPr>
    </w:lvl>
    <w:lvl w:ilvl="5" w:tentative="0">
      <w:start w:val="1"/>
      <w:numFmt w:val="decimal"/>
      <w:lvlText w:val="%1.%2.%3.%4.%5.%6"/>
      <w:lvlJc w:val="left"/>
      <w:pPr>
        <w:ind w:left="2550" w:hanging="425"/>
      </w:pPr>
      <w:rPr>
        <w:rFonts w:hint="eastAsia"/>
      </w:rPr>
    </w:lvl>
    <w:lvl w:ilvl="6" w:tentative="0">
      <w:start w:val="1"/>
      <w:numFmt w:val="decimal"/>
      <w:lvlText w:val="%1.%2.%3.%4.%5.%6.%7"/>
      <w:lvlJc w:val="left"/>
      <w:pPr>
        <w:ind w:left="2975" w:hanging="425"/>
      </w:pPr>
      <w:rPr>
        <w:rFonts w:hint="eastAsia"/>
      </w:rPr>
    </w:lvl>
    <w:lvl w:ilvl="7" w:tentative="0">
      <w:start w:val="1"/>
      <w:numFmt w:val="decimal"/>
      <w:lvlText w:val="%1.%2.%3.%4.%5.%6.%7.%8"/>
      <w:lvlJc w:val="left"/>
      <w:pPr>
        <w:ind w:left="3400" w:hanging="425"/>
      </w:pPr>
      <w:rPr>
        <w:rFonts w:hint="eastAsia"/>
      </w:rPr>
    </w:lvl>
    <w:lvl w:ilvl="8" w:tentative="0">
      <w:start w:val="1"/>
      <w:numFmt w:val="decimal"/>
      <w:lvlText w:val="%1.%2.%3.%4.%5.%6.%7.%8.%9"/>
      <w:lvlJc w:val="left"/>
      <w:pPr>
        <w:ind w:left="3825" w:hanging="425"/>
      </w:pPr>
      <w:rPr>
        <w:rFonts w:hint="eastAsia"/>
      </w:rPr>
    </w:lvl>
  </w:abstractNum>
  <w:abstractNum w:abstractNumId="2">
    <w:nsid w:val="02A93FC7"/>
    <w:multiLevelType w:val="multilevel"/>
    <w:tmpl w:val="02A93FC7"/>
    <w:lvl w:ilvl="0" w:tentative="0">
      <w:start w:val="1"/>
      <w:numFmt w:val="decimal"/>
      <w:lvlText w:val="（%1）"/>
      <w:lvlJc w:val="left"/>
      <w:pPr>
        <w:ind w:left="844" w:hanging="420"/>
      </w:pPr>
      <w:rPr>
        <w:rFonts w:hint="eastAsia"/>
      </w:rPr>
    </w:lvl>
    <w:lvl w:ilvl="1" w:tentative="0">
      <w:start w:val="1"/>
      <w:numFmt w:val="decimal"/>
      <w:lvlText w:val="（%2）"/>
      <w:lvlJc w:val="left"/>
      <w:pPr>
        <w:ind w:left="1264" w:hanging="420"/>
      </w:pPr>
      <w:rPr>
        <w:rFonts w:hint="eastAsia"/>
      </w:rPr>
    </w:lvl>
    <w:lvl w:ilvl="2" w:tentative="0">
      <w:start w:val="1"/>
      <w:numFmt w:val="lowerRoman"/>
      <w:lvlText w:val="%3."/>
      <w:lvlJc w:val="right"/>
      <w:pPr>
        <w:ind w:left="1684" w:hanging="420"/>
      </w:pPr>
    </w:lvl>
    <w:lvl w:ilvl="3" w:tentative="0">
      <w:start w:val="1"/>
      <w:numFmt w:val="decimal"/>
      <w:lvlText w:val="%4."/>
      <w:lvlJc w:val="left"/>
      <w:pPr>
        <w:ind w:left="2104" w:hanging="420"/>
      </w:pPr>
    </w:lvl>
    <w:lvl w:ilvl="4" w:tentative="0">
      <w:start w:val="1"/>
      <w:numFmt w:val="lowerLetter"/>
      <w:lvlText w:val="%5)"/>
      <w:lvlJc w:val="left"/>
      <w:pPr>
        <w:ind w:left="2524" w:hanging="420"/>
      </w:pPr>
    </w:lvl>
    <w:lvl w:ilvl="5" w:tentative="0">
      <w:start w:val="1"/>
      <w:numFmt w:val="lowerRoman"/>
      <w:lvlText w:val="%6."/>
      <w:lvlJc w:val="right"/>
      <w:pPr>
        <w:ind w:left="2944" w:hanging="420"/>
      </w:pPr>
    </w:lvl>
    <w:lvl w:ilvl="6" w:tentative="0">
      <w:start w:val="1"/>
      <w:numFmt w:val="decimal"/>
      <w:lvlText w:val="%7."/>
      <w:lvlJc w:val="left"/>
      <w:pPr>
        <w:ind w:left="3364" w:hanging="420"/>
      </w:pPr>
    </w:lvl>
    <w:lvl w:ilvl="7" w:tentative="0">
      <w:start w:val="1"/>
      <w:numFmt w:val="lowerLetter"/>
      <w:lvlText w:val="%8)"/>
      <w:lvlJc w:val="left"/>
      <w:pPr>
        <w:ind w:left="3784" w:hanging="420"/>
      </w:pPr>
    </w:lvl>
    <w:lvl w:ilvl="8" w:tentative="0">
      <w:start w:val="1"/>
      <w:numFmt w:val="lowerRoman"/>
      <w:lvlText w:val="%9."/>
      <w:lvlJc w:val="right"/>
      <w:pPr>
        <w:ind w:left="4204" w:hanging="420"/>
      </w:pPr>
    </w:lvl>
  </w:abstractNum>
  <w:abstractNum w:abstractNumId="3">
    <w:nsid w:val="068C5CCF"/>
    <w:multiLevelType w:val="multilevel"/>
    <w:tmpl w:val="068C5CCF"/>
    <w:lvl w:ilvl="0" w:tentative="0">
      <w:start w:val="1"/>
      <w:numFmt w:val="decimal"/>
      <w:lvlText w:val="（%1）"/>
      <w:lvlJc w:val="left"/>
      <w:pPr>
        <w:ind w:left="1264" w:hanging="420"/>
      </w:pPr>
      <w:rPr>
        <w:rFonts w:hint="eastAsia"/>
      </w:rPr>
    </w:lvl>
    <w:lvl w:ilvl="1" w:tentative="0">
      <w:start w:val="1"/>
      <w:numFmt w:val="lowerLetter"/>
      <w:lvlText w:val="%2)"/>
      <w:lvlJc w:val="left"/>
      <w:pPr>
        <w:ind w:left="1684" w:hanging="420"/>
      </w:pPr>
    </w:lvl>
    <w:lvl w:ilvl="2" w:tentative="0">
      <w:start w:val="1"/>
      <w:numFmt w:val="lowerRoman"/>
      <w:lvlText w:val="%3."/>
      <w:lvlJc w:val="right"/>
      <w:pPr>
        <w:ind w:left="2104" w:hanging="420"/>
      </w:pPr>
    </w:lvl>
    <w:lvl w:ilvl="3" w:tentative="0">
      <w:start w:val="1"/>
      <w:numFmt w:val="decimal"/>
      <w:lvlText w:val="%4."/>
      <w:lvlJc w:val="left"/>
      <w:pPr>
        <w:ind w:left="2524" w:hanging="420"/>
      </w:pPr>
    </w:lvl>
    <w:lvl w:ilvl="4" w:tentative="0">
      <w:start w:val="1"/>
      <w:numFmt w:val="lowerLetter"/>
      <w:lvlText w:val="%5)"/>
      <w:lvlJc w:val="left"/>
      <w:pPr>
        <w:ind w:left="2944" w:hanging="420"/>
      </w:pPr>
    </w:lvl>
    <w:lvl w:ilvl="5" w:tentative="0">
      <w:start w:val="1"/>
      <w:numFmt w:val="lowerRoman"/>
      <w:lvlText w:val="%6."/>
      <w:lvlJc w:val="right"/>
      <w:pPr>
        <w:ind w:left="3364" w:hanging="420"/>
      </w:pPr>
    </w:lvl>
    <w:lvl w:ilvl="6" w:tentative="0">
      <w:start w:val="1"/>
      <w:numFmt w:val="decimal"/>
      <w:lvlText w:val="%7."/>
      <w:lvlJc w:val="left"/>
      <w:pPr>
        <w:ind w:left="3784" w:hanging="420"/>
      </w:pPr>
    </w:lvl>
    <w:lvl w:ilvl="7" w:tentative="0">
      <w:start w:val="1"/>
      <w:numFmt w:val="lowerLetter"/>
      <w:lvlText w:val="%8)"/>
      <w:lvlJc w:val="left"/>
      <w:pPr>
        <w:ind w:left="4204" w:hanging="420"/>
      </w:pPr>
    </w:lvl>
    <w:lvl w:ilvl="8" w:tentative="0">
      <w:start w:val="1"/>
      <w:numFmt w:val="lowerRoman"/>
      <w:lvlText w:val="%9."/>
      <w:lvlJc w:val="right"/>
      <w:pPr>
        <w:ind w:left="4624" w:hanging="420"/>
      </w:pPr>
    </w:lvl>
  </w:abstractNum>
  <w:abstractNum w:abstractNumId="4">
    <w:nsid w:val="08C5217A"/>
    <w:multiLevelType w:val="multilevel"/>
    <w:tmpl w:val="08C5217A"/>
    <w:lvl w:ilvl="0" w:tentative="0">
      <w:start w:val="1"/>
      <w:numFmt w:val="decimal"/>
      <w:lvlText w:val="%1)"/>
      <w:lvlJc w:val="left"/>
      <w:pPr>
        <w:ind w:left="986" w:hanging="420"/>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
    <w:nsid w:val="0AB26F4D"/>
    <w:multiLevelType w:val="multilevel"/>
    <w:tmpl w:val="0AB26F4D"/>
    <w:lvl w:ilvl="0" w:tentative="0">
      <w:start w:val="1"/>
      <w:numFmt w:val="decimal"/>
      <w:lvlText w:val="%1."/>
      <w:lvlJc w:val="left"/>
      <w:pPr>
        <w:ind w:left="995" w:hanging="435"/>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6">
    <w:nsid w:val="0E1C2045"/>
    <w:multiLevelType w:val="singleLevel"/>
    <w:tmpl w:val="0E1C2045"/>
    <w:lvl w:ilvl="0" w:tentative="0">
      <w:start w:val="1"/>
      <w:numFmt w:val="decimal"/>
      <w:lvlText w:val="%1."/>
      <w:lvlJc w:val="left"/>
      <w:pPr>
        <w:tabs>
          <w:tab w:val="left" w:pos="312"/>
        </w:tabs>
      </w:pPr>
    </w:lvl>
  </w:abstractNum>
  <w:abstractNum w:abstractNumId="7">
    <w:nsid w:val="10704340"/>
    <w:multiLevelType w:val="multilevel"/>
    <w:tmpl w:val="10704340"/>
    <w:lvl w:ilvl="0" w:tentative="0">
      <w:start w:val="1"/>
      <w:numFmt w:val="decimal"/>
      <w:lvlText w:val="%1."/>
      <w:lvlJc w:val="left"/>
      <w:pPr>
        <w:ind w:left="982" w:hanging="420"/>
      </w:pPr>
      <w:rPr>
        <w:rFonts w:hint="default"/>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8">
    <w:nsid w:val="135C09CB"/>
    <w:multiLevelType w:val="singleLevel"/>
    <w:tmpl w:val="135C09CB"/>
    <w:lvl w:ilvl="0" w:tentative="0">
      <w:start w:val="1"/>
      <w:numFmt w:val="decimal"/>
      <w:suff w:val="nothing"/>
      <w:lvlText w:val="（%1）"/>
      <w:lvlJc w:val="left"/>
    </w:lvl>
  </w:abstractNum>
  <w:abstractNum w:abstractNumId="9">
    <w:nsid w:val="1A6A08AE"/>
    <w:multiLevelType w:val="multilevel"/>
    <w:tmpl w:val="1A6A08AE"/>
    <w:lvl w:ilvl="0" w:tentative="0">
      <w:start w:val="1"/>
      <w:numFmt w:val="decimalEnclosedCircle"/>
      <w:lvlText w:val="%1"/>
      <w:lvlJc w:val="left"/>
      <w:pPr>
        <w:ind w:left="920" w:hanging="36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0">
    <w:nsid w:val="1CA4CFED"/>
    <w:multiLevelType w:val="singleLevel"/>
    <w:tmpl w:val="1CA4CFED"/>
    <w:lvl w:ilvl="0" w:tentative="0">
      <w:start w:val="29"/>
      <w:numFmt w:val="decimal"/>
      <w:suff w:val="nothing"/>
      <w:lvlText w:val="（%1）"/>
      <w:lvlJc w:val="left"/>
    </w:lvl>
  </w:abstractNum>
  <w:abstractNum w:abstractNumId="11">
    <w:nsid w:val="1D95176F"/>
    <w:multiLevelType w:val="multilevel"/>
    <w:tmpl w:val="1D95176F"/>
    <w:lvl w:ilvl="0" w:tentative="0">
      <w:start w:val="1"/>
      <w:numFmt w:val="decimal"/>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2">
    <w:nsid w:val="1FC91163"/>
    <w:multiLevelType w:val="multilevel"/>
    <w:tmpl w:val="1FC91163"/>
    <w:lvl w:ilvl="0" w:tentative="0">
      <w:start w:val="1"/>
      <w:numFmt w:val="decimal"/>
      <w:pStyle w:val="147"/>
      <w:suff w:val="nothing"/>
      <w:lvlText w:val="%1　"/>
      <w:lvlJc w:val="left"/>
      <w:pPr>
        <w:ind w:left="0" w:firstLine="0"/>
      </w:pPr>
      <w:rPr>
        <w:rFonts w:hint="eastAsia" w:ascii="黑体" w:hAnsi="Times New Roman" w:eastAsia="黑体"/>
        <w:b w:val="0"/>
        <w:i w:val="0"/>
        <w:sz w:val="21"/>
        <w:szCs w:val="21"/>
      </w:rPr>
    </w:lvl>
    <w:lvl w:ilvl="1" w:tentative="0">
      <w:start w:val="1"/>
      <w:numFmt w:val="decimal"/>
      <w:pStyle w:val="146"/>
      <w:suff w:val="nothing"/>
      <w:lvlText w:val="%1.%2　"/>
      <w:lvlJc w:val="left"/>
      <w:pPr>
        <w:ind w:left="851" w:firstLine="0"/>
      </w:pPr>
      <w:rPr>
        <w:rFonts w:hint="eastAsia" w:ascii="黑体" w:hAnsi="Times New Roman" w:eastAsia="黑体" w:cs="Times New Roman"/>
        <w:b w:val="0"/>
        <w:bCs w:val="0"/>
        <w:i w:val="0"/>
        <w:iCs w:val="0"/>
        <w:caps w:val="0"/>
        <w:strike w:val="0"/>
        <w:dstrike w:val="0"/>
        <w:vanish w:val="0"/>
        <w:color w:val="000000"/>
        <w:spacing w:val="0"/>
        <w:kern w:val="0"/>
        <w:position w:val="0"/>
        <w:sz w:val="21"/>
        <w:szCs w:val="21"/>
        <w:u w:val="none"/>
        <w:vertAlign w:val="baseline"/>
        <w14:shadow w14:blurRad="0" w14:dist="0" w14:dir="0" w14:sx="0" w14:sy="0" w14:kx="0" w14:ky="0" w14:algn="none">
          <w14:srgbClr w14:val="000000"/>
        </w14:shadow>
      </w:rPr>
    </w:lvl>
    <w:lvl w:ilvl="2" w:tentative="0">
      <w:start w:val="1"/>
      <w:numFmt w:val="decimal"/>
      <w:pStyle w:val="148"/>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426" w:firstLine="0"/>
      </w:pPr>
      <w:rPr>
        <w:rFonts w:hint="eastAsia" w:ascii="黑体" w:hAnsi="Times New Roman" w:eastAsia="黑体"/>
        <w:b w:val="0"/>
        <w:i w:val="0"/>
        <w:sz w:val="21"/>
      </w:rPr>
    </w:lvl>
    <w:lvl w:ilvl="4" w:tentative="0">
      <w:start w:val="1"/>
      <w:numFmt w:val="decimal"/>
      <w:pStyle w:val="149"/>
      <w:suff w:val="nothing"/>
      <w:lvlText w:val="%1.%2.%3.%4.%5　"/>
      <w:lvlJc w:val="left"/>
      <w:pPr>
        <w:ind w:left="-426" w:firstLine="0"/>
      </w:pPr>
      <w:rPr>
        <w:rFonts w:hint="eastAsia" w:ascii="黑体" w:hAnsi="Times New Roman" w:eastAsia="黑体"/>
        <w:b w:val="0"/>
        <w:i w:val="0"/>
        <w:sz w:val="21"/>
      </w:rPr>
    </w:lvl>
    <w:lvl w:ilvl="5" w:tentative="0">
      <w:start w:val="1"/>
      <w:numFmt w:val="decimal"/>
      <w:pStyle w:val="150"/>
      <w:suff w:val="nothing"/>
      <w:lvlText w:val="%1.%2.%3.%4.%5.%6　"/>
      <w:lvlJc w:val="left"/>
      <w:pPr>
        <w:ind w:left="-426" w:firstLine="0"/>
      </w:pPr>
      <w:rPr>
        <w:rFonts w:hint="eastAsia" w:ascii="黑体" w:hAnsi="Times New Roman" w:eastAsia="黑体"/>
        <w:b w:val="0"/>
        <w:i w:val="0"/>
        <w:sz w:val="21"/>
      </w:rPr>
    </w:lvl>
    <w:lvl w:ilvl="6" w:tentative="0">
      <w:start w:val="1"/>
      <w:numFmt w:val="decimal"/>
      <w:suff w:val="nothing"/>
      <w:lvlText w:val="%1%2.%3.%4.%5.%6.%7　"/>
      <w:lvlJc w:val="left"/>
      <w:pPr>
        <w:ind w:left="-426" w:firstLine="0"/>
      </w:pPr>
      <w:rPr>
        <w:rFonts w:hint="eastAsia" w:ascii="黑体" w:hAnsi="Times New Roman" w:eastAsia="黑体"/>
        <w:b w:val="0"/>
        <w:i w:val="0"/>
        <w:sz w:val="21"/>
      </w:rPr>
    </w:lvl>
    <w:lvl w:ilvl="7" w:tentative="0">
      <w:start w:val="1"/>
      <w:numFmt w:val="decimal"/>
      <w:lvlText w:val="%1.%2.%3.%4.%5.%6.%7.%8"/>
      <w:lvlJc w:val="left"/>
      <w:pPr>
        <w:tabs>
          <w:tab w:val="left" w:pos="3925"/>
        </w:tabs>
        <w:ind w:left="3543" w:hanging="1418"/>
      </w:pPr>
      <w:rPr>
        <w:rFonts w:hint="eastAsia"/>
      </w:rPr>
    </w:lvl>
    <w:lvl w:ilvl="8" w:tentative="0">
      <w:start w:val="1"/>
      <w:numFmt w:val="decimal"/>
      <w:lvlText w:val="%1.%2.%3.%4.%5.%6.%7.%8.%9"/>
      <w:lvlJc w:val="left"/>
      <w:pPr>
        <w:tabs>
          <w:tab w:val="left" w:pos="4351"/>
        </w:tabs>
        <w:ind w:left="4251" w:hanging="1700"/>
      </w:pPr>
      <w:rPr>
        <w:rFonts w:hint="eastAsia"/>
      </w:rPr>
    </w:lvl>
  </w:abstractNum>
  <w:abstractNum w:abstractNumId="13">
    <w:nsid w:val="23DC6197"/>
    <w:multiLevelType w:val="multilevel"/>
    <w:tmpl w:val="23DC6197"/>
    <w:lvl w:ilvl="0" w:tentative="0">
      <w:start w:val="1"/>
      <w:numFmt w:val="decimal"/>
      <w:lvlText w:val="%1)"/>
      <w:lvlJc w:val="left"/>
      <w:pPr>
        <w:ind w:left="980" w:hanging="420"/>
      </w:pPr>
    </w:lvl>
    <w:lvl w:ilvl="1" w:tentative="0">
      <w:start w:val="1"/>
      <w:numFmt w:val="decimal"/>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4">
    <w:nsid w:val="2A8F7113"/>
    <w:multiLevelType w:val="multilevel"/>
    <w:tmpl w:val="2A8F7113"/>
    <w:lvl w:ilvl="0" w:tentative="0">
      <w:start w:val="1"/>
      <w:numFmt w:val="upperLetter"/>
      <w:pStyle w:val="282"/>
      <w:suff w:val="space"/>
      <w:lvlText w:val="%1"/>
      <w:lvlJc w:val="left"/>
      <w:pPr>
        <w:ind w:left="623" w:hanging="425"/>
      </w:pPr>
      <w:rPr>
        <w:rFonts w:hint="eastAsia"/>
      </w:rPr>
    </w:lvl>
    <w:lvl w:ilvl="1" w:tentative="0">
      <w:start w:val="1"/>
      <w:numFmt w:val="decimal"/>
      <w:pStyle w:val="283"/>
      <w:suff w:val="nothing"/>
      <w:lvlText w:val="图%1.%2　"/>
      <w:lvlJc w:val="left"/>
      <w:pPr>
        <w:ind w:left="1190" w:hanging="567"/>
      </w:pPr>
      <w:rPr>
        <w:rFonts w:hint="eastAsia"/>
      </w:rPr>
    </w:lvl>
    <w:lvl w:ilvl="2" w:tentative="0">
      <w:start w:val="1"/>
      <w:numFmt w:val="decimal"/>
      <w:lvlText w:val="%1.%2.%3"/>
      <w:lvlJc w:val="left"/>
      <w:pPr>
        <w:tabs>
          <w:tab w:val="left" w:pos="1616"/>
        </w:tabs>
        <w:ind w:left="1616" w:hanging="567"/>
      </w:pPr>
      <w:rPr>
        <w:rFonts w:hint="eastAsia"/>
      </w:rPr>
    </w:lvl>
    <w:lvl w:ilvl="3" w:tentative="0">
      <w:start w:val="1"/>
      <w:numFmt w:val="decimal"/>
      <w:lvlText w:val="%1.%2.%3.%4"/>
      <w:lvlJc w:val="left"/>
      <w:pPr>
        <w:tabs>
          <w:tab w:val="left" w:pos="2914"/>
        </w:tabs>
        <w:ind w:left="2182" w:hanging="708"/>
      </w:pPr>
      <w:rPr>
        <w:rFonts w:hint="eastAsia"/>
      </w:rPr>
    </w:lvl>
    <w:lvl w:ilvl="4" w:tentative="0">
      <w:start w:val="1"/>
      <w:numFmt w:val="decimal"/>
      <w:lvlText w:val="%1.%2.%3.%4.%5"/>
      <w:lvlJc w:val="left"/>
      <w:pPr>
        <w:tabs>
          <w:tab w:val="left" w:pos="3699"/>
        </w:tabs>
        <w:ind w:left="2749" w:hanging="850"/>
      </w:pPr>
      <w:rPr>
        <w:rFonts w:hint="eastAsia"/>
      </w:rPr>
    </w:lvl>
    <w:lvl w:ilvl="5" w:tentative="0">
      <w:start w:val="1"/>
      <w:numFmt w:val="decimal"/>
      <w:lvlText w:val="%1.%2.%3.%4.%5.%6"/>
      <w:lvlJc w:val="left"/>
      <w:pPr>
        <w:tabs>
          <w:tab w:val="left" w:pos="4484"/>
        </w:tabs>
        <w:ind w:left="3458" w:hanging="1134"/>
      </w:pPr>
      <w:rPr>
        <w:rFonts w:hint="eastAsia"/>
      </w:rPr>
    </w:lvl>
    <w:lvl w:ilvl="6" w:tentative="0">
      <w:start w:val="1"/>
      <w:numFmt w:val="decimal"/>
      <w:lvlText w:val="%1.%2.%3.%4.%5.%6.%7"/>
      <w:lvlJc w:val="left"/>
      <w:pPr>
        <w:tabs>
          <w:tab w:val="left" w:pos="5269"/>
        </w:tabs>
        <w:ind w:left="4025" w:hanging="1276"/>
      </w:pPr>
      <w:rPr>
        <w:rFonts w:hint="eastAsia"/>
      </w:rPr>
    </w:lvl>
    <w:lvl w:ilvl="7" w:tentative="0">
      <w:start w:val="1"/>
      <w:numFmt w:val="decimal"/>
      <w:lvlText w:val="%1.%2.%3.%4.%5.%6.%7.%8"/>
      <w:lvlJc w:val="left"/>
      <w:pPr>
        <w:tabs>
          <w:tab w:val="left" w:pos="6054"/>
        </w:tabs>
        <w:ind w:left="4592" w:hanging="1418"/>
      </w:pPr>
      <w:rPr>
        <w:rFonts w:hint="eastAsia"/>
      </w:rPr>
    </w:lvl>
    <w:lvl w:ilvl="8" w:tentative="0">
      <w:start w:val="1"/>
      <w:numFmt w:val="decimal"/>
      <w:lvlText w:val="%1.%2.%3.%4.%5.%6.%7.%8.%9"/>
      <w:lvlJc w:val="left"/>
      <w:pPr>
        <w:tabs>
          <w:tab w:val="left" w:pos="6840"/>
        </w:tabs>
        <w:ind w:left="5300" w:hanging="1700"/>
      </w:pPr>
      <w:rPr>
        <w:rFonts w:hint="eastAsia"/>
      </w:rPr>
    </w:lvl>
  </w:abstractNum>
  <w:abstractNum w:abstractNumId="15">
    <w:nsid w:val="2D8343D1"/>
    <w:multiLevelType w:val="multilevel"/>
    <w:tmpl w:val="2D8343D1"/>
    <w:lvl w:ilvl="0" w:tentative="0">
      <w:start w:val="1"/>
      <w:numFmt w:val="decimal"/>
      <w:lvlText w:val="（%1）"/>
      <w:lvlJc w:val="left"/>
      <w:pPr>
        <w:ind w:left="982" w:hanging="420"/>
      </w:pPr>
      <w:rPr>
        <w:rFonts w:hint="eastAsia"/>
      </w:rPr>
    </w:lvl>
    <w:lvl w:ilvl="1" w:tentative="0">
      <w:start w:val="1"/>
      <w:numFmt w:val="decimal"/>
      <w:lvlText w:val="（%2）"/>
      <w:lvlJc w:val="left"/>
      <w:pPr>
        <w:ind w:left="1402" w:hanging="420"/>
      </w:pPr>
      <w:rPr>
        <w:rFonts w:hint="eastAsia"/>
      </w:r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16">
    <w:nsid w:val="313C7D6F"/>
    <w:multiLevelType w:val="multilevel"/>
    <w:tmpl w:val="313C7D6F"/>
    <w:lvl w:ilvl="0" w:tentative="0">
      <w:start w:val="1"/>
      <w:numFmt w:val="decimal"/>
      <w:lvlText w:val="（%1）"/>
      <w:lvlJc w:val="left"/>
      <w:pPr>
        <w:ind w:left="980" w:hanging="420"/>
      </w:pPr>
      <w:rPr>
        <w:rFonts w:hint="eastAsia"/>
      </w:rPr>
    </w:lvl>
    <w:lvl w:ilvl="1" w:tentative="0">
      <w:start w:val="1"/>
      <w:numFmt w:val="decimal"/>
      <w:lvlText w:val="（%2）"/>
      <w:lvlJc w:val="left"/>
      <w:pPr>
        <w:ind w:left="1400" w:hanging="420"/>
      </w:pPr>
      <w:rPr>
        <w:rFonts w:hint="eastAsia"/>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7">
    <w:nsid w:val="390B368A"/>
    <w:multiLevelType w:val="singleLevel"/>
    <w:tmpl w:val="390B368A"/>
    <w:lvl w:ilvl="0" w:tentative="0">
      <w:start w:val="1"/>
      <w:numFmt w:val="decimal"/>
      <w:suff w:val="nothing"/>
      <w:lvlText w:val="（%1）"/>
      <w:lvlJc w:val="left"/>
    </w:lvl>
  </w:abstractNum>
  <w:abstractNum w:abstractNumId="18">
    <w:nsid w:val="3FF317D5"/>
    <w:multiLevelType w:val="multilevel"/>
    <w:tmpl w:val="3FF317D5"/>
    <w:lvl w:ilvl="0" w:tentative="0">
      <w:start w:val="1"/>
      <w:numFmt w:val="bullet"/>
      <w:lvlText w:val=""/>
      <w:lvlJc w:val="left"/>
      <w:pPr>
        <w:ind w:left="980" w:hanging="420"/>
      </w:pPr>
      <w:rPr>
        <w:rFonts w:hint="default" w:ascii="Wingdings" w:hAnsi="Wingdings"/>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19">
    <w:nsid w:val="499A5E7B"/>
    <w:multiLevelType w:val="multilevel"/>
    <w:tmpl w:val="499A5E7B"/>
    <w:lvl w:ilvl="0" w:tentative="0">
      <w:start w:val="1"/>
      <w:numFmt w:val="decimal"/>
      <w:lvlText w:val="%1."/>
      <w:lvlJc w:val="left"/>
      <w:pPr>
        <w:ind w:left="846" w:hanging="420"/>
      </w:pPr>
    </w:lvl>
    <w:lvl w:ilvl="1" w:tentative="0">
      <w:start w:val="1"/>
      <w:numFmt w:val="decimal"/>
      <w:lvlText w:val="%2)"/>
      <w:lvlJc w:val="left"/>
      <w:pPr>
        <w:ind w:left="1342" w:hanging="360"/>
      </w:pPr>
      <w:rPr>
        <w:rFonts w:hint="default"/>
      </w:r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20">
    <w:nsid w:val="4CAE7C05"/>
    <w:multiLevelType w:val="multilevel"/>
    <w:tmpl w:val="4CAE7C05"/>
    <w:lvl w:ilvl="0" w:tentative="0">
      <w:start w:val="1"/>
      <w:numFmt w:val="decimal"/>
      <w:pStyle w:val="413"/>
      <w:lvlText w:val="第%1章"/>
      <w:lvlJc w:val="left"/>
      <w:pPr>
        <w:ind w:left="284" w:firstLine="0"/>
      </w:pPr>
      <w:rPr>
        <w:rFonts w:hint="eastAsia"/>
        <w:b/>
        <w:bCs w:val="0"/>
        <w:i w:val="0"/>
        <w:iCs w:val="0"/>
        <w:caps w:val="0"/>
        <w:smallCaps w:val="0"/>
        <w:strike w:val="0"/>
        <w:dstrike w:val="0"/>
        <w:vanish w:val="0"/>
        <w:color w:val="000000"/>
        <w:spacing w:val="0"/>
        <w:position w:val="0"/>
        <w:sz w:val="36"/>
        <w:szCs w:val="36"/>
        <w:u w:val="none"/>
        <w:vertAlign w:val="baseline"/>
        <w:lang w:val="en-US"/>
      </w:rPr>
    </w:lvl>
    <w:lvl w:ilvl="1" w:tentative="0">
      <w:start w:val="1"/>
      <w:numFmt w:val="decimal"/>
      <w:lvlText w:val="%1.%2"/>
      <w:lvlJc w:val="left"/>
      <w:pPr>
        <w:ind w:left="567" w:hanging="567"/>
      </w:pPr>
      <w:rPr>
        <w:rFonts w:hint="default" w:ascii="Times New Roman" w:hAnsi="Times New Roman" w:eastAsia="宋体" w:cs="Times New Roman"/>
        <w:b/>
        <w:sz w:val="32"/>
      </w:rPr>
    </w:lvl>
    <w:lvl w:ilvl="2" w:tentative="0">
      <w:start w:val="1"/>
      <w:numFmt w:val="decimal"/>
      <w:lvlText w:val="%1.%2.%3"/>
      <w:lvlJc w:val="left"/>
      <w:pPr>
        <w:ind w:left="709" w:hanging="567"/>
      </w:pPr>
      <w:rPr>
        <w:rFonts w:hint="default" w:ascii="Times New Roman" w:hAnsi="Times New Roman" w:cs="Times New Roman"/>
      </w:rPr>
    </w:lvl>
    <w:lvl w:ilvl="3" w:tentative="0">
      <w:start w:val="1"/>
      <w:numFmt w:val="decimal"/>
      <w:pStyle w:val="333"/>
      <w:suff w:val="space"/>
      <w:lvlText w:val="%1.%2.%3.%4"/>
      <w:lvlJc w:val="left"/>
      <w:pPr>
        <w:ind w:left="1984" w:hanging="1984"/>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1">
    <w:nsid w:val="4DFF6B69"/>
    <w:multiLevelType w:val="multilevel"/>
    <w:tmpl w:val="4DFF6B69"/>
    <w:lvl w:ilvl="0" w:tentative="0">
      <w:start w:val="1"/>
      <w:numFmt w:val="decimal"/>
      <w:lvlText w:val="%1"/>
      <w:lvlJc w:val="left"/>
      <w:pPr>
        <w:ind w:left="432" w:hanging="432"/>
      </w:pPr>
    </w:lvl>
    <w:lvl w:ilvl="1" w:tentative="0">
      <w:start w:val="1"/>
      <w:numFmt w:val="decimal"/>
      <w:lvlText w:val="%1.%2"/>
      <w:lvlJc w:val="left"/>
      <w:pPr>
        <w:ind w:left="576" w:hanging="576"/>
      </w:pPr>
    </w:lvl>
    <w:lvl w:ilvl="2" w:tentative="0">
      <w:start w:val="1"/>
      <w:numFmt w:val="decimal"/>
      <w:lvlText w:val="%1.%2.%3"/>
      <w:lvlJc w:val="left"/>
      <w:pPr>
        <w:ind w:left="720" w:hanging="720"/>
      </w:pPr>
    </w:lvl>
    <w:lvl w:ilvl="3" w:tentative="0">
      <w:start w:val="1"/>
      <w:numFmt w:val="decimal"/>
      <w:lvlText w:val="%1.%2.%3.%4"/>
      <w:lvlJc w:val="left"/>
      <w:pPr>
        <w:ind w:left="864" w:hanging="864"/>
      </w:pPr>
    </w:lvl>
    <w:lvl w:ilvl="4" w:tentative="0">
      <w:start w:val="1"/>
      <w:numFmt w:val="decimal"/>
      <w:lvlText w:val="%1.%2.%3.%4.%5"/>
      <w:lvlJc w:val="left"/>
      <w:pPr>
        <w:ind w:left="1008" w:hanging="1008"/>
      </w:pPr>
    </w:lvl>
    <w:lvl w:ilvl="5" w:tentative="0">
      <w:start w:val="1"/>
      <w:numFmt w:val="decimal"/>
      <w:lvlText w:val="%1.%2.%3.%4.%5.%6"/>
      <w:lvlJc w:val="left"/>
      <w:pPr>
        <w:ind w:left="1152" w:hanging="1152"/>
      </w:pPr>
    </w:lvl>
    <w:lvl w:ilvl="6" w:tentative="0">
      <w:start w:val="1"/>
      <w:numFmt w:val="decimal"/>
      <w:lvlText w:val="%1.%2.%3.%4.%5.%6.%7"/>
      <w:lvlJc w:val="left"/>
      <w:pPr>
        <w:ind w:left="1296" w:hanging="1296"/>
      </w:p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22">
    <w:nsid w:val="539B2EC7"/>
    <w:multiLevelType w:val="multilevel"/>
    <w:tmpl w:val="539B2EC7"/>
    <w:lvl w:ilvl="0" w:tentative="0">
      <w:start w:val="1"/>
      <w:numFmt w:val="decimal"/>
      <w:lvlText w:val="%1."/>
      <w:lvlJc w:val="left"/>
      <w:pPr>
        <w:ind w:left="980" w:hanging="420"/>
      </w:pPr>
    </w:lvl>
    <w:lvl w:ilvl="1" w:tentative="0">
      <w:start w:val="1"/>
      <w:numFmt w:val="decimal"/>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3">
    <w:nsid w:val="5428376E"/>
    <w:multiLevelType w:val="multilevel"/>
    <w:tmpl w:val="5428376E"/>
    <w:lvl w:ilvl="0" w:tentative="0">
      <w:start w:val="1"/>
      <w:numFmt w:val="decimal"/>
      <w:lvlText w:val="%1"/>
      <w:lvlJc w:val="left"/>
      <w:pPr>
        <w:tabs>
          <w:tab w:val="left" w:pos="360"/>
        </w:tabs>
        <w:ind w:left="0" w:firstLine="0"/>
      </w:pPr>
      <w:rPr>
        <w:rFonts w:hint="default"/>
      </w:rPr>
    </w:lvl>
    <w:lvl w:ilvl="1" w:tentative="0">
      <w:start w:val="1"/>
      <w:numFmt w:val="decimal"/>
      <w:isLgl/>
      <w:lvlText w:val="%1.%2"/>
      <w:lvlJc w:val="left"/>
      <w:pPr>
        <w:tabs>
          <w:tab w:val="left" w:pos="720"/>
        </w:tabs>
        <w:ind w:left="0" w:firstLine="0"/>
      </w:pPr>
      <w:rPr>
        <w:rFonts w:hint="default"/>
      </w:rPr>
    </w:lvl>
    <w:lvl w:ilvl="2" w:tentative="0">
      <w:start w:val="1"/>
      <w:numFmt w:val="decimal"/>
      <w:pStyle w:val="178"/>
      <w:isLgl/>
      <w:lvlText w:val="%1.%2.%3"/>
      <w:lvlJc w:val="left"/>
      <w:pPr>
        <w:tabs>
          <w:tab w:val="left" w:pos="1080"/>
        </w:tabs>
        <w:ind w:left="0" w:firstLine="0"/>
      </w:pPr>
      <w:rPr>
        <w:rFonts w:hint="default"/>
      </w:rPr>
    </w:lvl>
    <w:lvl w:ilvl="3" w:tentative="0">
      <w:start w:val="1"/>
      <w:numFmt w:val="decimal"/>
      <w:isLgl/>
      <w:lvlText w:val="%1.%2.%3.%4"/>
      <w:lvlJc w:val="left"/>
      <w:pPr>
        <w:tabs>
          <w:tab w:val="left" w:pos="1440"/>
        </w:tabs>
        <w:ind w:left="0" w:firstLine="0"/>
      </w:pPr>
      <w:rPr>
        <w:rFonts w:hint="default"/>
      </w:rPr>
    </w:lvl>
    <w:lvl w:ilvl="4" w:tentative="0">
      <w:start w:val="1"/>
      <w:numFmt w:val="decimal"/>
      <w:isLgl/>
      <w:lvlText w:val="%1.%2.%3.%4.%5"/>
      <w:lvlJc w:val="left"/>
      <w:pPr>
        <w:tabs>
          <w:tab w:val="left" w:pos="1440"/>
        </w:tabs>
        <w:ind w:left="645" w:hanging="645"/>
      </w:pPr>
      <w:rPr>
        <w:rFonts w:hint="default"/>
      </w:rPr>
    </w:lvl>
    <w:lvl w:ilvl="5" w:tentative="0">
      <w:start w:val="1"/>
      <w:numFmt w:val="decimal"/>
      <w:isLgl/>
      <w:lvlText w:val="%1.%2.%3.%4.%5.%6"/>
      <w:lvlJc w:val="left"/>
      <w:pPr>
        <w:tabs>
          <w:tab w:val="left" w:pos="1800"/>
        </w:tabs>
        <w:ind w:left="645" w:hanging="645"/>
      </w:pPr>
      <w:rPr>
        <w:rFonts w:hint="default"/>
      </w:rPr>
    </w:lvl>
    <w:lvl w:ilvl="6" w:tentative="0">
      <w:start w:val="1"/>
      <w:numFmt w:val="decimal"/>
      <w:isLgl/>
      <w:lvlText w:val="%1.%2.%3.%4.%5.%6.%7"/>
      <w:lvlJc w:val="left"/>
      <w:pPr>
        <w:tabs>
          <w:tab w:val="left" w:pos="2160"/>
        </w:tabs>
        <w:ind w:left="645" w:hanging="645"/>
      </w:pPr>
      <w:rPr>
        <w:rFonts w:hint="default"/>
      </w:rPr>
    </w:lvl>
    <w:lvl w:ilvl="7" w:tentative="0">
      <w:start w:val="1"/>
      <w:numFmt w:val="decimal"/>
      <w:isLgl/>
      <w:lvlText w:val="%1.%2.%3.%4.%5.%6.%7.%8"/>
      <w:lvlJc w:val="left"/>
      <w:pPr>
        <w:tabs>
          <w:tab w:val="left" w:pos="2160"/>
        </w:tabs>
        <w:ind w:left="645" w:hanging="645"/>
      </w:pPr>
      <w:rPr>
        <w:rFonts w:hint="default"/>
      </w:rPr>
    </w:lvl>
    <w:lvl w:ilvl="8" w:tentative="0">
      <w:start w:val="1"/>
      <w:numFmt w:val="decimal"/>
      <w:isLgl/>
      <w:lvlText w:val="%1.%2.%3.%4.%5.%6.%7.%8.%9"/>
      <w:lvlJc w:val="left"/>
      <w:pPr>
        <w:tabs>
          <w:tab w:val="left" w:pos="2520"/>
        </w:tabs>
        <w:ind w:left="645" w:hanging="645"/>
      </w:pPr>
      <w:rPr>
        <w:rFonts w:hint="default"/>
      </w:rPr>
    </w:lvl>
  </w:abstractNum>
  <w:abstractNum w:abstractNumId="24">
    <w:nsid w:val="55A9A01F"/>
    <w:multiLevelType w:val="singleLevel"/>
    <w:tmpl w:val="55A9A01F"/>
    <w:lvl w:ilvl="0" w:tentative="0">
      <w:start w:val="8"/>
      <w:numFmt w:val="decimal"/>
      <w:suff w:val="nothing"/>
      <w:lvlText w:val="%1）"/>
      <w:lvlJc w:val="left"/>
    </w:lvl>
  </w:abstractNum>
  <w:abstractNum w:abstractNumId="25">
    <w:nsid w:val="639D5A3B"/>
    <w:multiLevelType w:val="multilevel"/>
    <w:tmpl w:val="639D5A3B"/>
    <w:lvl w:ilvl="0" w:tentative="0">
      <w:start w:val="1"/>
      <w:numFmt w:val="decimal"/>
      <w:suff w:val="nothing"/>
      <w:lvlText w:val="%1."/>
      <w:lvlJc w:val="left"/>
      <w:pPr>
        <w:ind w:left="982"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6">
    <w:nsid w:val="649E5CF3"/>
    <w:multiLevelType w:val="singleLevel"/>
    <w:tmpl w:val="649E5CF3"/>
    <w:lvl w:ilvl="0" w:tentative="0">
      <w:start w:val="1"/>
      <w:numFmt w:val="decimal"/>
      <w:suff w:val="nothing"/>
      <w:lvlText w:val="（%1）"/>
      <w:lvlJc w:val="left"/>
      <w:pPr>
        <w:ind w:left="280"/>
      </w:pPr>
    </w:lvl>
  </w:abstractNum>
  <w:abstractNum w:abstractNumId="27">
    <w:nsid w:val="667D1445"/>
    <w:multiLevelType w:val="multilevel"/>
    <w:tmpl w:val="667D1445"/>
    <w:lvl w:ilvl="0" w:tentative="0">
      <w:start w:val="3"/>
      <w:numFmt w:val="decimal"/>
      <w:lvlText w:val="%1"/>
      <w:lvlJc w:val="left"/>
      <w:pPr>
        <w:tabs>
          <w:tab w:val="left" w:pos="425"/>
        </w:tabs>
        <w:ind w:left="425" w:hanging="425"/>
      </w:pPr>
      <w:rPr>
        <w:rFonts w:hint="eastAsia"/>
      </w:rPr>
    </w:lvl>
    <w:lvl w:ilvl="1" w:tentative="0">
      <w:start w:val="1"/>
      <w:numFmt w:val="decimal"/>
      <w:suff w:val="space"/>
      <w:lvlText w:val="%1.%2"/>
      <w:lvlJc w:val="left"/>
      <w:pPr>
        <w:ind w:left="0" w:firstLine="0"/>
      </w:pPr>
      <w:rPr>
        <w:rFonts w:hint="eastAsia"/>
      </w:rPr>
    </w:lvl>
    <w:lvl w:ilvl="2" w:tentative="0">
      <w:start w:val="1"/>
      <w:numFmt w:val="decimal"/>
      <w:suff w:val="space"/>
      <w:lvlText w:val="%1.%2.%3"/>
      <w:lvlJc w:val="left"/>
      <w:pPr>
        <w:ind w:left="1418" w:hanging="1418"/>
      </w:pPr>
      <w:rPr>
        <w:rFonts w:hint="eastAsia"/>
      </w:rPr>
    </w:lvl>
    <w:lvl w:ilvl="3" w:tentative="0">
      <w:start w:val="1"/>
      <w:numFmt w:val="decimal"/>
      <w:lvlText w:val="%1.%2.%3.%4"/>
      <w:lvlJc w:val="left"/>
      <w:pPr>
        <w:tabs>
          <w:tab w:val="left" w:pos="2716"/>
        </w:tabs>
        <w:ind w:left="1984" w:hanging="708"/>
      </w:pPr>
      <w:rPr>
        <w:rFonts w:hint="eastAsia"/>
      </w:rPr>
    </w:lvl>
    <w:lvl w:ilvl="4" w:tentative="0">
      <w:start w:val="1"/>
      <w:numFmt w:val="decimal"/>
      <w:lvlText w:val="%1.%2.%3.%4.%5"/>
      <w:lvlJc w:val="left"/>
      <w:pPr>
        <w:tabs>
          <w:tab w:val="left" w:pos="3501"/>
        </w:tabs>
        <w:ind w:left="2551" w:hanging="850"/>
      </w:pPr>
      <w:rPr>
        <w:rFonts w:hint="eastAsia"/>
      </w:rPr>
    </w:lvl>
    <w:lvl w:ilvl="5" w:tentative="0">
      <w:start w:val="1"/>
      <w:numFmt w:val="decimal"/>
      <w:lvlText w:val="%1.%2.%3.%4.%5.%6"/>
      <w:lvlJc w:val="left"/>
      <w:pPr>
        <w:tabs>
          <w:tab w:val="left" w:pos="4286"/>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5856"/>
        </w:tabs>
        <w:ind w:left="4394" w:hanging="1418"/>
      </w:pPr>
      <w:rPr>
        <w:rFonts w:hint="eastAsia"/>
      </w:rPr>
    </w:lvl>
    <w:lvl w:ilvl="8" w:tentative="0">
      <w:start w:val="1"/>
      <w:numFmt w:val="decimal"/>
      <w:lvlRestart w:val="1"/>
      <w:pStyle w:val="320"/>
      <w:suff w:val="space"/>
      <w:lvlText w:val="图%1-%9"/>
      <w:lvlJc w:val="left"/>
      <w:pPr>
        <w:ind w:left="9652" w:hanging="5102"/>
      </w:pPr>
      <w:rPr>
        <w:rFonts w:hint="eastAsia"/>
      </w:rPr>
    </w:lvl>
  </w:abstractNum>
  <w:abstractNum w:abstractNumId="28">
    <w:nsid w:val="6A156B45"/>
    <w:multiLevelType w:val="multilevel"/>
    <w:tmpl w:val="6A156B45"/>
    <w:lvl w:ilvl="0" w:tentative="0">
      <w:start w:val="1"/>
      <w:numFmt w:val="decimal"/>
      <w:pStyle w:val="2"/>
      <w:lvlText w:val="第%1章"/>
      <w:lvlJc w:val="left"/>
      <w:rPr>
        <w:rFonts w:hint="default" w:ascii="Times New Roman" w:hAnsi="Times New Roman"/>
        <w:b/>
        <w:bCs/>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decimal"/>
      <w:pStyle w:val="3"/>
      <w:isLgl/>
      <w:suff w:val="space"/>
      <w:lvlText w:val="%1.%2"/>
      <w:lvlJc w:val="left"/>
      <w:rPr>
        <w:rFonts w:hint="eastAsia" w:ascii="Times New Roman" w:hAnsi="Times New Roman"/>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2" w:tentative="0">
      <w:start w:val="1"/>
      <w:numFmt w:val="decimal"/>
      <w:pStyle w:val="4"/>
      <w:isLgl/>
      <w:suff w:val="space"/>
      <w:lvlText w:val="%1.%2.%3"/>
      <w:lvlJc w:val="left"/>
      <w:rPr>
        <w:rFonts w:hint="eastAsia" w:ascii="Times New Roman" w:hAnsi="Times New Roman"/>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5"/>
      <w:isLgl/>
      <w:lvlText w:val="%1.%2.%3.%4."/>
      <w:lvlJc w:val="left"/>
      <w:rPr>
        <w:rFonts w:hint="eastAsia" w:ascii="Times New Roman" w:hAnsi="Times New Roman"/>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4" w:tentative="0">
      <w:start w:val="1"/>
      <w:numFmt w:val="decimal"/>
      <w:lvlRestart w:val="1"/>
      <w:pStyle w:val="6"/>
      <w:isLgl/>
      <w:lvlText w:val="图%1-%5"/>
      <w:lvlJc w:val="left"/>
      <w:pPr>
        <w:ind w:left="0" w:firstLine="0"/>
      </w:pPr>
      <w:rPr>
        <w:rFonts w:hint="default" w:ascii="Times New Roman" w:hAnsi="Times New Roman" w:eastAsia="仿宋_GB2312" w:cs="Times New Roman"/>
        <w:bCs w:val="0"/>
        <w:i w:val="0"/>
        <w:iCs w:val="0"/>
        <w:caps w:val="0"/>
        <w:smallCaps w:val="0"/>
        <w:strike w:val="0"/>
        <w:dstrike w:val="0"/>
        <w:vanish w:val="0"/>
        <w:color w:val="000000"/>
        <w:spacing w:val="0"/>
        <w:position w:val="0"/>
        <w:sz w:val="22"/>
        <w:szCs w:val="22"/>
        <w:u w:val="none"/>
        <w:vertAlign w:val="baseline"/>
        <w14:shadow w14:blurRad="0" w14:dist="0" w14:dir="0" w14:sx="0" w14:sy="0" w14:kx="0" w14:ky="0" w14:algn="none">
          <w14:srgbClr w14:val="000000"/>
        </w14:shadow>
      </w:rPr>
    </w:lvl>
    <w:lvl w:ilvl="5" w:tentative="0">
      <w:start w:val="1"/>
      <w:numFmt w:val="decimal"/>
      <w:lvlRestart w:val="1"/>
      <w:pStyle w:val="7"/>
      <w:isLgl/>
      <w:lvlText w:val="表%1-%6"/>
      <w:lvlJc w:val="left"/>
      <w:pPr>
        <w:ind w:left="5387" w:firstLine="0"/>
      </w:pPr>
      <w:rPr>
        <w:rFonts w:hint="default" w:ascii="Times New Roman" w:hAnsi="Times New Roman" w:eastAsia="仿宋_GB2312" w:cs="Times New Roman"/>
        <w:b/>
        <w:i w:val="0"/>
        <w:sz w:val="22"/>
        <w:szCs w:val="22"/>
      </w:rPr>
    </w:lvl>
    <w:lvl w:ilvl="6" w:tentative="0">
      <w:start w:val="1"/>
      <w:numFmt w:val="decimal"/>
      <w:lvlText w:val="%7."/>
      <w:lvlJc w:val="left"/>
      <w:pPr>
        <w:ind w:left="0" w:firstLine="0"/>
      </w:pPr>
      <w:rPr>
        <w:rFonts w:hint="eastAsia"/>
      </w:rPr>
    </w:lvl>
    <w:lvl w:ilvl="7" w:tentative="0">
      <w:start w:val="1"/>
      <w:numFmt w:val="lowerLetter"/>
      <w:lvlText w:val="%8)"/>
      <w:lvlJc w:val="left"/>
      <w:pPr>
        <w:ind w:left="0" w:firstLine="0"/>
      </w:pPr>
      <w:rPr>
        <w:rFonts w:hint="eastAsia"/>
      </w:rPr>
    </w:lvl>
    <w:lvl w:ilvl="8" w:tentative="0">
      <w:start w:val="1"/>
      <w:numFmt w:val="lowerRoman"/>
      <w:lvlText w:val="%9."/>
      <w:lvlJc w:val="right"/>
      <w:pPr>
        <w:ind w:left="0" w:firstLine="0"/>
      </w:pPr>
      <w:rPr>
        <w:rFonts w:hint="eastAsia"/>
      </w:rPr>
    </w:lvl>
  </w:abstractNum>
  <w:abstractNum w:abstractNumId="29">
    <w:nsid w:val="6D6C0A5A"/>
    <w:multiLevelType w:val="multilevel"/>
    <w:tmpl w:val="6D6C0A5A"/>
    <w:lvl w:ilvl="0" w:tentative="0">
      <w:start w:val="1"/>
      <w:numFmt w:val="decimal"/>
      <w:suff w:val="nothing"/>
      <w:lvlText w:val="%1."/>
      <w:lvlJc w:val="left"/>
      <w:pPr>
        <w:ind w:left="982"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0">
    <w:nsid w:val="6FB70902"/>
    <w:multiLevelType w:val="multilevel"/>
    <w:tmpl w:val="6FB70902"/>
    <w:lvl w:ilvl="0" w:tentative="0">
      <w:start w:val="1"/>
      <w:numFmt w:val="decimal"/>
      <w:lvlText w:val="%1."/>
      <w:lvlJc w:val="left"/>
      <w:pPr>
        <w:ind w:left="980" w:hanging="4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1">
    <w:nsid w:val="7489101A"/>
    <w:multiLevelType w:val="multilevel"/>
    <w:tmpl w:val="7489101A"/>
    <w:lvl w:ilvl="0" w:tentative="0">
      <w:start w:val="1"/>
      <w:numFmt w:val="decimal"/>
      <w:suff w:val="space"/>
      <w:lvlText w:val="第%1章"/>
      <w:lvlJc w:val="left"/>
      <w:pPr>
        <w:ind w:left="425" w:hanging="425"/>
      </w:pPr>
      <w:rPr>
        <w:rFonts w:hint="eastAsia"/>
        <w:b/>
        <w:bCs w:val="0"/>
        <w:i w:val="0"/>
        <w:iCs w:val="0"/>
        <w:caps w:val="0"/>
        <w:smallCaps w:val="0"/>
        <w:strike w:val="0"/>
        <w:dstrike w:val="0"/>
        <w:vanish w:val="0"/>
        <w:color w:val="000000"/>
        <w:spacing w:val="0"/>
        <w:position w:val="0"/>
        <w:sz w:val="36"/>
        <w:szCs w:val="36"/>
        <w:u w:val="none"/>
        <w:vertAlign w:val="baseline"/>
      </w:rPr>
    </w:lvl>
    <w:lvl w:ilvl="1" w:tentative="0">
      <w:start w:val="1"/>
      <w:numFmt w:val="decimal"/>
      <w:pStyle w:val="269"/>
      <w:suff w:val="space"/>
      <w:lvlText w:val="%1.%2"/>
      <w:lvlJc w:val="left"/>
      <w:pPr>
        <w:ind w:left="851" w:hanging="567"/>
      </w:pPr>
      <w:rPr>
        <w:rFonts w:hint="eastAsia"/>
        <w:b/>
        <w:sz w:val="32"/>
        <w:szCs w:val="32"/>
        <w:lang w:eastAsia="zh-CN"/>
      </w:rPr>
    </w:lvl>
    <w:lvl w:ilvl="2" w:tentative="0">
      <w:start w:val="1"/>
      <w:numFmt w:val="decimal"/>
      <w:suff w:val="space"/>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32">
    <w:nsid w:val="7F8B5B20"/>
    <w:multiLevelType w:val="multilevel"/>
    <w:tmpl w:val="7F8B5B20"/>
    <w:lvl w:ilvl="0" w:tentative="0">
      <w:start w:val="1"/>
      <w:numFmt w:val="decimal"/>
      <w:suff w:val="nothing"/>
      <w:lvlText w:val="%1．"/>
      <w:lvlJc w:val="left"/>
      <w:pPr>
        <w:ind w:left="0" w:firstLine="560"/>
      </w:pPr>
      <w:rPr>
        <w:rFonts w:hint="default"/>
      </w:rPr>
    </w:lvl>
    <w:lvl w:ilvl="1" w:tentative="0">
      <w:start w:val="1"/>
      <w:numFmt w:val="lowerLetter"/>
      <w:pStyle w:val="374"/>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num w:numId="1">
    <w:abstractNumId w:val="28"/>
  </w:num>
  <w:num w:numId="2">
    <w:abstractNumId w:val="12"/>
  </w:num>
  <w:num w:numId="3">
    <w:abstractNumId w:val="23"/>
  </w:num>
  <w:num w:numId="4">
    <w:abstractNumId w:val="31"/>
  </w:num>
  <w:num w:numId="5">
    <w:abstractNumId w:val="14"/>
  </w:num>
  <w:num w:numId="6">
    <w:abstractNumId w:val="27"/>
  </w:num>
  <w:num w:numId="7">
    <w:abstractNumId w:val="20"/>
  </w:num>
  <w:num w:numId="8">
    <w:abstractNumId w:val="32"/>
  </w:num>
  <w:num w:numId="9">
    <w:abstractNumId w:val="1"/>
  </w:num>
  <w:num w:numId="10">
    <w:abstractNumId w:val="7"/>
  </w:num>
  <w:num w:numId="11">
    <w:abstractNumId w:val="6"/>
  </w:num>
  <w:num w:numId="12">
    <w:abstractNumId w:val="29"/>
  </w:num>
  <w:num w:numId="13">
    <w:abstractNumId w:val="25"/>
  </w:num>
  <w:num w:numId="14">
    <w:abstractNumId w:val="24"/>
  </w:num>
  <w:num w:numId="15">
    <w:abstractNumId w:val="21"/>
  </w:num>
  <w:num w:numId="16">
    <w:abstractNumId w:val="26"/>
  </w:num>
  <w:num w:numId="17">
    <w:abstractNumId w:val="10"/>
  </w:num>
  <w:num w:numId="18">
    <w:abstractNumId w:val="0"/>
  </w:num>
  <w:num w:numId="19">
    <w:abstractNumId w:val="8"/>
  </w:num>
  <w:num w:numId="20">
    <w:abstractNumId w:val="19"/>
  </w:num>
  <w:num w:numId="21">
    <w:abstractNumId w:val="15"/>
  </w:num>
  <w:num w:numId="22">
    <w:abstractNumId w:val="4"/>
  </w:num>
  <w:num w:numId="23">
    <w:abstractNumId w:val="2"/>
  </w:num>
  <w:num w:numId="24">
    <w:abstractNumId w:val="11"/>
  </w:num>
  <w:num w:numId="25">
    <w:abstractNumId w:val="3"/>
  </w:num>
  <w:num w:numId="26">
    <w:abstractNumId w:val="13"/>
  </w:num>
  <w:num w:numId="27">
    <w:abstractNumId w:val="17"/>
  </w:num>
  <w:num w:numId="28">
    <w:abstractNumId w:val="9"/>
  </w:num>
  <w:num w:numId="29">
    <w:abstractNumId w:val="5"/>
  </w:num>
  <w:num w:numId="30">
    <w:abstractNumId w:val="30"/>
  </w:num>
  <w:num w:numId="31">
    <w:abstractNumId w:val="22"/>
  </w:num>
  <w:num w:numId="32">
    <w:abstractNumId w:val="18"/>
  </w:num>
  <w:num w:numId="3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oNotDisplayPageBoundaries w:val="true"/>
  <w:bordersDoNotSurroundHeader w:val="true"/>
  <w:bordersDoNotSurroundFooter w:val="true"/>
  <w:hideSpellingErrors/>
  <w:documentProtection w:enforcement="0"/>
  <w:defaultTabStop w:val="0"/>
  <w:drawingGridHorizontalSpacing w:val="140"/>
  <w:drawingGridVerticalSpacing w:val="381"/>
  <w:displayHorizontalDrawingGridEvery w:val="2"/>
  <w:noPunctuationKerning w:val="true"/>
  <w:characterSpacingControl w:val="doNotCompress"/>
  <w:footnotePr>
    <w:footnote w:id="0"/>
    <w:footnote w:id="1"/>
  </w:footnotePr>
  <w:endnotePr>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QyOWU1OTM1ZGJiMjg5MDAwMmVjZjI1YTc3NTBmNWIifQ=="/>
  </w:docVars>
  <w:rsids>
    <w:rsidRoot w:val="00EC5702"/>
    <w:rsid w:val="0000041C"/>
    <w:rsid w:val="00000DD6"/>
    <w:rsid w:val="000013FA"/>
    <w:rsid w:val="00001434"/>
    <w:rsid w:val="00001DB3"/>
    <w:rsid w:val="00002077"/>
    <w:rsid w:val="00004CEE"/>
    <w:rsid w:val="00005FFB"/>
    <w:rsid w:val="00006FE1"/>
    <w:rsid w:val="00007A41"/>
    <w:rsid w:val="00007BF4"/>
    <w:rsid w:val="00010C2C"/>
    <w:rsid w:val="00010C2D"/>
    <w:rsid w:val="00011367"/>
    <w:rsid w:val="000121A5"/>
    <w:rsid w:val="0001395A"/>
    <w:rsid w:val="00014104"/>
    <w:rsid w:val="00014216"/>
    <w:rsid w:val="00014CAA"/>
    <w:rsid w:val="000155A7"/>
    <w:rsid w:val="0001637C"/>
    <w:rsid w:val="00016663"/>
    <w:rsid w:val="00016D75"/>
    <w:rsid w:val="00016DB2"/>
    <w:rsid w:val="00020348"/>
    <w:rsid w:val="000204A7"/>
    <w:rsid w:val="0002131C"/>
    <w:rsid w:val="0002186A"/>
    <w:rsid w:val="00021BD4"/>
    <w:rsid w:val="0002290A"/>
    <w:rsid w:val="0002309D"/>
    <w:rsid w:val="000238F9"/>
    <w:rsid w:val="00024A24"/>
    <w:rsid w:val="00024AD2"/>
    <w:rsid w:val="00024C2C"/>
    <w:rsid w:val="00024CC9"/>
    <w:rsid w:val="00024F85"/>
    <w:rsid w:val="00025A5D"/>
    <w:rsid w:val="000276B5"/>
    <w:rsid w:val="000276E1"/>
    <w:rsid w:val="00027E85"/>
    <w:rsid w:val="00030E99"/>
    <w:rsid w:val="00031915"/>
    <w:rsid w:val="000322D2"/>
    <w:rsid w:val="00032347"/>
    <w:rsid w:val="00032489"/>
    <w:rsid w:val="00032676"/>
    <w:rsid w:val="00033375"/>
    <w:rsid w:val="0003378A"/>
    <w:rsid w:val="00033E40"/>
    <w:rsid w:val="000371A5"/>
    <w:rsid w:val="00037BD4"/>
    <w:rsid w:val="00040BF2"/>
    <w:rsid w:val="000419BB"/>
    <w:rsid w:val="00041E9B"/>
    <w:rsid w:val="00043C1A"/>
    <w:rsid w:val="000443CA"/>
    <w:rsid w:val="00044F6A"/>
    <w:rsid w:val="0004553C"/>
    <w:rsid w:val="00045F8E"/>
    <w:rsid w:val="00046443"/>
    <w:rsid w:val="000465ED"/>
    <w:rsid w:val="000467CF"/>
    <w:rsid w:val="00047EFA"/>
    <w:rsid w:val="00050084"/>
    <w:rsid w:val="00050118"/>
    <w:rsid w:val="00050ADB"/>
    <w:rsid w:val="00050FA5"/>
    <w:rsid w:val="000512E7"/>
    <w:rsid w:val="0005136B"/>
    <w:rsid w:val="00051D84"/>
    <w:rsid w:val="0005213F"/>
    <w:rsid w:val="000521BC"/>
    <w:rsid w:val="00054B12"/>
    <w:rsid w:val="00054B95"/>
    <w:rsid w:val="00054D59"/>
    <w:rsid w:val="00056273"/>
    <w:rsid w:val="00056F01"/>
    <w:rsid w:val="00056F95"/>
    <w:rsid w:val="000577CC"/>
    <w:rsid w:val="00057E69"/>
    <w:rsid w:val="000614A1"/>
    <w:rsid w:val="00062657"/>
    <w:rsid w:val="00063DA6"/>
    <w:rsid w:val="00064122"/>
    <w:rsid w:val="00064977"/>
    <w:rsid w:val="00065298"/>
    <w:rsid w:val="000652C0"/>
    <w:rsid w:val="000655AD"/>
    <w:rsid w:val="00066584"/>
    <w:rsid w:val="000705F6"/>
    <w:rsid w:val="0007091C"/>
    <w:rsid w:val="000712A3"/>
    <w:rsid w:val="00072598"/>
    <w:rsid w:val="00072FE7"/>
    <w:rsid w:val="00073A28"/>
    <w:rsid w:val="00073D48"/>
    <w:rsid w:val="00074444"/>
    <w:rsid w:val="00074998"/>
    <w:rsid w:val="000751D6"/>
    <w:rsid w:val="00075378"/>
    <w:rsid w:val="000756CB"/>
    <w:rsid w:val="000764D4"/>
    <w:rsid w:val="00076B5C"/>
    <w:rsid w:val="00077509"/>
    <w:rsid w:val="00077874"/>
    <w:rsid w:val="0008087F"/>
    <w:rsid w:val="000810F0"/>
    <w:rsid w:val="00081FF5"/>
    <w:rsid w:val="000822DE"/>
    <w:rsid w:val="000834E2"/>
    <w:rsid w:val="00084195"/>
    <w:rsid w:val="000842F8"/>
    <w:rsid w:val="000858B0"/>
    <w:rsid w:val="00085BA0"/>
    <w:rsid w:val="00086118"/>
    <w:rsid w:val="000874DE"/>
    <w:rsid w:val="00087516"/>
    <w:rsid w:val="00087C5B"/>
    <w:rsid w:val="000905C3"/>
    <w:rsid w:val="00090936"/>
    <w:rsid w:val="00091083"/>
    <w:rsid w:val="0009108D"/>
    <w:rsid w:val="0009130B"/>
    <w:rsid w:val="00091375"/>
    <w:rsid w:val="00091D69"/>
    <w:rsid w:val="000923C9"/>
    <w:rsid w:val="00093321"/>
    <w:rsid w:val="00094764"/>
    <w:rsid w:val="00095A34"/>
    <w:rsid w:val="00095BC0"/>
    <w:rsid w:val="00095D4C"/>
    <w:rsid w:val="00096658"/>
    <w:rsid w:val="00096750"/>
    <w:rsid w:val="00096C36"/>
    <w:rsid w:val="0009716D"/>
    <w:rsid w:val="000A0CEC"/>
    <w:rsid w:val="000A172C"/>
    <w:rsid w:val="000A1CBB"/>
    <w:rsid w:val="000A1CCA"/>
    <w:rsid w:val="000A21C3"/>
    <w:rsid w:val="000A270F"/>
    <w:rsid w:val="000A2981"/>
    <w:rsid w:val="000A2A37"/>
    <w:rsid w:val="000A2A7B"/>
    <w:rsid w:val="000A324C"/>
    <w:rsid w:val="000A3427"/>
    <w:rsid w:val="000A4DF6"/>
    <w:rsid w:val="000A553F"/>
    <w:rsid w:val="000A6418"/>
    <w:rsid w:val="000A7714"/>
    <w:rsid w:val="000A781B"/>
    <w:rsid w:val="000B05D6"/>
    <w:rsid w:val="000B06C0"/>
    <w:rsid w:val="000B08AC"/>
    <w:rsid w:val="000B094D"/>
    <w:rsid w:val="000B0F10"/>
    <w:rsid w:val="000B18B6"/>
    <w:rsid w:val="000B1F4A"/>
    <w:rsid w:val="000B32F3"/>
    <w:rsid w:val="000B33E6"/>
    <w:rsid w:val="000B3509"/>
    <w:rsid w:val="000B3A0A"/>
    <w:rsid w:val="000B4447"/>
    <w:rsid w:val="000B458B"/>
    <w:rsid w:val="000B4D67"/>
    <w:rsid w:val="000B5725"/>
    <w:rsid w:val="000B69B5"/>
    <w:rsid w:val="000B715C"/>
    <w:rsid w:val="000B77A5"/>
    <w:rsid w:val="000C0DEB"/>
    <w:rsid w:val="000C22A8"/>
    <w:rsid w:val="000C23E8"/>
    <w:rsid w:val="000C2BDE"/>
    <w:rsid w:val="000C31F8"/>
    <w:rsid w:val="000C362D"/>
    <w:rsid w:val="000C39C8"/>
    <w:rsid w:val="000C3F56"/>
    <w:rsid w:val="000C4B63"/>
    <w:rsid w:val="000C4DAE"/>
    <w:rsid w:val="000C546E"/>
    <w:rsid w:val="000C613A"/>
    <w:rsid w:val="000C62A3"/>
    <w:rsid w:val="000C62B1"/>
    <w:rsid w:val="000C71B5"/>
    <w:rsid w:val="000C77C2"/>
    <w:rsid w:val="000D0069"/>
    <w:rsid w:val="000D0746"/>
    <w:rsid w:val="000D0BE6"/>
    <w:rsid w:val="000D1A4E"/>
    <w:rsid w:val="000D291B"/>
    <w:rsid w:val="000D3776"/>
    <w:rsid w:val="000D4133"/>
    <w:rsid w:val="000D4134"/>
    <w:rsid w:val="000D4AB1"/>
    <w:rsid w:val="000D593C"/>
    <w:rsid w:val="000D5BA5"/>
    <w:rsid w:val="000D6537"/>
    <w:rsid w:val="000E0881"/>
    <w:rsid w:val="000E2014"/>
    <w:rsid w:val="000E2163"/>
    <w:rsid w:val="000E249D"/>
    <w:rsid w:val="000E2C3F"/>
    <w:rsid w:val="000E3BC2"/>
    <w:rsid w:val="000E3CD7"/>
    <w:rsid w:val="000E3E59"/>
    <w:rsid w:val="000E4B37"/>
    <w:rsid w:val="000E6124"/>
    <w:rsid w:val="000E6873"/>
    <w:rsid w:val="000E6929"/>
    <w:rsid w:val="000E6C29"/>
    <w:rsid w:val="000E6F72"/>
    <w:rsid w:val="000E70E8"/>
    <w:rsid w:val="000F06D9"/>
    <w:rsid w:val="000F0D05"/>
    <w:rsid w:val="000F0D83"/>
    <w:rsid w:val="000F14B8"/>
    <w:rsid w:val="000F20AE"/>
    <w:rsid w:val="000F20DA"/>
    <w:rsid w:val="000F21D7"/>
    <w:rsid w:val="000F32D6"/>
    <w:rsid w:val="000F3A23"/>
    <w:rsid w:val="000F4CB5"/>
    <w:rsid w:val="000F4EAA"/>
    <w:rsid w:val="000F5FE9"/>
    <w:rsid w:val="000F6C80"/>
    <w:rsid w:val="000F7C22"/>
    <w:rsid w:val="00100780"/>
    <w:rsid w:val="001015B9"/>
    <w:rsid w:val="00102124"/>
    <w:rsid w:val="001021BA"/>
    <w:rsid w:val="00102308"/>
    <w:rsid w:val="00102622"/>
    <w:rsid w:val="001030F9"/>
    <w:rsid w:val="0010361A"/>
    <w:rsid w:val="0010371E"/>
    <w:rsid w:val="00103EAD"/>
    <w:rsid w:val="001040BA"/>
    <w:rsid w:val="00104695"/>
    <w:rsid w:val="00104D50"/>
    <w:rsid w:val="0010573A"/>
    <w:rsid w:val="0010595D"/>
    <w:rsid w:val="00106BE1"/>
    <w:rsid w:val="00106E17"/>
    <w:rsid w:val="001076E5"/>
    <w:rsid w:val="00107A69"/>
    <w:rsid w:val="001111F7"/>
    <w:rsid w:val="0011137F"/>
    <w:rsid w:val="0011156C"/>
    <w:rsid w:val="0011196A"/>
    <w:rsid w:val="001124EC"/>
    <w:rsid w:val="001124F6"/>
    <w:rsid w:val="0011401E"/>
    <w:rsid w:val="00114DBC"/>
    <w:rsid w:val="00115392"/>
    <w:rsid w:val="001154D3"/>
    <w:rsid w:val="001154F7"/>
    <w:rsid w:val="00115610"/>
    <w:rsid w:val="00116223"/>
    <w:rsid w:val="00116BAB"/>
    <w:rsid w:val="001174E1"/>
    <w:rsid w:val="00117FF0"/>
    <w:rsid w:val="0012082E"/>
    <w:rsid w:val="00120D92"/>
    <w:rsid w:val="00120F37"/>
    <w:rsid w:val="001221B1"/>
    <w:rsid w:val="00122F24"/>
    <w:rsid w:val="00123416"/>
    <w:rsid w:val="001244E0"/>
    <w:rsid w:val="00124576"/>
    <w:rsid w:val="00125280"/>
    <w:rsid w:val="001264BB"/>
    <w:rsid w:val="0012676A"/>
    <w:rsid w:val="00127259"/>
    <w:rsid w:val="00127C70"/>
    <w:rsid w:val="0013257C"/>
    <w:rsid w:val="00132AED"/>
    <w:rsid w:val="00133017"/>
    <w:rsid w:val="00133BB6"/>
    <w:rsid w:val="00133CFF"/>
    <w:rsid w:val="00134212"/>
    <w:rsid w:val="00134320"/>
    <w:rsid w:val="00135C56"/>
    <w:rsid w:val="001367F6"/>
    <w:rsid w:val="00143D34"/>
    <w:rsid w:val="00143ECF"/>
    <w:rsid w:val="001448C9"/>
    <w:rsid w:val="001450F9"/>
    <w:rsid w:val="0014606F"/>
    <w:rsid w:val="0014637C"/>
    <w:rsid w:val="001468BF"/>
    <w:rsid w:val="00147FA2"/>
    <w:rsid w:val="00150590"/>
    <w:rsid w:val="00150A73"/>
    <w:rsid w:val="00150AFB"/>
    <w:rsid w:val="001525A1"/>
    <w:rsid w:val="00152BF1"/>
    <w:rsid w:val="0015312A"/>
    <w:rsid w:val="00153AF3"/>
    <w:rsid w:val="00153F99"/>
    <w:rsid w:val="001542D0"/>
    <w:rsid w:val="001543ED"/>
    <w:rsid w:val="001552EB"/>
    <w:rsid w:val="0015550F"/>
    <w:rsid w:val="00155BCB"/>
    <w:rsid w:val="0015603F"/>
    <w:rsid w:val="0015611A"/>
    <w:rsid w:val="00157A96"/>
    <w:rsid w:val="00160303"/>
    <w:rsid w:val="00161034"/>
    <w:rsid w:val="00162539"/>
    <w:rsid w:val="00163C26"/>
    <w:rsid w:val="001640AB"/>
    <w:rsid w:val="001644B6"/>
    <w:rsid w:val="001648A1"/>
    <w:rsid w:val="00164E4B"/>
    <w:rsid w:val="00164E7D"/>
    <w:rsid w:val="00165043"/>
    <w:rsid w:val="00165338"/>
    <w:rsid w:val="00165BA5"/>
    <w:rsid w:val="00166202"/>
    <w:rsid w:val="001665CD"/>
    <w:rsid w:val="0016680F"/>
    <w:rsid w:val="00166F92"/>
    <w:rsid w:val="00167393"/>
    <w:rsid w:val="001673D7"/>
    <w:rsid w:val="00167B8E"/>
    <w:rsid w:val="00172573"/>
    <w:rsid w:val="001750FF"/>
    <w:rsid w:val="00175BB7"/>
    <w:rsid w:val="00176054"/>
    <w:rsid w:val="00176A1D"/>
    <w:rsid w:val="00176ABE"/>
    <w:rsid w:val="00176F4B"/>
    <w:rsid w:val="001776C2"/>
    <w:rsid w:val="00180702"/>
    <w:rsid w:val="0018085E"/>
    <w:rsid w:val="00180D8C"/>
    <w:rsid w:val="00181A5B"/>
    <w:rsid w:val="001825BE"/>
    <w:rsid w:val="00182D24"/>
    <w:rsid w:val="0018317F"/>
    <w:rsid w:val="00183324"/>
    <w:rsid w:val="00183334"/>
    <w:rsid w:val="00183885"/>
    <w:rsid w:val="0018517E"/>
    <w:rsid w:val="00186922"/>
    <w:rsid w:val="00186ABB"/>
    <w:rsid w:val="001876C8"/>
    <w:rsid w:val="001901F9"/>
    <w:rsid w:val="0019135B"/>
    <w:rsid w:val="0019176D"/>
    <w:rsid w:val="001922A9"/>
    <w:rsid w:val="001933FA"/>
    <w:rsid w:val="00193BED"/>
    <w:rsid w:val="00193D7C"/>
    <w:rsid w:val="00194250"/>
    <w:rsid w:val="001947C7"/>
    <w:rsid w:val="00195091"/>
    <w:rsid w:val="00196333"/>
    <w:rsid w:val="001964F3"/>
    <w:rsid w:val="00197193"/>
    <w:rsid w:val="001972AA"/>
    <w:rsid w:val="00197C05"/>
    <w:rsid w:val="00197D47"/>
    <w:rsid w:val="001A05C8"/>
    <w:rsid w:val="001A0AA7"/>
    <w:rsid w:val="001A10F2"/>
    <w:rsid w:val="001A2A38"/>
    <w:rsid w:val="001A2B78"/>
    <w:rsid w:val="001A30C6"/>
    <w:rsid w:val="001A35D0"/>
    <w:rsid w:val="001A3BFB"/>
    <w:rsid w:val="001A3CEB"/>
    <w:rsid w:val="001A458F"/>
    <w:rsid w:val="001A5717"/>
    <w:rsid w:val="001A5C23"/>
    <w:rsid w:val="001A62DD"/>
    <w:rsid w:val="001A68F7"/>
    <w:rsid w:val="001A75F1"/>
    <w:rsid w:val="001A7897"/>
    <w:rsid w:val="001A7AFB"/>
    <w:rsid w:val="001B04ED"/>
    <w:rsid w:val="001B06B7"/>
    <w:rsid w:val="001B07B9"/>
    <w:rsid w:val="001B0D66"/>
    <w:rsid w:val="001B13A5"/>
    <w:rsid w:val="001B141F"/>
    <w:rsid w:val="001B37C6"/>
    <w:rsid w:val="001B3D39"/>
    <w:rsid w:val="001B4575"/>
    <w:rsid w:val="001B4C94"/>
    <w:rsid w:val="001B4F2E"/>
    <w:rsid w:val="001B6174"/>
    <w:rsid w:val="001B7A1B"/>
    <w:rsid w:val="001C02C4"/>
    <w:rsid w:val="001C0702"/>
    <w:rsid w:val="001C0D1B"/>
    <w:rsid w:val="001C1483"/>
    <w:rsid w:val="001C198F"/>
    <w:rsid w:val="001C1B8D"/>
    <w:rsid w:val="001C1F7E"/>
    <w:rsid w:val="001C204C"/>
    <w:rsid w:val="001C23A3"/>
    <w:rsid w:val="001C2C07"/>
    <w:rsid w:val="001C3115"/>
    <w:rsid w:val="001C3F05"/>
    <w:rsid w:val="001C4454"/>
    <w:rsid w:val="001C48C0"/>
    <w:rsid w:val="001C4F0F"/>
    <w:rsid w:val="001C523D"/>
    <w:rsid w:val="001C5D91"/>
    <w:rsid w:val="001C6F10"/>
    <w:rsid w:val="001C7350"/>
    <w:rsid w:val="001C76D5"/>
    <w:rsid w:val="001D00A0"/>
    <w:rsid w:val="001D2D29"/>
    <w:rsid w:val="001D2E39"/>
    <w:rsid w:val="001D3F83"/>
    <w:rsid w:val="001D426C"/>
    <w:rsid w:val="001D63D3"/>
    <w:rsid w:val="001E0B05"/>
    <w:rsid w:val="001E127D"/>
    <w:rsid w:val="001E138A"/>
    <w:rsid w:val="001E157F"/>
    <w:rsid w:val="001E1B19"/>
    <w:rsid w:val="001E22A7"/>
    <w:rsid w:val="001E2467"/>
    <w:rsid w:val="001E3B07"/>
    <w:rsid w:val="001E3CED"/>
    <w:rsid w:val="001E3EE5"/>
    <w:rsid w:val="001E4916"/>
    <w:rsid w:val="001E4D0B"/>
    <w:rsid w:val="001E588F"/>
    <w:rsid w:val="001E60AE"/>
    <w:rsid w:val="001E6C06"/>
    <w:rsid w:val="001F0235"/>
    <w:rsid w:val="001F05F5"/>
    <w:rsid w:val="001F07BA"/>
    <w:rsid w:val="001F0ACD"/>
    <w:rsid w:val="001F0CD8"/>
    <w:rsid w:val="001F1BFE"/>
    <w:rsid w:val="001F1E1A"/>
    <w:rsid w:val="001F25CB"/>
    <w:rsid w:val="001F26A9"/>
    <w:rsid w:val="001F2910"/>
    <w:rsid w:val="001F2995"/>
    <w:rsid w:val="001F3835"/>
    <w:rsid w:val="001F3F49"/>
    <w:rsid w:val="001F44DF"/>
    <w:rsid w:val="001F4A17"/>
    <w:rsid w:val="001F5AB3"/>
    <w:rsid w:val="001F618F"/>
    <w:rsid w:val="001F61C8"/>
    <w:rsid w:val="001F6CA1"/>
    <w:rsid w:val="001F6FE8"/>
    <w:rsid w:val="001F767B"/>
    <w:rsid w:val="001F7704"/>
    <w:rsid w:val="001F7B3A"/>
    <w:rsid w:val="0020010E"/>
    <w:rsid w:val="00201C95"/>
    <w:rsid w:val="00202128"/>
    <w:rsid w:val="002023DF"/>
    <w:rsid w:val="00202914"/>
    <w:rsid w:val="0020333E"/>
    <w:rsid w:val="00203CFE"/>
    <w:rsid w:val="00204FE3"/>
    <w:rsid w:val="0020503B"/>
    <w:rsid w:val="002053DA"/>
    <w:rsid w:val="0020622A"/>
    <w:rsid w:val="00206345"/>
    <w:rsid w:val="00206E40"/>
    <w:rsid w:val="00207207"/>
    <w:rsid w:val="00207992"/>
    <w:rsid w:val="0021089A"/>
    <w:rsid w:val="00210BDC"/>
    <w:rsid w:val="002118C9"/>
    <w:rsid w:val="00211E7C"/>
    <w:rsid w:val="002122B2"/>
    <w:rsid w:val="002130F2"/>
    <w:rsid w:val="002142F9"/>
    <w:rsid w:val="00214527"/>
    <w:rsid w:val="002146D7"/>
    <w:rsid w:val="002151AF"/>
    <w:rsid w:val="00215C60"/>
    <w:rsid w:val="00217401"/>
    <w:rsid w:val="00217E94"/>
    <w:rsid w:val="002210D2"/>
    <w:rsid w:val="00221A9A"/>
    <w:rsid w:val="0022326E"/>
    <w:rsid w:val="002237C9"/>
    <w:rsid w:val="00223F5E"/>
    <w:rsid w:val="0022449E"/>
    <w:rsid w:val="002244F9"/>
    <w:rsid w:val="00224B2B"/>
    <w:rsid w:val="00226F3C"/>
    <w:rsid w:val="00227303"/>
    <w:rsid w:val="0023204C"/>
    <w:rsid w:val="00234FF2"/>
    <w:rsid w:val="00235246"/>
    <w:rsid w:val="00236043"/>
    <w:rsid w:val="0023695D"/>
    <w:rsid w:val="00237839"/>
    <w:rsid w:val="00237BDB"/>
    <w:rsid w:val="00240D8F"/>
    <w:rsid w:val="00240E49"/>
    <w:rsid w:val="00241459"/>
    <w:rsid w:val="00241981"/>
    <w:rsid w:val="0024293E"/>
    <w:rsid w:val="00242AD9"/>
    <w:rsid w:val="00242EC3"/>
    <w:rsid w:val="002440F5"/>
    <w:rsid w:val="002450C7"/>
    <w:rsid w:val="00245B1E"/>
    <w:rsid w:val="002463ED"/>
    <w:rsid w:val="00247B43"/>
    <w:rsid w:val="0025054D"/>
    <w:rsid w:val="0025071E"/>
    <w:rsid w:val="002507F5"/>
    <w:rsid w:val="002529DB"/>
    <w:rsid w:val="00254C59"/>
    <w:rsid w:val="00254E90"/>
    <w:rsid w:val="00254F05"/>
    <w:rsid w:val="002551A6"/>
    <w:rsid w:val="0025527A"/>
    <w:rsid w:val="0025545E"/>
    <w:rsid w:val="00255BB2"/>
    <w:rsid w:val="00256101"/>
    <w:rsid w:val="00257175"/>
    <w:rsid w:val="002571D5"/>
    <w:rsid w:val="00257F12"/>
    <w:rsid w:val="00261259"/>
    <w:rsid w:val="00262B70"/>
    <w:rsid w:val="00263A03"/>
    <w:rsid w:val="00264137"/>
    <w:rsid w:val="00264EE6"/>
    <w:rsid w:val="00265D89"/>
    <w:rsid w:val="00265EC9"/>
    <w:rsid w:val="00266BC0"/>
    <w:rsid w:val="002670E9"/>
    <w:rsid w:val="00270365"/>
    <w:rsid w:val="00270C32"/>
    <w:rsid w:val="00270DA6"/>
    <w:rsid w:val="0027166F"/>
    <w:rsid w:val="002717A7"/>
    <w:rsid w:val="002728EE"/>
    <w:rsid w:val="002730E2"/>
    <w:rsid w:val="00273317"/>
    <w:rsid w:val="00273633"/>
    <w:rsid w:val="002738DF"/>
    <w:rsid w:val="0027554F"/>
    <w:rsid w:val="002761A3"/>
    <w:rsid w:val="0027657F"/>
    <w:rsid w:val="002768D8"/>
    <w:rsid w:val="0028012F"/>
    <w:rsid w:val="00280C80"/>
    <w:rsid w:val="00282288"/>
    <w:rsid w:val="002827C0"/>
    <w:rsid w:val="0028305E"/>
    <w:rsid w:val="00283321"/>
    <w:rsid w:val="00283495"/>
    <w:rsid w:val="00283514"/>
    <w:rsid w:val="00283C8F"/>
    <w:rsid w:val="0028441F"/>
    <w:rsid w:val="0028473C"/>
    <w:rsid w:val="00284CB7"/>
    <w:rsid w:val="0028518D"/>
    <w:rsid w:val="002853AE"/>
    <w:rsid w:val="00285646"/>
    <w:rsid w:val="002863C7"/>
    <w:rsid w:val="00286D1B"/>
    <w:rsid w:val="00287257"/>
    <w:rsid w:val="00287487"/>
    <w:rsid w:val="00287A44"/>
    <w:rsid w:val="00287CBF"/>
    <w:rsid w:val="00290343"/>
    <w:rsid w:val="00290B33"/>
    <w:rsid w:val="00292003"/>
    <w:rsid w:val="00292A6E"/>
    <w:rsid w:val="00292B63"/>
    <w:rsid w:val="00292C0A"/>
    <w:rsid w:val="00292E89"/>
    <w:rsid w:val="0029396D"/>
    <w:rsid w:val="00294DC1"/>
    <w:rsid w:val="002966B3"/>
    <w:rsid w:val="00297E3F"/>
    <w:rsid w:val="002A1234"/>
    <w:rsid w:val="002A123C"/>
    <w:rsid w:val="002A18B6"/>
    <w:rsid w:val="002A1BA6"/>
    <w:rsid w:val="002A1FCF"/>
    <w:rsid w:val="002A22C9"/>
    <w:rsid w:val="002A2B3A"/>
    <w:rsid w:val="002A2F69"/>
    <w:rsid w:val="002A3874"/>
    <w:rsid w:val="002A40E7"/>
    <w:rsid w:val="002A5373"/>
    <w:rsid w:val="002A6056"/>
    <w:rsid w:val="002A6214"/>
    <w:rsid w:val="002A70FB"/>
    <w:rsid w:val="002A7970"/>
    <w:rsid w:val="002A7B38"/>
    <w:rsid w:val="002B00EC"/>
    <w:rsid w:val="002B0D64"/>
    <w:rsid w:val="002B1581"/>
    <w:rsid w:val="002B2729"/>
    <w:rsid w:val="002B2982"/>
    <w:rsid w:val="002B3A08"/>
    <w:rsid w:val="002B3EB5"/>
    <w:rsid w:val="002B410F"/>
    <w:rsid w:val="002B4926"/>
    <w:rsid w:val="002B5C7F"/>
    <w:rsid w:val="002B6254"/>
    <w:rsid w:val="002B7137"/>
    <w:rsid w:val="002C0E16"/>
    <w:rsid w:val="002C2178"/>
    <w:rsid w:val="002C2E3E"/>
    <w:rsid w:val="002C2FE6"/>
    <w:rsid w:val="002C3579"/>
    <w:rsid w:val="002C4756"/>
    <w:rsid w:val="002C480B"/>
    <w:rsid w:val="002C5144"/>
    <w:rsid w:val="002C5794"/>
    <w:rsid w:val="002C6A46"/>
    <w:rsid w:val="002C6F3B"/>
    <w:rsid w:val="002C7189"/>
    <w:rsid w:val="002C7C9D"/>
    <w:rsid w:val="002D058C"/>
    <w:rsid w:val="002D05AB"/>
    <w:rsid w:val="002D0ADC"/>
    <w:rsid w:val="002D1432"/>
    <w:rsid w:val="002D148D"/>
    <w:rsid w:val="002D1631"/>
    <w:rsid w:val="002D1849"/>
    <w:rsid w:val="002D18A8"/>
    <w:rsid w:val="002D2FA4"/>
    <w:rsid w:val="002D3955"/>
    <w:rsid w:val="002D3A3A"/>
    <w:rsid w:val="002D3B1F"/>
    <w:rsid w:val="002D414C"/>
    <w:rsid w:val="002D5577"/>
    <w:rsid w:val="002D55F3"/>
    <w:rsid w:val="002D5781"/>
    <w:rsid w:val="002D5958"/>
    <w:rsid w:val="002D5FF3"/>
    <w:rsid w:val="002D6F5F"/>
    <w:rsid w:val="002D74EA"/>
    <w:rsid w:val="002D7524"/>
    <w:rsid w:val="002D79A1"/>
    <w:rsid w:val="002E116E"/>
    <w:rsid w:val="002E162A"/>
    <w:rsid w:val="002E19F5"/>
    <w:rsid w:val="002E1D70"/>
    <w:rsid w:val="002E2606"/>
    <w:rsid w:val="002E2748"/>
    <w:rsid w:val="002E286E"/>
    <w:rsid w:val="002E36C7"/>
    <w:rsid w:val="002E4D59"/>
    <w:rsid w:val="002E5B8D"/>
    <w:rsid w:val="002E6228"/>
    <w:rsid w:val="002E6652"/>
    <w:rsid w:val="002E681C"/>
    <w:rsid w:val="002E69C7"/>
    <w:rsid w:val="002E730E"/>
    <w:rsid w:val="002E775C"/>
    <w:rsid w:val="002E7D9C"/>
    <w:rsid w:val="002E7EF9"/>
    <w:rsid w:val="002F03AF"/>
    <w:rsid w:val="002F0BF6"/>
    <w:rsid w:val="002F0FEA"/>
    <w:rsid w:val="002F1AF6"/>
    <w:rsid w:val="002F1B69"/>
    <w:rsid w:val="002F1DC5"/>
    <w:rsid w:val="002F20EC"/>
    <w:rsid w:val="002F226F"/>
    <w:rsid w:val="002F3471"/>
    <w:rsid w:val="002F5616"/>
    <w:rsid w:val="002F57E2"/>
    <w:rsid w:val="002F68AF"/>
    <w:rsid w:val="00300673"/>
    <w:rsid w:val="00300FE1"/>
    <w:rsid w:val="00301B3B"/>
    <w:rsid w:val="00301BBA"/>
    <w:rsid w:val="003024F3"/>
    <w:rsid w:val="00302A4D"/>
    <w:rsid w:val="00302A73"/>
    <w:rsid w:val="00303813"/>
    <w:rsid w:val="00304320"/>
    <w:rsid w:val="00305085"/>
    <w:rsid w:val="00306B45"/>
    <w:rsid w:val="0030718B"/>
    <w:rsid w:val="0031032C"/>
    <w:rsid w:val="00310801"/>
    <w:rsid w:val="00310E95"/>
    <w:rsid w:val="003124FA"/>
    <w:rsid w:val="00313874"/>
    <w:rsid w:val="00313929"/>
    <w:rsid w:val="00313E96"/>
    <w:rsid w:val="003152D6"/>
    <w:rsid w:val="00316BB2"/>
    <w:rsid w:val="00316D99"/>
    <w:rsid w:val="00317A03"/>
    <w:rsid w:val="003205CF"/>
    <w:rsid w:val="0032103A"/>
    <w:rsid w:val="00321A89"/>
    <w:rsid w:val="003222AC"/>
    <w:rsid w:val="0032247F"/>
    <w:rsid w:val="0032321F"/>
    <w:rsid w:val="003236F8"/>
    <w:rsid w:val="003237AC"/>
    <w:rsid w:val="00324EF4"/>
    <w:rsid w:val="00325DFF"/>
    <w:rsid w:val="00326380"/>
    <w:rsid w:val="00326714"/>
    <w:rsid w:val="00326E2E"/>
    <w:rsid w:val="00327B2A"/>
    <w:rsid w:val="003310DD"/>
    <w:rsid w:val="0033178E"/>
    <w:rsid w:val="003323FC"/>
    <w:rsid w:val="003326D0"/>
    <w:rsid w:val="00332FE8"/>
    <w:rsid w:val="00333ACE"/>
    <w:rsid w:val="00333B38"/>
    <w:rsid w:val="00333B9B"/>
    <w:rsid w:val="00334213"/>
    <w:rsid w:val="00335E0C"/>
    <w:rsid w:val="003370FB"/>
    <w:rsid w:val="00337238"/>
    <w:rsid w:val="00337B8B"/>
    <w:rsid w:val="00340462"/>
    <w:rsid w:val="00340A34"/>
    <w:rsid w:val="00340C22"/>
    <w:rsid w:val="003411D9"/>
    <w:rsid w:val="00341266"/>
    <w:rsid w:val="00341A89"/>
    <w:rsid w:val="00341F79"/>
    <w:rsid w:val="003421F3"/>
    <w:rsid w:val="00342657"/>
    <w:rsid w:val="003427DC"/>
    <w:rsid w:val="00342E13"/>
    <w:rsid w:val="0034387C"/>
    <w:rsid w:val="003469B0"/>
    <w:rsid w:val="0034731D"/>
    <w:rsid w:val="00347C48"/>
    <w:rsid w:val="00347EEA"/>
    <w:rsid w:val="003501F4"/>
    <w:rsid w:val="0035027B"/>
    <w:rsid w:val="0035070B"/>
    <w:rsid w:val="00350896"/>
    <w:rsid w:val="00350DBB"/>
    <w:rsid w:val="00350F37"/>
    <w:rsid w:val="00351612"/>
    <w:rsid w:val="0035271E"/>
    <w:rsid w:val="003530D5"/>
    <w:rsid w:val="0035361B"/>
    <w:rsid w:val="0035435C"/>
    <w:rsid w:val="00354ECC"/>
    <w:rsid w:val="0035573F"/>
    <w:rsid w:val="00356338"/>
    <w:rsid w:val="00356486"/>
    <w:rsid w:val="00356705"/>
    <w:rsid w:val="0035680D"/>
    <w:rsid w:val="00356AD8"/>
    <w:rsid w:val="0035737D"/>
    <w:rsid w:val="00357651"/>
    <w:rsid w:val="00357685"/>
    <w:rsid w:val="0036027D"/>
    <w:rsid w:val="0036106E"/>
    <w:rsid w:val="00361873"/>
    <w:rsid w:val="00361D5E"/>
    <w:rsid w:val="00362087"/>
    <w:rsid w:val="0036237F"/>
    <w:rsid w:val="003636A3"/>
    <w:rsid w:val="00364521"/>
    <w:rsid w:val="003648F4"/>
    <w:rsid w:val="003656A6"/>
    <w:rsid w:val="00365CAD"/>
    <w:rsid w:val="003662D1"/>
    <w:rsid w:val="00366527"/>
    <w:rsid w:val="00366633"/>
    <w:rsid w:val="00370ABC"/>
    <w:rsid w:val="00371209"/>
    <w:rsid w:val="00371816"/>
    <w:rsid w:val="00371C65"/>
    <w:rsid w:val="0037251C"/>
    <w:rsid w:val="003729BE"/>
    <w:rsid w:val="00375A5F"/>
    <w:rsid w:val="00375E0A"/>
    <w:rsid w:val="00376848"/>
    <w:rsid w:val="00376911"/>
    <w:rsid w:val="00376E20"/>
    <w:rsid w:val="00380157"/>
    <w:rsid w:val="00380C3B"/>
    <w:rsid w:val="00381013"/>
    <w:rsid w:val="00381350"/>
    <w:rsid w:val="00381B44"/>
    <w:rsid w:val="003825EF"/>
    <w:rsid w:val="00382935"/>
    <w:rsid w:val="00382C30"/>
    <w:rsid w:val="003837E3"/>
    <w:rsid w:val="0038415F"/>
    <w:rsid w:val="0038629B"/>
    <w:rsid w:val="00386441"/>
    <w:rsid w:val="0038653A"/>
    <w:rsid w:val="003865A8"/>
    <w:rsid w:val="00387295"/>
    <w:rsid w:val="00387460"/>
    <w:rsid w:val="0038781D"/>
    <w:rsid w:val="00390663"/>
    <w:rsid w:val="00390B30"/>
    <w:rsid w:val="00391BC0"/>
    <w:rsid w:val="003925EE"/>
    <w:rsid w:val="00392E96"/>
    <w:rsid w:val="00393CEF"/>
    <w:rsid w:val="00394050"/>
    <w:rsid w:val="0039438B"/>
    <w:rsid w:val="0039459D"/>
    <w:rsid w:val="003956A4"/>
    <w:rsid w:val="00396741"/>
    <w:rsid w:val="0039682B"/>
    <w:rsid w:val="00396C30"/>
    <w:rsid w:val="00397536"/>
    <w:rsid w:val="00397727"/>
    <w:rsid w:val="00397801"/>
    <w:rsid w:val="003A0AB9"/>
    <w:rsid w:val="003A0E16"/>
    <w:rsid w:val="003A132A"/>
    <w:rsid w:val="003A1628"/>
    <w:rsid w:val="003A2A01"/>
    <w:rsid w:val="003A3158"/>
    <w:rsid w:val="003A488E"/>
    <w:rsid w:val="003A4BE0"/>
    <w:rsid w:val="003A5F64"/>
    <w:rsid w:val="003A6401"/>
    <w:rsid w:val="003A6D3A"/>
    <w:rsid w:val="003A6EC8"/>
    <w:rsid w:val="003A7471"/>
    <w:rsid w:val="003A7819"/>
    <w:rsid w:val="003A7E0F"/>
    <w:rsid w:val="003B0E70"/>
    <w:rsid w:val="003B103F"/>
    <w:rsid w:val="003B1CA6"/>
    <w:rsid w:val="003B2055"/>
    <w:rsid w:val="003B261E"/>
    <w:rsid w:val="003B2C94"/>
    <w:rsid w:val="003B377A"/>
    <w:rsid w:val="003B3DB1"/>
    <w:rsid w:val="003B4C85"/>
    <w:rsid w:val="003B505E"/>
    <w:rsid w:val="003B5ACE"/>
    <w:rsid w:val="003B646D"/>
    <w:rsid w:val="003B651A"/>
    <w:rsid w:val="003B6CFD"/>
    <w:rsid w:val="003B6F73"/>
    <w:rsid w:val="003B757D"/>
    <w:rsid w:val="003B76B0"/>
    <w:rsid w:val="003B7B71"/>
    <w:rsid w:val="003B7DC4"/>
    <w:rsid w:val="003C0130"/>
    <w:rsid w:val="003C01FA"/>
    <w:rsid w:val="003C0281"/>
    <w:rsid w:val="003C0745"/>
    <w:rsid w:val="003C0BF6"/>
    <w:rsid w:val="003C1068"/>
    <w:rsid w:val="003C1A13"/>
    <w:rsid w:val="003C1C8B"/>
    <w:rsid w:val="003C1EC4"/>
    <w:rsid w:val="003C1FAF"/>
    <w:rsid w:val="003C21C4"/>
    <w:rsid w:val="003C2756"/>
    <w:rsid w:val="003C2811"/>
    <w:rsid w:val="003C2C97"/>
    <w:rsid w:val="003C360E"/>
    <w:rsid w:val="003C37AC"/>
    <w:rsid w:val="003C46B4"/>
    <w:rsid w:val="003C4811"/>
    <w:rsid w:val="003C61E5"/>
    <w:rsid w:val="003C72CB"/>
    <w:rsid w:val="003C76C5"/>
    <w:rsid w:val="003C7A03"/>
    <w:rsid w:val="003C7A4E"/>
    <w:rsid w:val="003C7CF2"/>
    <w:rsid w:val="003C7D7E"/>
    <w:rsid w:val="003C7FC5"/>
    <w:rsid w:val="003D0687"/>
    <w:rsid w:val="003D13F0"/>
    <w:rsid w:val="003D1504"/>
    <w:rsid w:val="003D1CE2"/>
    <w:rsid w:val="003D2464"/>
    <w:rsid w:val="003D33C0"/>
    <w:rsid w:val="003D367E"/>
    <w:rsid w:val="003D383E"/>
    <w:rsid w:val="003D4BF3"/>
    <w:rsid w:val="003D5832"/>
    <w:rsid w:val="003D5CE7"/>
    <w:rsid w:val="003D60EC"/>
    <w:rsid w:val="003D7161"/>
    <w:rsid w:val="003E009B"/>
    <w:rsid w:val="003E060A"/>
    <w:rsid w:val="003E1BCE"/>
    <w:rsid w:val="003E1E6F"/>
    <w:rsid w:val="003E2163"/>
    <w:rsid w:val="003E273D"/>
    <w:rsid w:val="003E392F"/>
    <w:rsid w:val="003E3D82"/>
    <w:rsid w:val="003E3EF3"/>
    <w:rsid w:val="003E4219"/>
    <w:rsid w:val="003E4AF6"/>
    <w:rsid w:val="003E4B69"/>
    <w:rsid w:val="003E6A78"/>
    <w:rsid w:val="003E6ECC"/>
    <w:rsid w:val="003E764E"/>
    <w:rsid w:val="003E7882"/>
    <w:rsid w:val="003F074B"/>
    <w:rsid w:val="003F09D3"/>
    <w:rsid w:val="003F10D6"/>
    <w:rsid w:val="003F16FF"/>
    <w:rsid w:val="003F3E4F"/>
    <w:rsid w:val="003F4B07"/>
    <w:rsid w:val="003F5585"/>
    <w:rsid w:val="003F591B"/>
    <w:rsid w:val="003F59FB"/>
    <w:rsid w:val="003F5B5F"/>
    <w:rsid w:val="003F5B6A"/>
    <w:rsid w:val="003F5D92"/>
    <w:rsid w:val="003F6EB0"/>
    <w:rsid w:val="003F736A"/>
    <w:rsid w:val="003F76E5"/>
    <w:rsid w:val="003F7F0B"/>
    <w:rsid w:val="00400641"/>
    <w:rsid w:val="00401F6E"/>
    <w:rsid w:val="004027F7"/>
    <w:rsid w:val="004030EF"/>
    <w:rsid w:val="0040516F"/>
    <w:rsid w:val="00405CBD"/>
    <w:rsid w:val="0040632C"/>
    <w:rsid w:val="004066BA"/>
    <w:rsid w:val="00410ABA"/>
    <w:rsid w:val="00411F0B"/>
    <w:rsid w:val="00412C4B"/>
    <w:rsid w:val="00412C63"/>
    <w:rsid w:val="00413962"/>
    <w:rsid w:val="004148CD"/>
    <w:rsid w:val="00414BA4"/>
    <w:rsid w:val="00414C48"/>
    <w:rsid w:val="004151F5"/>
    <w:rsid w:val="0041562A"/>
    <w:rsid w:val="0041568E"/>
    <w:rsid w:val="00416FD7"/>
    <w:rsid w:val="004171A0"/>
    <w:rsid w:val="0041787A"/>
    <w:rsid w:val="00417C3C"/>
    <w:rsid w:val="00417CB8"/>
    <w:rsid w:val="00420122"/>
    <w:rsid w:val="004213D7"/>
    <w:rsid w:val="00422E0C"/>
    <w:rsid w:val="004240EC"/>
    <w:rsid w:val="00424E5E"/>
    <w:rsid w:val="00425181"/>
    <w:rsid w:val="00425537"/>
    <w:rsid w:val="00425B04"/>
    <w:rsid w:val="0042688C"/>
    <w:rsid w:val="00426CE8"/>
    <w:rsid w:val="0042704B"/>
    <w:rsid w:val="00427BCF"/>
    <w:rsid w:val="00430EA3"/>
    <w:rsid w:val="00431D6D"/>
    <w:rsid w:val="00431DFC"/>
    <w:rsid w:val="00432978"/>
    <w:rsid w:val="00433415"/>
    <w:rsid w:val="0043384C"/>
    <w:rsid w:val="004341D4"/>
    <w:rsid w:val="004345E3"/>
    <w:rsid w:val="00434ECB"/>
    <w:rsid w:val="00435216"/>
    <w:rsid w:val="00435D00"/>
    <w:rsid w:val="004367EE"/>
    <w:rsid w:val="00436A5B"/>
    <w:rsid w:val="00436AE7"/>
    <w:rsid w:val="004371E0"/>
    <w:rsid w:val="00437E2C"/>
    <w:rsid w:val="00440028"/>
    <w:rsid w:val="004420E0"/>
    <w:rsid w:val="00442FB6"/>
    <w:rsid w:val="00445B97"/>
    <w:rsid w:val="004461F5"/>
    <w:rsid w:val="00447664"/>
    <w:rsid w:val="00447F05"/>
    <w:rsid w:val="00450485"/>
    <w:rsid w:val="004508E5"/>
    <w:rsid w:val="00450BA1"/>
    <w:rsid w:val="00450DC9"/>
    <w:rsid w:val="00451175"/>
    <w:rsid w:val="00452E3D"/>
    <w:rsid w:val="00453699"/>
    <w:rsid w:val="0045428F"/>
    <w:rsid w:val="004543C3"/>
    <w:rsid w:val="0045447F"/>
    <w:rsid w:val="0045565E"/>
    <w:rsid w:val="0045573C"/>
    <w:rsid w:val="004557B5"/>
    <w:rsid w:val="00457804"/>
    <w:rsid w:val="00457DC7"/>
    <w:rsid w:val="00461288"/>
    <w:rsid w:val="004618A5"/>
    <w:rsid w:val="00462A3F"/>
    <w:rsid w:val="00462D7F"/>
    <w:rsid w:val="00463145"/>
    <w:rsid w:val="004631C0"/>
    <w:rsid w:val="00463FC2"/>
    <w:rsid w:val="00464A5D"/>
    <w:rsid w:val="0046510C"/>
    <w:rsid w:val="00465735"/>
    <w:rsid w:val="004657DF"/>
    <w:rsid w:val="00467A6A"/>
    <w:rsid w:val="00467FC8"/>
    <w:rsid w:val="00471C9F"/>
    <w:rsid w:val="0047210F"/>
    <w:rsid w:val="00472E5F"/>
    <w:rsid w:val="004732DF"/>
    <w:rsid w:val="0047380F"/>
    <w:rsid w:val="00473B4E"/>
    <w:rsid w:val="00474B8D"/>
    <w:rsid w:val="00475BC1"/>
    <w:rsid w:val="00476731"/>
    <w:rsid w:val="00476878"/>
    <w:rsid w:val="00477917"/>
    <w:rsid w:val="0048186E"/>
    <w:rsid w:val="0048225E"/>
    <w:rsid w:val="0048348E"/>
    <w:rsid w:val="004842F9"/>
    <w:rsid w:val="00485AFB"/>
    <w:rsid w:val="00486660"/>
    <w:rsid w:val="00486D5D"/>
    <w:rsid w:val="00487652"/>
    <w:rsid w:val="00490551"/>
    <w:rsid w:val="004905E1"/>
    <w:rsid w:val="00490F20"/>
    <w:rsid w:val="00491303"/>
    <w:rsid w:val="004923E7"/>
    <w:rsid w:val="00495677"/>
    <w:rsid w:val="00495689"/>
    <w:rsid w:val="00496D0B"/>
    <w:rsid w:val="00496F07"/>
    <w:rsid w:val="00496F3D"/>
    <w:rsid w:val="00497C68"/>
    <w:rsid w:val="004A0C0E"/>
    <w:rsid w:val="004A0CE2"/>
    <w:rsid w:val="004A126D"/>
    <w:rsid w:val="004A15A5"/>
    <w:rsid w:val="004A1E42"/>
    <w:rsid w:val="004A30A5"/>
    <w:rsid w:val="004A37BB"/>
    <w:rsid w:val="004A3E0B"/>
    <w:rsid w:val="004A45EE"/>
    <w:rsid w:val="004A46C9"/>
    <w:rsid w:val="004A478F"/>
    <w:rsid w:val="004A5413"/>
    <w:rsid w:val="004A55A5"/>
    <w:rsid w:val="004A5957"/>
    <w:rsid w:val="004A59E2"/>
    <w:rsid w:val="004A5AB7"/>
    <w:rsid w:val="004A617F"/>
    <w:rsid w:val="004A6E78"/>
    <w:rsid w:val="004A7728"/>
    <w:rsid w:val="004A7AE1"/>
    <w:rsid w:val="004A7C8A"/>
    <w:rsid w:val="004B0645"/>
    <w:rsid w:val="004B08B8"/>
    <w:rsid w:val="004B1C40"/>
    <w:rsid w:val="004B1DC5"/>
    <w:rsid w:val="004B24D9"/>
    <w:rsid w:val="004B277B"/>
    <w:rsid w:val="004B29E9"/>
    <w:rsid w:val="004B303D"/>
    <w:rsid w:val="004B3951"/>
    <w:rsid w:val="004B3B1A"/>
    <w:rsid w:val="004B3DCD"/>
    <w:rsid w:val="004B424D"/>
    <w:rsid w:val="004B457D"/>
    <w:rsid w:val="004B5579"/>
    <w:rsid w:val="004B55A7"/>
    <w:rsid w:val="004B5B16"/>
    <w:rsid w:val="004B680B"/>
    <w:rsid w:val="004B7181"/>
    <w:rsid w:val="004C0D30"/>
    <w:rsid w:val="004C0FE0"/>
    <w:rsid w:val="004C18FB"/>
    <w:rsid w:val="004C1BF7"/>
    <w:rsid w:val="004C3EA9"/>
    <w:rsid w:val="004C5F26"/>
    <w:rsid w:val="004C6334"/>
    <w:rsid w:val="004C74D5"/>
    <w:rsid w:val="004C7921"/>
    <w:rsid w:val="004D08DC"/>
    <w:rsid w:val="004D0A96"/>
    <w:rsid w:val="004D157F"/>
    <w:rsid w:val="004D1F6A"/>
    <w:rsid w:val="004D2CEF"/>
    <w:rsid w:val="004D3BC8"/>
    <w:rsid w:val="004D3FE8"/>
    <w:rsid w:val="004D4C1A"/>
    <w:rsid w:val="004D4F99"/>
    <w:rsid w:val="004D55DA"/>
    <w:rsid w:val="004D57AE"/>
    <w:rsid w:val="004D7B97"/>
    <w:rsid w:val="004E0026"/>
    <w:rsid w:val="004E0EA0"/>
    <w:rsid w:val="004E1087"/>
    <w:rsid w:val="004E237C"/>
    <w:rsid w:val="004E2C45"/>
    <w:rsid w:val="004E34D4"/>
    <w:rsid w:val="004E35A8"/>
    <w:rsid w:val="004E35E1"/>
    <w:rsid w:val="004E3AE8"/>
    <w:rsid w:val="004E63E5"/>
    <w:rsid w:val="004E6D0F"/>
    <w:rsid w:val="004E6E07"/>
    <w:rsid w:val="004E79EC"/>
    <w:rsid w:val="004F0350"/>
    <w:rsid w:val="004F0D19"/>
    <w:rsid w:val="004F16B6"/>
    <w:rsid w:val="004F2399"/>
    <w:rsid w:val="004F2995"/>
    <w:rsid w:val="004F399B"/>
    <w:rsid w:val="004F44A3"/>
    <w:rsid w:val="004F4BE0"/>
    <w:rsid w:val="005014CE"/>
    <w:rsid w:val="00501A8E"/>
    <w:rsid w:val="00501B16"/>
    <w:rsid w:val="00501C80"/>
    <w:rsid w:val="00501F3F"/>
    <w:rsid w:val="0050339D"/>
    <w:rsid w:val="005040C5"/>
    <w:rsid w:val="00504A48"/>
    <w:rsid w:val="00504B81"/>
    <w:rsid w:val="00504C30"/>
    <w:rsid w:val="00506518"/>
    <w:rsid w:val="00507D3F"/>
    <w:rsid w:val="00507F82"/>
    <w:rsid w:val="00510D0A"/>
    <w:rsid w:val="00511F3D"/>
    <w:rsid w:val="005122A6"/>
    <w:rsid w:val="005126EC"/>
    <w:rsid w:val="0051379C"/>
    <w:rsid w:val="00514FEC"/>
    <w:rsid w:val="00515191"/>
    <w:rsid w:val="005158A3"/>
    <w:rsid w:val="00515C49"/>
    <w:rsid w:val="005162F1"/>
    <w:rsid w:val="0051677D"/>
    <w:rsid w:val="00516B12"/>
    <w:rsid w:val="00517264"/>
    <w:rsid w:val="0051731B"/>
    <w:rsid w:val="00517583"/>
    <w:rsid w:val="005175AD"/>
    <w:rsid w:val="005204CB"/>
    <w:rsid w:val="00520774"/>
    <w:rsid w:val="00522B7B"/>
    <w:rsid w:val="00523AA2"/>
    <w:rsid w:val="00524158"/>
    <w:rsid w:val="005245F9"/>
    <w:rsid w:val="0052479B"/>
    <w:rsid w:val="00524F1D"/>
    <w:rsid w:val="0052628B"/>
    <w:rsid w:val="005272B2"/>
    <w:rsid w:val="00527820"/>
    <w:rsid w:val="00531594"/>
    <w:rsid w:val="00531B66"/>
    <w:rsid w:val="00531DB8"/>
    <w:rsid w:val="00532526"/>
    <w:rsid w:val="005339DD"/>
    <w:rsid w:val="005341D1"/>
    <w:rsid w:val="00534CC8"/>
    <w:rsid w:val="00534EE7"/>
    <w:rsid w:val="00535F75"/>
    <w:rsid w:val="005362BF"/>
    <w:rsid w:val="005374E0"/>
    <w:rsid w:val="00540414"/>
    <w:rsid w:val="005437A1"/>
    <w:rsid w:val="00543B57"/>
    <w:rsid w:val="00544F72"/>
    <w:rsid w:val="00547E69"/>
    <w:rsid w:val="00547F4A"/>
    <w:rsid w:val="00550FBD"/>
    <w:rsid w:val="00551315"/>
    <w:rsid w:val="0055229D"/>
    <w:rsid w:val="0055249F"/>
    <w:rsid w:val="005525F5"/>
    <w:rsid w:val="00553A4C"/>
    <w:rsid w:val="005540A5"/>
    <w:rsid w:val="00555FE9"/>
    <w:rsid w:val="005564D9"/>
    <w:rsid w:val="00556FA0"/>
    <w:rsid w:val="005572E8"/>
    <w:rsid w:val="00561110"/>
    <w:rsid w:val="005617F0"/>
    <w:rsid w:val="00562CC0"/>
    <w:rsid w:val="00563CCA"/>
    <w:rsid w:val="005647E8"/>
    <w:rsid w:val="005649A9"/>
    <w:rsid w:val="00565209"/>
    <w:rsid w:val="00565B39"/>
    <w:rsid w:val="00565C46"/>
    <w:rsid w:val="00565CE4"/>
    <w:rsid w:val="00565D1F"/>
    <w:rsid w:val="00565F1B"/>
    <w:rsid w:val="00567320"/>
    <w:rsid w:val="0057014B"/>
    <w:rsid w:val="005704CB"/>
    <w:rsid w:val="00570D7E"/>
    <w:rsid w:val="00571191"/>
    <w:rsid w:val="005711B8"/>
    <w:rsid w:val="00571772"/>
    <w:rsid w:val="0057189B"/>
    <w:rsid w:val="005721AC"/>
    <w:rsid w:val="005725E8"/>
    <w:rsid w:val="0057287B"/>
    <w:rsid w:val="00573F3C"/>
    <w:rsid w:val="005748E4"/>
    <w:rsid w:val="00574A5A"/>
    <w:rsid w:val="00574CC5"/>
    <w:rsid w:val="00575064"/>
    <w:rsid w:val="00575882"/>
    <w:rsid w:val="00576853"/>
    <w:rsid w:val="00576D3F"/>
    <w:rsid w:val="00577B50"/>
    <w:rsid w:val="00577CBA"/>
    <w:rsid w:val="005803A6"/>
    <w:rsid w:val="0058111F"/>
    <w:rsid w:val="005818D0"/>
    <w:rsid w:val="00581C82"/>
    <w:rsid w:val="00581F4A"/>
    <w:rsid w:val="00581F66"/>
    <w:rsid w:val="00582114"/>
    <w:rsid w:val="00582CE1"/>
    <w:rsid w:val="00585580"/>
    <w:rsid w:val="00586B6A"/>
    <w:rsid w:val="00586DC0"/>
    <w:rsid w:val="00587435"/>
    <w:rsid w:val="0058758B"/>
    <w:rsid w:val="00590730"/>
    <w:rsid w:val="00591A80"/>
    <w:rsid w:val="00591FCC"/>
    <w:rsid w:val="00592005"/>
    <w:rsid w:val="00592260"/>
    <w:rsid w:val="005928D7"/>
    <w:rsid w:val="0059374D"/>
    <w:rsid w:val="00595034"/>
    <w:rsid w:val="005952DD"/>
    <w:rsid w:val="00595315"/>
    <w:rsid w:val="0059563C"/>
    <w:rsid w:val="00595D89"/>
    <w:rsid w:val="0059734E"/>
    <w:rsid w:val="005A0908"/>
    <w:rsid w:val="005A1269"/>
    <w:rsid w:val="005A1781"/>
    <w:rsid w:val="005A2BB6"/>
    <w:rsid w:val="005A31C7"/>
    <w:rsid w:val="005A44C1"/>
    <w:rsid w:val="005A4E2B"/>
    <w:rsid w:val="005A51ED"/>
    <w:rsid w:val="005A5990"/>
    <w:rsid w:val="005A5CC6"/>
    <w:rsid w:val="005A5CFA"/>
    <w:rsid w:val="005A5DF3"/>
    <w:rsid w:val="005A667D"/>
    <w:rsid w:val="005A7E1C"/>
    <w:rsid w:val="005B0AEC"/>
    <w:rsid w:val="005B1246"/>
    <w:rsid w:val="005B1ADF"/>
    <w:rsid w:val="005B2DA2"/>
    <w:rsid w:val="005B341C"/>
    <w:rsid w:val="005B35FA"/>
    <w:rsid w:val="005B400B"/>
    <w:rsid w:val="005B463C"/>
    <w:rsid w:val="005B545B"/>
    <w:rsid w:val="005B6126"/>
    <w:rsid w:val="005B73B6"/>
    <w:rsid w:val="005B7D97"/>
    <w:rsid w:val="005C10F0"/>
    <w:rsid w:val="005C11EA"/>
    <w:rsid w:val="005C1592"/>
    <w:rsid w:val="005C447B"/>
    <w:rsid w:val="005C5644"/>
    <w:rsid w:val="005C5A69"/>
    <w:rsid w:val="005C5A9F"/>
    <w:rsid w:val="005C65A8"/>
    <w:rsid w:val="005C774B"/>
    <w:rsid w:val="005C77A8"/>
    <w:rsid w:val="005C7E66"/>
    <w:rsid w:val="005D01CD"/>
    <w:rsid w:val="005D0A00"/>
    <w:rsid w:val="005D103B"/>
    <w:rsid w:val="005D2829"/>
    <w:rsid w:val="005D3007"/>
    <w:rsid w:val="005D3937"/>
    <w:rsid w:val="005D4D5A"/>
    <w:rsid w:val="005D4DD8"/>
    <w:rsid w:val="005D5687"/>
    <w:rsid w:val="005D5888"/>
    <w:rsid w:val="005D5DEB"/>
    <w:rsid w:val="005D5ED6"/>
    <w:rsid w:val="005D665F"/>
    <w:rsid w:val="005D705D"/>
    <w:rsid w:val="005E05CD"/>
    <w:rsid w:val="005E0C89"/>
    <w:rsid w:val="005E1202"/>
    <w:rsid w:val="005E124A"/>
    <w:rsid w:val="005E165E"/>
    <w:rsid w:val="005E2A24"/>
    <w:rsid w:val="005E2EF2"/>
    <w:rsid w:val="005E313B"/>
    <w:rsid w:val="005E4BC1"/>
    <w:rsid w:val="005E5110"/>
    <w:rsid w:val="005E5304"/>
    <w:rsid w:val="005E5510"/>
    <w:rsid w:val="005E5853"/>
    <w:rsid w:val="005E5930"/>
    <w:rsid w:val="005E63D2"/>
    <w:rsid w:val="005E7005"/>
    <w:rsid w:val="005F1B75"/>
    <w:rsid w:val="005F1DB9"/>
    <w:rsid w:val="005F3D93"/>
    <w:rsid w:val="005F3E09"/>
    <w:rsid w:val="005F494F"/>
    <w:rsid w:val="005F5F82"/>
    <w:rsid w:val="005F79D6"/>
    <w:rsid w:val="0060018C"/>
    <w:rsid w:val="006010BB"/>
    <w:rsid w:val="006014C2"/>
    <w:rsid w:val="00601B42"/>
    <w:rsid w:val="00601E94"/>
    <w:rsid w:val="00602054"/>
    <w:rsid w:val="00602213"/>
    <w:rsid w:val="006038A3"/>
    <w:rsid w:val="006038C5"/>
    <w:rsid w:val="0060405B"/>
    <w:rsid w:val="00604381"/>
    <w:rsid w:val="006047FD"/>
    <w:rsid w:val="00604E9D"/>
    <w:rsid w:val="006050E1"/>
    <w:rsid w:val="006067E0"/>
    <w:rsid w:val="00606D42"/>
    <w:rsid w:val="00606E4A"/>
    <w:rsid w:val="00607283"/>
    <w:rsid w:val="00607CD6"/>
    <w:rsid w:val="006107C8"/>
    <w:rsid w:val="006111CB"/>
    <w:rsid w:val="00613380"/>
    <w:rsid w:val="0061359A"/>
    <w:rsid w:val="00613965"/>
    <w:rsid w:val="00613CD6"/>
    <w:rsid w:val="0061461D"/>
    <w:rsid w:val="00616605"/>
    <w:rsid w:val="0061734D"/>
    <w:rsid w:val="00617CB3"/>
    <w:rsid w:val="00617F14"/>
    <w:rsid w:val="00617F59"/>
    <w:rsid w:val="00620C39"/>
    <w:rsid w:val="006238C5"/>
    <w:rsid w:val="0062455C"/>
    <w:rsid w:val="00625BB3"/>
    <w:rsid w:val="00625D97"/>
    <w:rsid w:val="0062613A"/>
    <w:rsid w:val="0062620B"/>
    <w:rsid w:val="006267E5"/>
    <w:rsid w:val="00627AA4"/>
    <w:rsid w:val="00630387"/>
    <w:rsid w:val="00631367"/>
    <w:rsid w:val="00633AF4"/>
    <w:rsid w:val="00633CB1"/>
    <w:rsid w:val="00633E71"/>
    <w:rsid w:val="0063414D"/>
    <w:rsid w:val="006347F0"/>
    <w:rsid w:val="0063606A"/>
    <w:rsid w:val="006402D3"/>
    <w:rsid w:val="00641124"/>
    <w:rsid w:val="00641E59"/>
    <w:rsid w:val="00641EA5"/>
    <w:rsid w:val="00642340"/>
    <w:rsid w:val="0064234A"/>
    <w:rsid w:val="0064238F"/>
    <w:rsid w:val="00642F76"/>
    <w:rsid w:val="0064443E"/>
    <w:rsid w:val="00644841"/>
    <w:rsid w:val="006451EE"/>
    <w:rsid w:val="00646027"/>
    <w:rsid w:val="006464C4"/>
    <w:rsid w:val="00646935"/>
    <w:rsid w:val="006474A9"/>
    <w:rsid w:val="00647FFC"/>
    <w:rsid w:val="0065059E"/>
    <w:rsid w:val="00650E5A"/>
    <w:rsid w:val="00651FC0"/>
    <w:rsid w:val="006522FC"/>
    <w:rsid w:val="0065239F"/>
    <w:rsid w:val="00652F02"/>
    <w:rsid w:val="00653074"/>
    <w:rsid w:val="006543CC"/>
    <w:rsid w:val="00655A3A"/>
    <w:rsid w:val="0065657B"/>
    <w:rsid w:val="006568AB"/>
    <w:rsid w:val="00656989"/>
    <w:rsid w:val="00656E37"/>
    <w:rsid w:val="00657BC6"/>
    <w:rsid w:val="00657DE5"/>
    <w:rsid w:val="00660612"/>
    <w:rsid w:val="00660FEF"/>
    <w:rsid w:val="006624C8"/>
    <w:rsid w:val="006624FE"/>
    <w:rsid w:val="00662BF2"/>
    <w:rsid w:val="006637EC"/>
    <w:rsid w:val="00664A10"/>
    <w:rsid w:val="00665163"/>
    <w:rsid w:val="006656A6"/>
    <w:rsid w:val="00666A06"/>
    <w:rsid w:val="00667264"/>
    <w:rsid w:val="00667EC4"/>
    <w:rsid w:val="00670261"/>
    <w:rsid w:val="006702A1"/>
    <w:rsid w:val="00670F19"/>
    <w:rsid w:val="00671D6D"/>
    <w:rsid w:val="00672249"/>
    <w:rsid w:val="00673E23"/>
    <w:rsid w:val="006741A5"/>
    <w:rsid w:val="0067542F"/>
    <w:rsid w:val="00675F05"/>
    <w:rsid w:val="006763BC"/>
    <w:rsid w:val="00677200"/>
    <w:rsid w:val="00680324"/>
    <w:rsid w:val="00680D98"/>
    <w:rsid w:val="00681F5B"/>
    <w:rsid w:val="00681FEB"/>
    <w:rsid w:val="00682B45"/>
    <w:rsid w:val="00683010"/>
    <w:rsid w:val="00683D3C"/>
    <w:rsid w:val="00685154"/>
    <w:rsid w:val="00686868"/>
    <w:rsid w:val="0068715D"/>
    <w:rsid w:val="0068732C"/>
    <w:rsid w:val="00687D77"/>
    <w:rsid w:val="00690D09"/>
    <w:rsid w:val="006911EC"/>
    <w:rsid w:val="006915F5"/>
    <w:rsid w:val="006919DB"/>
    <w:rsid w:val="00692A12"/>
    <w:rsid w:val="00693B68"/>
    <w:rsid w:val="00694166"/>
    <w:rsid w:val="006948EC"/>
    <w:rsid w:val="0069495E"/>
    <w:rsid w:val="0069512E"/>
    <w:rsid w:val="006963DC"/>
    <w:rsid w:val="00697275"/>
    <w:rsid w:val="0069737C"/>
    <w:rsid w:val="00697C0A"/>
    <w:rsid w:val="006A05D2"/>
    <w:rsid w:val="006A2C59"/>
    <w:rsid w:val="006A4FAC"/>
    <w:rsid w:val="006A5117"/>
    <w:rsid w:val="006A5427"/>
    <w:rsid w:val="006A561F"/>
    <w:rsid w:val="006A6DCC"/>
    <w:rsid w:val="006A7BA2"/>
    <w:rsid w:val="006B034F"/>
    <w:rsid w:val="006B09A4"/>
    <w:rsid w:val="006B14C5"/>
    <w:rsid w:val="006B416D"/>
    <w:rsid w:val="006B4827"/>
    <w:rsid w:val="006B494A"/>
    <w:rsid w:val="006B4AFC"/>
    <w:rsid w:val="006B5EAC"/>
    <w:rsid w:val="006B6AFB"/>
    <w:rsid w:val="006B6CDB"/>
    <w:rsid w:val="006B6F7E"/>
    <w:rsid w:val="006B797A"/>
    <w:rsid w:val="006B7AB5"/>
    <w:rsid w:val="006C0179"/>
    <w:rsid w:val="006C0860"/>
    <w:rsid w:val="006C0B27"/>
    <w:rsid w:val="006C11EC"/>
    <w:rsid w:val="006C16DC"/>
    <w:rsid w:val="006C238E"/>
    <w:rsid w:val="006C2703"/>
    <w:rsid w:val="006C2EC1"/>
    <w:rsid w:val="006C30D8"/>
    <w:rsid w:val="006C3559"/>
    <w:rsid w:val="006C3619"/>
    <w:rsid w:val="006C3B51"/>
    <w:rsid w:val="006C424E"/>
    <w:rsid w:val="006C4444"/>
    <w:rsid w:val="006C4AE4"/>
    <w:rsid w:val="006C550C"/>
    <w:rsid w:val="006C5825"/>
    <w:rsid w:val="006C7566"/>
    <w:rsid w:val="006C7B6C"/>
    <w:rsid w:val="006C7E03"/>
    <w:rsid w:val="006D0129"/>
    <w:rsid w:val="006D0758"/>
    <w:rsid w:val="006D077A"/>
    <w:rsid w:val="006D16E2"/>
    <w:rsid w:val="006D3233"/>
    <w:rsid w:val="006D37B2"/>
    <w:rsid w:val="006D3877"/>
    <w:rsid w:val="006D3AFD"/>
    <w:rsid w:val="006D489B"/>
    <w:rsid w:val="006D4920"/>
    <w:rsid w:val="006D6349"/>
    <w:rsid w:val="006D63D8"/>
    <w:rsid w:val="006D6768"/>
    <w:rsid w:val="006D682E"/>
    <w:rsid w:val="006D72FF"/>
    <w:rsid w:val="006D7773"/>
    <w:rsid w:val="006D7D1F"/>
    <w:rsid w:val="006E0307"/>
    <w:rsid w:val="006E05B7"/>
    <w:rsid w:val="006E10E8"/>
    <w:rsid w:val="006E1458"/>
    <w:rsid w:val="006E1485"/>
    <w:rsid w:val="006E171F"/>
    <w:rsid w:val="006E2CD7"/>
    <w:rsid w:val="006E2E30"/>
    <w:rsid w:val="006E3093"/>
    <w:rsid w:val="006E3387"/>
    <w:rsid w:val="006E3FCC"/>
    <w:rsid w:val="006E407E"/>
    <w:rsid w:val="006E4093"/>
    <w:rsid w:val="006E436B"/>
    <w:rsid w:val="006E471F"/>
    <w:rsid w:val="006E4BD3"/>
    <w:rsid w:val="006E53D1"/>
    <w:rsid w:val="006E59A8"/>
    <w:rsid w:val="006E5B40"/>
    <w:rsid w:val="006E6AFF"/>
    <w:rsid w:val="006F1885"/>
    <w:rsid w:val="006F2065"/>
    <w:rsid w:val="006F2E4E"/>
    <w:rsid w:val="006F41B8"/>
    <w:rsid w:val="006F5B9E"/>
    <w:rsid w:val="006F5DE8"/>
    <w:rsid w:val="006F636F"/>
    <w:rsid w:val="006F793B"/>
    <w:rsid w:val="0070044F"/>
    <w:rsid w:val="0070113C"/>
    <w:rsid w:val="007020CD"/>
    <w:rsid w:val="007021F7"/>
    <w:rsid w:val="00703CC4"/>
    <w:rsid w:val="00703E29"/>
    <w:rsid w:val="00704E9E"/>
    <w:rsid w:val="00705482"/>
    <w:rsid w:val="00705CD7"/>
    <w:rsid w:val="00706657"/>
    <w:rsid w:val="007070F1"/>
    <w:rsid w:val="007074A1"/>
    <w:rsid w:val="007074AC"/>
    <w:rsid w:val="007077E2"/>
    <w:rsid w:val="007078D7"/>
    <w:rsid w:val="0071055A"/>
    <w:rsid w:val="0071112A"/>
    <w:rsid w:val="0071126D"/>
    <w:rsid w:val="00711699"/>
    <w:rsid w:val="00712640"/>
    <w:rsid w:val="00712769"/>
    <w:rsid w:val="00712C7D"/>
    <w:rsid w:val="00713353"/>
    <w:rsid w:val="007144E4"/>
    <w:rsid w:val="00714AA2"/>
    <w:rsid w:val="00714EAA"/>
    <w:rsid w:val="00714EF9"/>
    <w:rsid w:val="00715B8C"/>
    <w:rsid w:val="00716FF0"/>
    <w:rsid w:val="007178E3"/>
    <w:rsid w:val="00717B99"/>
    <w:rsid w:val="00722306"/>
    <w:rsid w:val="007232C0"/>
    <w:rsid w:val="00723938"/>
    <w:rsid w:val="0072399E"/>
    <w:rsid w:val="00725D94"/>
    <w:rsid w:val="00726550"/>
    <w:rsid w:val="00726B72"/>
    <w:rsid w:val="00726CEA"/>
    <w:rsid w:val="0073043F"/>
    <w:rsid w:val="007308C1"/>
    <w:rsid w:val="00730B41"/>
    <w:rsid w:val="00731B61"/>
    <w:rsid w:val="00732797"/>
    <w:rsid w:val="00732CB8"/>
    <w:rsid w:val="007348AF"/>
    <w:rsid w:val="00734B61"/>
    <w:rsid w:val="00735709"/>
    <w:rsid w:val="0073591D"/>
    <w:rsid w:val="00735EA1"/>
    <w:rsid w:val="00736BFD"/>
    <w:rsid w:val="00737C4B"/>
    <w:rsid w:val="00740537"/>
    <w:rsid w:val="0074097C"/>
    <w:rsid w:val="007409CC"/>
    <w:rsid w:val="0074156A"/>
    <w:rsid w:val="0074304E"/>
    <w:rsid w:val="00743B31"/>
    <w:rsid w:val="00744A75"/>
    <w:rsid w:val="00744AE9"/>
    <w:rsid w:val="007451EB"/>
    <w:rsid w:val="00745421"/>
    <w:rsid w:val="00745B77"/>
    <w:rsid w:val="00746318"/>
    <w:rsid w:val="00746895"/>
    <w:rsid w:val="0074744C"/>
    <w:rsid w:val="0074772A"/>
    <w:rsid w:val="00747D92"/>
    <w:rsid w:val="007501EB"/>
    <w:rsid w:val="007503E6"/>
    <w:rsid w:val="00750A00"/>
    <w:rsid w:val="00750B19"/>
    <w:rsid w:val="00750B90"/>
    <w:rsid w:val="007516E8"/>
    <w:rsid w:val="00752509"/>
    <w:rsid w:val="0075296F"/>
    <w:rsid w:val="00752979"/>
    <w:rsid w:val="00752993"/>
    <w:rsid w:val="00753209"/>
    <w:rsid w:val="007534ED"/>
    <w:rsid w:val="007539D1"/>
    <w:rsid w:val="00753B3C"/>
    <w:rsid w:val="00754695"/>
    <w:rsid w:val="00754B72"/>
    <w:rsid w:val="00754DC8"/>
    <w:rsid w:val="00757DD8"/>
    <w:rsid w:val="00757FE2"/>
    <w:rsid w:val="007605C9"/>
    <w:rsid w:val="00760F23"/>
    <w:rsid w:val="00761EDD"/>
    <w:rsid w:val="007620B6"/>
    <w:rsid w:val="00762142"/>
    <w:rsid w:val="00762B54"/>
    <w:rsid w:val="00763ADD"/>
    <w:rsid w:val="00764139"/>
    <w:rsid w:val="007646E9"/>
    <w:rsid w:val="00764DFF"/>
    <w:rsid w:val="00765006"/>
    <w:rsid w:val="007662B0"/>
    <w:rsid w:val="00766424"/>
    <w:rsid w:val="00766BA0"/>
    <w:rsid w:val="00767796"/>
    <w:rsid w:val="007705A3"/>
    <w:rsid w:val="00770C08"/>
    <w:rsid w:val="007714BD"/>
    <w:rsid w:val="00771515"/>
    <w:rsid w:val="00771ADC"/>
    <w:rsid w:val="00771F41"/>
    <w:rsid w:val="0077207F"/>
    <w:rsid w:val="00773F31"/>
    <w:rsid w:val="0077425F"/>
    <w:rsid w:val="00774543"/>
    <w:rsid w:val="00774848"/>
    <w:rsid w:val="007750D0"/>
    <w:rsid w:val="00775818"/>
    <w:rsid w:val="00775843"/>
    <w:rsid w:val="00775A7C"/>
    <w:rsid w:val="00776597"/>
    <w:rsid w:val="00777E30"/>
    <w:rsid w:val="007807C8"/>
    <w:rsid w:val="00780912"/>
    <w:rsid w:val="007810A0"/>
    <w:rsid w:val="007810EE"/>
    <w:rsid w:val="00781CDE"/>
    <w:rsid w:val="00782A93"/>
    <w:rsid w:val="00782CA4"/>
    <w:rsid w:val="007836F3"/>
    <w:rsid w:val="00783C12"/>
    <w:rsid w:val="00783C57"/>
    <w:rsid w:val="00784022"/>
    <w:rsid w:val="00784B42"/>
    <w:rsid w:val="00785ABF"/>
    <w:rsid w:val="00785EEE"/>
    <w:rsid w:val="0078609D"/>
    <w:rsid w:val="00786BAA"/>
    <w:rsid w:val="0078764C"/>
    <w:rsid w:val="007902DE"/>
    <w:rsid w:val="0079033F"/>
    <w:rsid w:val="007920D0"/>
    <w:rsid w:val="00792EDF"/>
    <w:rsid w:val="007939A1"/>
    <w:rsid w:val="007940A5"/>
    <w:rsid w:val="00794534"/>
    <w:rsid w:val="00794C44"/>
    <w:rsid w:val="00795CFB"/>
    <w:rsid w:val="00795FF7"/>
    <w:rsid w:val="0079666A"/>
    <w:rsid w:val="0079689B"/>
    <w:rsid w:val="007A11B3"/>
    <w:rsid w:val="007A1C2A"/>
    <w:rsid w:val="007A1FA7"/>
    <w:rsid w:val="007A2047"/>
    <w:rsid w:val="007A2D1C"/>
    <w:rsid w:val="007A2FE7"/>
    <w:rsid w:val="007A508F"/>
    <w:rsid w:val="007A53DD"/>
    <w:rsid w:val="007A5508"/>
    <w:rsid w:val="007A7AAC"/>
    <w:rsid w:val="007A7F31"/>
    <w:rsid w:val="007B202C"/>
    <w:rsid w:val="007B2208"/>
    <w:rsid w:val="007B267F"/>
    <w:rsid w:val="007B29B3"/>
    <w:rsid w:val="007B33E6"/>
    <w:rsid w:val="007B452C"/>
    <w:rsid w:val="007B49EF"/>
    <w:rsid w:val="007B4A40"/>
    <w:rsid w:val="007B4FF6"/>
    <w:rsid w:val="007B5686"/>
    <w:rsid w:val="007B589A"/>
    <w:rsid w:val="007B6672"/>
    <w:rsid w:val="007B670F"/>
    <w:rsid w:val="007B6981"/>
    <w:rsid w:val="007B6D50"/>
    <w:rsid w:val="007B70EE"/>
    <w:rsid w:val="007C02C2"/>
    <w:rsid w:val="007C0FD5"/>
    <w:rsid w:val="007C11DB"/>
    <w:rsid w:val="007C306A"/>
    <w:rsid w:val="007C41AA"/>
    <w:rsid w:val="007C4488"/>
    <w:rsid w:val="007C5834"/>
    <w:rsid w:val="007C5962"/>
    <w:rsid w:val="007C5D32"/>
    <w:rsid w:val="007C5DFC"/>
    <w:rsid w:val="007C74F4"/>
    <w:rsid w:val="007C7B15"/>
    <w:rsid w:val="007C7D66"/>
    <w:rsid w:val="007D0073"/>
    <w:rsid w:val="007D13C7"/>
    <w:rsid w:val="007D1BFF"/>
    <w:rsid w:val="007D1D00"/>
    <w:rsid w:val="007D1F85"/>
    <w:rsid w:val="007D2717"/>
    <w:rsid w:val="007D2D93"/>
    <w:rsid w:val="007D3867"/>
    <w:rsid w:val="007D3B06"/>
    <w:rsid w:val="007D531E"/>
    <w:rsid w:val="007E030A"/>
    <w:rsid w:val="007E071D"/>
    <w:rsid w:val="007E12B4"/>
    <w:rsid w:val="007E2358"/>
    <w:rsid w:val="007E2FF5"/>
    <w:rsid w:val="007E33A5"/>
    <w:rsid w:val="007E3539"/>
    <w:rsid w:val="007E376C"/>
    <w:rsid w:val="007E3D0F"/>
    <w:rsid w:val="007E4257"/>
    <w:rsid w:val="007E42FC"/>
    <w:rsid w:val="007E4815"/>
    <w:rsid w:val="007E499A"/>
    <w:rsid w:val="007E4F94"/>
    <w:rsid w:val="007E5342"/>
    <w:rsid w:val="007E5496"/>
    <w:rsid w:val="007E5A57"/>
    <w:rsid w:val="007E5E57"/>
    <w:rsid w:val="007E6A65"/>
    <w:rsid w:val="007E6C72"/>
    <w:rsid w:val="007E6C73"/>
    <w:rsid w:val="007E71F8"/>
    <w:rsid w:val="007F0BB5"/>
    <w:rsid w:val="007F138E"/>
    <w:rsid w:val="007F13B5"/>
    <w:rsid w:val="007F13C6"/>
    <w:rsid w:val="007F1E0C"/>
    <w:rsid w:val="007F2577"/>
    <w:rsid w:val="007F3EDA"/>
    <w:rsid w:val="007F4142"/>
    <w:rsid w:val="007F5601"/>
    <w:rsid w:val="007F57E1"/>
    <w:rsid w:val="007F5FBF"/>
    <w:rsid w:val="007F79B7"/>
    <w:rsid w:val="007F7AC0"/>
    <w:rsid w:val="0080010E"/>
    <w:rsid w:val="00800308"/>
    <w:rsid w:val="008006B3"/>
    <w:rsid w:val="00800878"/>
    <w:rsid w:val="00800B90"/>
    <w:rsid w:val="00800CE9"/>
    <w:rsid w:val="008010E1"/>
    <w:rsid w:val="00802CCB"/>
    <w:rsid w:val="0080322F"/>
    <w:rsid w:val="00803B0B"/>
    <w:rsid w:val="0080407B"/>
    <w:rsid w:val="008049D0"/>
    <w:rsid w:val="00804C24"/>
    <w:rsid w:val="00805357"/>
    <w:rsid w:val="00807BDF"/>
    <w:rsid w:val="008108FF"/>
    <w:rsid w:val="00811A3D"/>
    <w:rsid w:val="00811F2D"/>
    <w:rsid w:val="00812BF4"/>
    <w:rsid w:val="00813E99"/>
    <w:rsid w:val="008145B7"/>
    <w:rsid w:val="00814913"/>
    <w:rsid w:val="00814967"/>
    <w:rsid w:val="00814F08"/>
    <w:rsid w:val="0081530C"/>
    <w:rsid w:val="00815BAA"/>
    <w:rsid w:val="00815C7A"/>
    <w:rsid w:val="008160D7"/>
    <w:rsid w:val="00816737"/>
    <w:rsid w:val="00816D25"/>
    <w:rsid w:val="00817708"/>
    <w:rsid w:val="00820498"/>
    <w:rsid w:val="008213BA"/>
    <w:rsid w:val="00821C89"/>
    <w:rsid w:val="00823CA3"/>
    <w:rsid w:val="00823EA2"/>
    <w:rsid w:val="0082488A"/>
    <w:rsid w:val="00824A35"/>
    <w:rsid w:val="0082641C"/>
    <w:rsid w:val="0082688A"/>
    <w:rsid w:val="008273F7"/>
    <w:rsid w:val="00827C6C"/>
    <w:rsid w:val="008310CD"/>
    <w:rsid w:val="00831514"/>
    <w:rsid w:val="008319A2"/>
    <w:rsid w:val="00832467"/>
    <w:rsid w:val="00833025"/>
    <w:rsid w:val="00833487"/>
    <w:rsid w:val="00833E43"/>
    <w:rsid w:val="00834623"/>
    <w:rsid w:val="00836382"/>
    <w:rsid w:val="00841203"/>
    <w:rsid w:val="00841BA9"/>
    <w:rsid w:val="0084235B"/>
    <w:rsid w:val="00842E6F"/>
    <w:rsid w:val="0084347F"/>
    <w:rsid w:val="00843A34"/>
    <w:rsid w:val="00844B9C"/>
    <w:rsid w:val="00845603"/>
    <w:rsid w:val="0084567F"/>
    <w:rsid w:val="00846913"/>
    <w:rsid w:val="00846D51"/>
    <w:rsid w:val="0085099F"/>
    <w:rsid w:val="008513AF"/>
    <w:rsid w:val="008517C7"/>
    <w:rsid w:val="00851E3D"/>
    <w:rsid w:val="008529F8"/>
    <w:rsid w:val="008530DE"/>
    <w:rsid w:val="00854D14"/>
    <w:rsid w:val="0085537F"/>
    <w:rsid w:val="008553EE"/>
    <w:rsid w:val="00855585"/>
    <w:rsid w:val="00855B15"/>
    <w:rsid w:val="00855C16"/>
    <w:rsid w:val="008561A7"/>
    <w:rsid w:val="008569FC"/>
    <w:rsid w:val="00857AF8"/>
    <w:rsid w:val="00857E2D"/>
    <w:rsid w:val="00860080"/>
    <w:rsid w:val="0086016C"/>
    <w:rsid w:val="00860C34"/>
    <w:rsid w:val="00861855"/>
    <w:rsid w:val="00861BFB"/>
    <w:rsid w:val="00861C1B"/>
    <w:rsid w:val="0086260F"/>
    <w:rsid w:val="00862665"/>
    <w:rsid w:val="008629D0"/>
    <w:rsid w:val="00863F67"/>
    <w:rsid w:val="00864149"/>
    <w:rsid w:val="00864198"/>
    <w:rsid w:val="008651A5"/>
    <w:rsid w:val="00865EC6"/>
    <w:rsid w:val="00866126"/>
    <w:rsid w:val="00866A92"/>
    <w:rsid w:val="0086702B"/>
    <w:rsid w:val="008676AE"/>
    <w:rsid w:val="008704CD"/>
    <w:rsid w:val="00870DC7"/>
    <w:rsid w:val="00870F0F"/>
    <w:rsid w:val="008711C6"/>
    <w:rsid w:val="00871493"/>
    <w:rsid w:val="00872027"/>
    <w:rsid w:val="0087242E"/>
    <w:rsid w:val="008729A7"/>
    <w:rsid w:val="0087386D"/>
    <w:rsid w:val="00874A93"/>
    <w:rsid w:val="00875BB9"/>
    <w:rsid w:val="008768CA"/>
    <w:rsid w:val="00876C33"/>
    <w:rsid w:val="008774A1"/>
    <w:rsid w:val="00877745"/>
    <w:rsid w:val="00877EC0"/>
    <w:rsid w:val="00880F7C"/>
    <w:rsid w:val="0088128A"/>
    <w:rsid w:val="00881A3D"/>
    <w:rsid w:val="0088223A"/>
    <w:rsid w:val="00882339"/>
    <w:rsid w:val="0088465E"/>
    <w:rsid w:val="00884768"/>
    <w:rsid w:val="0088480D"/>
    <w:rsid w:val="00884C39"/>
    <w:rsid w:val="00884E2E"/>
    <w:rsid w:val="00890110"/>
    <w:rsid w:val="00890CC0"/>
    <w:rsid w:val="00891355"/>
    <w:rsid w:val="00891553"/>
    <w:rsid w:val="0089209B"/>
    <w:rsid w:val="00892A04"/>
    <w:rsid w:val="00892BB2"/>
    <w:rsid w:val="00892F17"/>
    <w:rsid w:val="00893209"/>
    <w:rsid w:val="008933D7"/>
    <w:rsid w:val="008942F7"/>
    <w:rsid w:val="00896EA2"/>
    <w:rsid w:val="008A039C"/>
    <w:rsid w:val="008A06B7"/>
    <w:rsid w:val="008A08E2"/>
    <w:rsid w:val="008A326F"/>
    <w:rsid w:val="008A355A"/>
    <w:rsid w:val="008A421C"/>
    <w:rsid w:val="008A55B5"/>
    <w:rsid w:val="008A652F"/>
    <w:rsid w:val="008A6C2A"/>
    <w:rsid w:val="008A731F"/>
    <w:rsid w:val="008B00A0"/>
    <w:rsid w:val="008B20FB"/>
    <w:rsid w:val="008B2E1B"/>
    <w:rsid w:val="008B353B"/>
    <w:rsid w:val="008B363F"/>
    <w:rsid w:val="008B39CC"/>
    <w:rsid w:val="008B3F2B"/>
    <w:rsid w:val="008B44D8"/>
    <w:rsid w:val="008B49DA"/>
    <w:rsid w:val="008B4C62"/>
    <w:rsid w:val="008B5091"/>
    <w:rsid w:val="008B5112"/>
    <w:rsid w:val="008B6A7C"/>
    <w:rsid w:val="008B6B9C"/>
    <w:rsid w:val="008C096C"/>
    <w:rsid w:val="008C16ED"/>
    <w:rsid w:val="008C2113"/>
    <w:rsid w:val="008C24F6"/>
    <w:rsid w:val="008C2696"/>
    <w:rsid w:val="008C4301"/>
    <w:rsid w:val="008C48E8"/>
    <w:rsid w:val="008C5F14"/>
    <w:rsid w:val="008C62D6"/>
    <w:rsid w:val="008D0345"/>
    <w:rsid w:val="008D125B"/>
    <w:rsid w:val="008D1307"/>
    <w:rsid w:val="008D14DD"/>
    <w:rsid w:val="008D1557"/>
    <w:rsid w:val="008D171D"/>
    <w:rsid w:val="008D1A6E"/>
    <w:rsid w:val="008D21CF"/>
    <w:rsid w:val="008D24EB"/>
    <w:rsid w:val="008D3554"/>
    <w:rsid w:val="008D37AA"/>
    <w:rsid w:val="008D45CD"/>
    <w:rsid w:val="008D4818"/>
    <w:rsid w:val="008D4E87"/>
    <w:rsid w:val="008D5F89"/>
    <w:rsid w:val="008D7871"/>
    <w:rsid w:val="008E107B"/>
    <w:rsid w:val="008E1773"/>
    <w:rsid w:val="008E1CC8"/>
    <w:rsid w:val="008E23E0"/>
    <w:rsid w:val="008E2B36"/>
    <w:rsid w:val="008E4297"/>
    <w:rsid w:val="008E4334"/>
    <w:rsid w:val="008E453F"/>
    <w:rsid w:val="008E4E03"/>
    <w:rsid w:val="008E4EAF"/>
    <w:rsid w:val="008E55E5"/>
    <w:rsid w:val="008E6727"/>
    <w:rsid w:val="008E7372"/>
    <w:rsid w:val="008E7568"/>
    <w:rsid w:val="008E77F2"/>
    <w:rsid w:val="008E7881"/>
    <w:rsid w:val="008F402F"/>
    <w:rsid w:val="008F4189"/>
    <w:rsid w:val="008F4288"/>
    <w:rsid w:val="008F4556"/>
    <w:rsid w:val="008F4667"/>
    <w:rsid w:val="008F4920"/>
    <w:rsid w:val="008F4BE8"/>
    <w:rsid w:val="008F68C6"/>
    <w:rsid w:val="008F6A02"/>
    <w:rsid w:val="009009E7"/>
    <w:rsid w:val="00900C92"/>
    <w:rsid w:val="009011C5"/>
    <w:rsid w:val="009016E4"/>
    <w:rsid w:val="00901723"/>
    <w:rsid w:val="00901B58"/>
    <w:rsid w:val="00901CCB"/>
    <w:rsid w:val="009034FD"/>
    <w:rsid w:val="00903625"/>
    <w:rsid w:val="00903C5E"/>
    <w:rsid w:val="00904536"/>
    <w:rsid w:val="009056D4"/>
    <w:rsid w:val="00906276"/>
    <w:rsid w:val="0090752A"/>
    <w:rsid w:val="00910B7D"/>
    <w:rsid w:val="0091167B"/>
    <w:rsid w:val="0091247F"/>
    <w:rsid w:val="00912504"/>
    <w:rsid w:val="009129CC"/>
    <w:rsid w:val="00912EE0"/>
    <w:rsid w:val="00913546"/>
    <w:rsid w:val="00913FDD"/>
    <w:rsid w:val="009141C2"/>
    <w:rsid w:val="009146E8"/>
    <w:rsid w:val="009147F0"/>
    <w:rsid w:val="00915F9E"/>
    <w:rsid w:val="00916D2B"/>
    <w:rsid w:val="00916E85"/>
    <w:rsid w:val="0091705B"/>
    <w:rsid w:val="009179D7"/>
    <w:rsid w:val="00921F77"/>
    <w:rsid w:val="0092256A"/>
    <w:rsid w:val="0092276F"/>
    <w:rsid w:val="0092299C"/>
    <w:rsid w:val="009238E6"/>
    <w:rsid w:val="009241F1"/>
    <w:rsid w:val="009244FD"/>
    <w:rsid w:val="00924DDB"/>
    <w:rsid w:val="0092513F"/>
    <w:rsid w:val="009259DD"/>
    <w:rsid w:val="00925AED"/>
    <w:rsid w:val="0092645B"/>
    <w:rsid w:val="00927A5B"/>
    <w:rsid w:val="00930130"/>
    <w:rsid w:val="00930891"/>
    <w:rsid w:val="00931067"/>
    <w:rsid w:val="009312A5"/>
    <w:rsid w:val="0093232D"/>
    <w:rsid w:val="009327A1"/>
    <w:rsid w:val="009329C8"/>
    <w:rsid w:val="00932B1C"/>
    <w:rsid w:val="00933AB2"/>
    <w:rsid w:val="00936221"/>
    <w:rsid w:val="00937413"/>
    <w:rsid w:val="00937F95"/>
    <w:rsid w:val="009403AF"/>
    <w:rsid w:val="0094043B"/>
    <w:rsid w:val="009410F6"/>
    <w:rsid w:val="00942610"/>
    <w:rsid w:val="009432BA"/>
    <w:rsid w:val="00943A8A"/>
    <w:rsid w:val="00943B16"/>
    <w:rsid w:val="00943BE3"/>
    <w:rsid w:val="00943D7C"/>
    <w:rsid w:val="00944218"/>
    <w:rsid w:val="009442E5"/>
    <w:rsid w:val="00945B67"/>
    <w:rsid w:val="00945BBA"/>
    <w:rsid w:val="009460F1"/>
    <w:rsid w:val="00946653"/>
    <w:rsid w:val="009507BA"/>
    <w:rsid w:val="009523BF"/>
    <w:rsid w:val="00952703"/>
    <w:rsid w:val="00953818"/>
    <w:rsid w:val="00953A01"/>
    <w:rsid w:val="0095518F"/>
    <w:rsid w:val="009552BE"/>
    <w:rsid w:val="0095563F"/>
    <w:rsid w:val="0095600B"/>
    <w:rsid w:val="009565DE"/>
    <w:rsid w:val="009571B5"/>
    <w:rsid w:val="00957AC8"/>
    <w:rsid w:val="00957EDC"/>
    <w:rsid w:val="009606E8"/>
    <w:rsid w:val="00960E1E"/>
    <w:rsid w:val="00961678"/>
    <w:rsid w:val="009622CF"/>
    <w:rsid w:val="009625A1"/>
    <w:rsid w:val="00963FB4"/>
    <w:rsid w:val="009653FE"/>
    <w:rsid w:val="00965D91"/>
    <w:rsid w:val="00965DCA"/>
    <w:rsid w:val="00966E65"/>
    <w:rsid w:val="00967BB5"/>
    <w:rsid w:val="00967E81"/>
    <w:rsid w:val="00970213"/>
    <w:rsid w:val="00970375"/>
    <w:rsid w:val="009705BA"/>
    <w:rsid w:val="009710D3"/>
    <w:rsid w:val="00972236"/>
    <w:rsid w:val="00972D8A"/>
    <w:rsid w:val="00973644"/>
    <w:rsid w:val="00974953"/>
    <w:rsid w:val="00975F5A"/>
    <w:rsid w:val="009769B7"/>
    <w:rsid w:val="00980562"/>
    <w:rsid w:val="009808C3"/>
    <w:rsid w:val="00980FCF"/>
    <w:rsid w:val="00981EFE"/>
    <w:rsid w:val="00982CAE"/>
    <w:rsid w:val="0098340C"/>
    <w:rsid w:val="009834C2"/>
    <w:rsid w:val="00983550"/>
    <w:rsid w:val="009851F1"/>
    <w:rsid w:val="009852FA"/>
    <w:rsid w:val="009853ED"/>
    <w:rsid w:val="00986554"/>
    <w:rsid w:val="009870E6"/>
    <w:rsid w:val="0098763F"/>
    <w:rsid w:val="009877FC"/>
    <w:rsid w:val="00987904"/>
    <w:rsid w:val="00990F5D"/>
    <w:rsid w:val="009915CF"/>
    <w:rsid w:val="0099214A"/>
    <w:rsid w:val="009921F7"/>
    <w:rsid w:val="00992275"/>
    <w:rsid w:val="009924F2"/>
    <w:rsid w:val="00993EA6"/>
    <w:rsid w:val="00993F75"/>
    <w:rsid w:val="009951BB"/>
    <w:rsid w:val="0099528B"/>
    <w:rsid w:val="00995CCE"/>
    <w:rsid w:val="00997983"/>
    <w:rsid w:val="009979F8"/>
    <w:rsid w:val="00997B3E"/>
    <w:rsid w:val="00997F69"/>
    <w:rsid w:val="00997F7B"/>
    <w:rsid w:val="009A0ECE"/>
    <w:rsid w:val="009A0FFE"/>
    <w:rsid w:val="009A1321"/>
    <w:rsid w:val="009A13F5"/>
    <w:rsid w:val="009A266C"/>
    <w:rsid w:val="009A29A3"/>
    <w:rsid w:val="009A33CB"/>
    <w:rsid w:val="009A3F43"/>
    <w:rsid w:val="009A587B"/>
    <w:rsid w:val="009A5AEA"/>
    <w:rsid w:val="009B03D9"/>
    <w:rsid w:val="009B126D"/>
    <w:rsid w:val="009B149D"/>
    <w:rsid w:val="009B294F"/>
    <w:rsid w:val="009B38F0"/>
    <w:rsid w:val="009B3A2C"/>
    <w:rsid w:val="009B3F4A"/>
    <w:rsid w:val="009B3FD4"/>
    <w:rsid w:val="009B3FFC"/>
    <w:rsid w:val="009B587C"/>
    <w:rsid w:val="009B5906"/>
    <w:rsid w:val="009B671F"/>
    <w:rsid w:val="009B68D7"/>
    <w:rsid w:val="009B7C8F"/>
    <w:rsid w:val="009C1AF4"/>
    <w:rsid w:val="009C2362"/>
    <w:rsid w:val="009C4B74"/>
    <w:rsid w:val="009C4E52"/>
    <w:rsid w:val="009C5E51"/>
    <w:rsid w:val="009C6580"/>
    <w:rsid w:val="009D008E"/>
    <w:rsid w:val="009D042D"/>
    <w:rsid w:val="009D0876"/>
    <w:rsid w:val="009D0AF3"/>
    <w:rsid w:val="009D28B0"/>
    <w:rsid w:val="009D2D51"/>
    <w:rsid w:val="009D3D36"/>
    <w:rsid w:val="009D4A79"/>
    <w:rsid w:val="009D4C4E"/>
    <w:rsid w:val="009D5560"/>
    <w:rsid w:val="009D5594"/>
    <w:rsid w:val="009D7820"/>
    <w:rsid w:val="009E0C64"/>
    <w:rsid w:val="009E0CAD"/>
    <w:rsid w:val="009E0E6F"/>
    <w:rsid w:val="009E122A"/>
    <w:rsid w:val="009E1C32"/>
    <w:rsid w:val="009E1E77"/>
    <w:rsid w:val="009E2172"/>
    <w:rsid w:val="009E29DA"/>
    <w:rsid w:val="009E2AEA"/>
    <w:rsid w:val="009E2F3A"/>
    <w:rsid w:val="009E46BF"/>
    <w:rsid w:val="009E7E94"/>
    <w:rsid w:val="009E7FB3"/>
    <w:rsid w:val="009F005E"/>
    <w:rsid w:val="009F0303"/>
    <w:rsid w:val="009F057C"/>
    <w:rsid w:val="009F087D"/>
    <w:rsid w:val="009F14BE"/>
    <w:rsid w:val="009F2F51"/>
    <w:rsid w:val="009F35ED"/>
    <w:rsid w:val="009F4856"/>
    <w:rsid w:val="009F495A"/>
    <w:rsid w:val="009F499D"/>
    <w:rsid w:val="009F506F"/>
    <w:rsid w:val="009F52C2"/>
    <w:rsid w:val="009F5C23"/>
    <w:rsid w:val="009F62CF"/>
    <w:rsid w:val="009F6F89"/>
    <w:rsid w:val="009F735D"/>
    <w:rsid w:val="00A01582"/>
    <w:rsid w:val="00A019D0"/>
    <w:rsid w:val="00A01B31"/>
    <w:rsid w:val="00A01E8E"/>
    <w:rsid w:val="00A03A0D"/>
    <w:rsid w:val="00A03B6A"/>
    <w:rsid w:val="00A04709"/>
    <w:rsid w:val="00A04909"/>
    <w:rsid w:val="00A04AD7"/>
    <w:rsid w:val="00A04E97"/>
    <w:rsid w:val="00A05469"/>
    <w:rsid w:val="00A05D16"/>
    <w:rsid w:val="00A063E3"/>
    <w:rsid w:val="00A07CDF"/>
    <w:rsid w:val="00A10760"/>
    <w:rsid w:val="00A10B5D"/>
    <w:rsid w:val="00A10BF4"/>
    <w:rsid w:val="00A1241A"/>
    <w:rsid w:val="00A13606"/>
    <w:rsid w:val="00A13DFA"/>
    <w:rsid w:val="00A14651"/>
    <w:rsid w:val="00A14BEB"/>
    <w:rsid w:val="00A15564"/>
    <w:rsid w:val="00A160DD"/>
    <w:rsid w:val="00A1655F"/>
    <w:rsid w:val="00A172CB"/>
    <w:rsid w:val="00A173DE"/>
    <w:rsid w:val="00A17995"/>
    <w:rsid w:val="00A202B8"/>
    <w:rsid w:val="00A2066C"/>
    <w:rsid w:val="00A20CB3"/>
    <w:rsid w:val="00A210E9"/>
    <w:rsid w:val="00A21136"/>
    <w:rsid w:val="00A21859"/>
    <w:rsid w:val="00A21D4C"/>
    <w:rsid w:val="00A222EF"/>
    <w:rsid w:val="00A2281D"/>
    <w:rsid w:val="00A2389B"/>
    <w:rsid w:val="00A239A0"/>
    <w:rsid w:val="00A257CE"/>
    <w:rsid w:val="00A26FFD"/>
    <w:rsid w:val="00A274AB"/>
    <w:rsid w:val="00A30C1A"/>
    <w:rsid w:val="00A316FD"/>
    <w:rsid w:val="00A31738"/>
    <w:rsid w:val="00A323D4"/>
    <w:rsid w:val="00A32605"/>
    <w:rsid w:val="00A34DF4"/>
    <w:rsid w:val="00A350E9"/>
    <w:rsid w:val="00A359E1"/>
    <w:rsid w:val="00A35D39"/>
    <w:rsid w:val="00A36476"/>
    <w:rsid w:val="00A36753"/>
    <w:rsid w:val="00A36E52"/>
    <w:rsid w:val="00A37E35"/>
    <w:rsid w:val="00A40514"/>
    <w:rsid w:val="00A40E43"/>
    <w:rsid w:val="00A42225"/>
    <w:rsid w:val="00A428B6"/>
    <w:rsid w:val="00A42D47"/>
    <w:rsid w:val="00A435EB"/>
    <w:rsid w:val="00A43E02"/>
    <w:rsid w:val="00A44AB1"/>
    <w:rsid w:val="00A4609B"/>
    <w:rsid w:val="00A4665C"/>
    <w:rsid w:val="00A469C3"/>
    <w:rsid w:val="00A46D94"/>
    <w:rsid w:val="00A474D9"/>
    <w:rsid w:val="00A47EBD"/>
    <w:rsid w:val="00A47F1C"/>
    <w:rsid w:val="00A505B8"/>
    <w:rsid w:val="00A509BE"/>
    <w:rsid w:val="00A51558"/>
    <w:rsid w:val="00A51B1B"/>
    <w:rsid w:val="00A52563"/>
    <w:rsid w:val="00A52B2D"/>
    <w:rsid w:val="00A52C44"/>
    <w:rsid w:val="00A5487F"/>
    <w:rsid w:val="00A54E68"/>
    <w:rsid w:val="00A55119"/>
    <w:rsid w:val="00A558C8"/>
    <w:rsid w:val="00A558DC"/>
    <w:rsid w:val="00A56105"/>
    <w:rsid w:val="00A569A0"/>
    <w:rsid w:val="00A602C1"/>
    <w:rsid w:val="00A60BE6"/>
    <w:rsid w:val="00A60DE5"/>
    <w:rsid w:val="00A62E8F"/>
    <w:rsid w:val="00A62EB0"/>
    <w:rsid w:val="00A67157"/>
    <w:rsid w:val="00A70CBB"/>
    <w:rsid w:val="00A727AD"/>
    <w:rsid w:val="00A72892"/>
    <w:rsid w:val="00A74DE8"/>
    <w:rsid w:val="00A76017"/>
    <w:rsid w:val="00A76282"/>
    <w:rsid w:val="00A76322"/>
    <w:rsid w:val="00A76B8F"/>
    <w:rsid w:val="00A77268"/>
    <w:rsid w:val="00A77551"/>
    <w:rsid w:val="00A77B2D"/>
    <w:rsid w:val="00A77C25"/>
    <w:rsid w:val="00A77D48"/>
    <w:rsid w:val="00A80EAF"/>
    <w:rsid w:val="00A8117B"/>
    <w:rsid w:val="00A815E1"/>
    <w:rsid w:val="00A81DB3"/>
    <w:rsid w:val="00A824D0"/>
    <w:rsid w:val="00A831FE"/>
    <w:rsid w:val="00A84932"/>
    <w:rsid w:val="00A86352"/>
    <w:rsid w:val="00A86D35"/>
    <w:rsid w:val="00A86DED"/>
    <w:rsid w:val="00A878FF"/>
    <w:rsid w:val="00A91583"/>
    <w:rsid w:val="00A922CD"/>
    <w:rsid w:val="00A928CA"/>
    <w:rsid w:val="00A930AD"/>
    <w:rsid w:val="00A93987"/>
    <w:rsid w:val="00A939D5"/>
    <w:rsid w:val="00A93D3F"/>
    <w:rsid w:val="00A943A9"/>
    <w:rsid w:val="00A94865"/>
    <w:rsid w:val="00A95B58"/>
    <w:rsid w:val="00A95BF4"/>
    <w:rsid w:val="00A96737"/>
    <w:rsid w:val="00A968A1"/>
    <w:rsid w:val="00A979E5"/>
    <w:rsid w:val="00A97B92"/>
    <w:rsid w:val="00AA0285"/>
    <w:rsid w:val="00AA02F3"/>
    <w:rsid w:val="00AA04F5"/>
    <w:rsid w:val="00AA0EFE"/>
    <w:rsid w:val="00AA2264"/>
    <w:rsid w:val="00AA22BF"/>
    <w:rsid w:val="00AA2EFE"/>
    <w:rsid w:val="00AA34C6"/>
    <w:rsid w:val="00AA482C"/>
    <w:rsid w:val="00AA5642"/>
    <w:rsid w:val="00AA5692"/>
    <w:rsid w:val="00AA6347"/>
    <w:rsid w:val="00AA7CA8"/>
    <w:rsid w:val="00AB0607"/>
    <w:rsid w:val="00AB068D"/>
    <w:rsid w:val="00AB1B76"/>
    <w:rsid w:val="00AB2356"/>
    <w:rsid w:val="00AB25BB"/>
    <w:rsid w:val="00AB32FB"/>
    <w:rsid w:val="00AB336F"/>
    <w:rsid w:val="00AB37FF"/>
    <w:rsid w:val="00AB4081"/>
    <w:rsid w:val="00AB420C"/>
    <w:rsid w:val="00AB42BD"/>
    <w:rsid w:val="00AB4CED"/>
    <w:rsid w:val="00AB51EE"/>
    <w:rsid w:val="00AB5E95"/>
    <w:rsid w:val="00AB60B7"/>
    <w:rsid w:val="00AB6333"/>
    <w:rsid w:val="00AB6CEB"/>
    <w:rsid w:val="00AB74B2"/>
    <w:rsid w:val="00AB757E"/>
    <w:rsid w:val="00AB7B5E"/>
    <w:rsid w:val="00AC0B4A"/>
    <w:rsid w:val="00AC1043"/>
    <w:rsid w:val="00AC12CA"/>
    <w:rsid w:val="00AC16C5"/>
    <w:rsid w:val="00AC2045"/>
    <w:rsid w:val="00AC2664"/>
    <w:rsid w:val="00AC382B"/>
    <w:rsid w:val="00AC3A73"/>
    <w:rsid w:val="00AC3DDD"/>
    <w:rsid w:val="00AC4023"/>
    <w:rsid w:val="00AC4176"/>
    <w:rsid w:val="00AC5C7D"/>
    <w:rsid w:val="00AC65E0"/>
    <w:rsid w:val="00AC7398"/>
    <w:rsid w:val="00AD0344"/>
    <w:rsid w:val="00AD046E"/>
    <w:rsid w:val="00AD0620"/>
    <w:rsid w:val="00AD1242"/>
    <w:rsid w:val="00AD12AC"/>
    <w:rsid w:val="00AD28B6"/>
    <w:rsid w:val="00AD312B"/>
    <w:rsid w:val="00AD3C59"/>
    <w:rsid w:val="00AD47FB"/>
    <w:rsid w:val="00AD52FE"/>
    <w:rsid w:val="00AD5E6F"/>
    <w:rsid w:val="00AD6089"/>
    <w:rsid w:val="00AD66A0"/>
    <w:rsid w:val="00AD6E11"/>
    <w:rsid w:val="00AD7EF3"/>
    <w:rsid w:val="00AE035B"/>
    <w:rsid w:val="00AE05FD"/>
    <w:rsid w:val="00AE0AB9"/>
    <w:rsid w:val="00AE0BC7"/>
    <w:rsid w:val="00AE185F"/>
    <w:rsid w:val="00AE1FF2"/>
    <w:rsid w:val="00AE3052"/>
    <w:rsid w:val="00AE329A"/>
    <w:rsid w:val="00AE43F1"/>
    <w:rsid w:val="00AE594A"/>
    <w:rsid w:val="00AE72EA"/>
    <w:rsid w:val="00AF01AC"/>
    <w:rsid w:val="00AF0831"/>
    <w:rsid w:val="00AF0A5C"/>
    <w:rsid w:val="00AF0D3B"/>
    <w:rsid w:val="00AF0E87"/>
    <w:rsid w:val="00AF14C4"/>
    <w:rsid w:val="00AF1770"/>
    <w:rsid w:val="00AF1D89"/>
    <w:rsid w:val="00AF2A7D"/>
    <w:rsid w:val="00AF3C3A"/>
    <w:rsid w:val="00AF474F"/>
    <w:rsid w:val="00AF52B2"/>
    <w:rsid w:val="00AF5940"/>
    <w:rsid w:val="00AF68CF"/>
    <w:rsid w:val="00AF6B7A"/>
    <w:rsid w:val="00AF6D4C"/>
    <w:rsid w:val="00AF73D4"/>
    <w:rsid w:val="00AF7B25"/>
    <w:rsid w:val="00AF7F20"/>
    <w:rsid w:val="00B01C33"/>
    <w:rsid w:val="00B02ABF"/>
    <w:rsid w:val="00B02DFE"/>
    <w:rsid w:val="00B03C15"/>
    <w:rsid w:val="00B04407"/>
    <w:rsid w:val="00B044FB"/>
    <w:rsid w:val="00B04D01"/>
    <w:rsid w:val="00B04EF3"/>
    <w:rsid w:val="00B055B5"/>
    <w:rsid w:val="00B05967"/>
    <w:rsid w:val="00B0602F"/>
    <w:rsid w:val="00B06715"/>
    <w:rsid w:val="00B06C69"/>
    <w:rsid w:val="00B06C85"/>
    <w:rsid w:val="00B07FB7"/>
    <w:rsid w:val="00B113B0"/>
    <w:rsid w:val="00B11C6D"/>
    <w:rsid w:val="00B11CC3"/>
    <w:rsid w:val="00B13612"/>
    <w:rsid w:val="00B1387B"/>
    <w:rsid w:val="00B14C7E"/>
    <w:rsid w:val="00B14C99"/>
    <w:rsid w:val="00B15A8B"/>
    <w:rsid w:val="00B15C96"/>
    <w:rsid w:val="00B16D95"/>
    <w:rsid w:val="00B17A22"/>
    <w:rsid w:val="00B20C1F"/>
    <w:rsid w:val="00B22400"/>
    <w:rsid w:val="00B22CFE"/>
    <w:rsid w:val="00B23631"/>
    <w:rsid w:val="00B24033"/>
    <w:rsid w:val="00B24099"/>
    <w:rsid w:val="00B249BD"/>
    <w:rsid w:val="00B2507C"/>
    <w:rsid w:val="00B2592A"/>
    <w:rsid w:val="00B265A4"/>
    <w:rsid w:val="00B3019E"/>
    <w:rsid w:val="00B305EC"/>
    <w:rsid w:val="00B30C7B"/>
    <w:rsid w:val="00B315E1"/>
    <w:rsid w:val="00B32513"/>
    <w:rsid w:val="00B32A30"/>
    <w:rsid w:val="00B32BB8"/>
    <w:rsid w:val="00B33E45"/>
    <w:rsid w:val="00B3421D"/>
    <w:rsid w:val="00B3504D"/>
    <w:rsid w:val="00B35717"/>
    <w:rsid w:val="00B35A07"/>
    <w:rsid w:val="00B3616F"/>
    <w:rsid w:val="00B363F0"/>
    <w:rsid w:val="00B36C11"/>
    <w:rsid w:val="00B37AC3"/>
    <w:rsid w:val="00B40A45"/>
    <w:rsid w:val="00B40CEE"/>
    <w:rsid w:val="00B40E88"/>
    <w:rsid w:val="00B41912"/>
    <w:rsid w:val="00B41961"/>
    <w:rsid w:val="00B41BF0"/>
    <w:rsid w:val="00B41FD1"/>
    <w:rsid w:val="00B4227F"/>
    <w:rsid w:val="00B42E1E"/>
    <w:rsid w:val="00B43042"/>
    <w:rsid w:val="00B43ADA"/>
    <w:rsid w:val="00B43FC9"/>
    <w:rsid w:val="00B44EBC"/>
    <w:rsid w:val="00B4518A"/>
    <w:rsid w:val="00B451E3"/>
    <w:rsid w:val="00B452A2"/>
    <w:rsid w:val="00B45CE1"/>
    <w:rsid w:val="00B476EB"/>
    <w:rsid w:val="00B50017"/>
    <w:rsid w:val="00B529FA"/>
    <w:rsid w:val="00B52E68"/>
    <w:rsid w:val="00B534DE"/>
    <w:rsid w:val="00B54002"/>
    <w:rsid w:val="00B54472"/>
    <w:rsid w:val="00B5494D"/>
    <w:rsid w:val="00B54DE8"/>
    <w:rsid w:val="00B54EF8"/>
    <w:rsid w:val="00B55456"/>
    <w:rsid w:val="00B55A78"/>
    <w:rsid w:val="00B55C4A"/>
    <w:rsid w:val="00B56003"/>
    <w:rsid w:val="00B569FA"/>
    <w:rsid w:val="00B60E8A"/>
    <w:rsid w:val="00B61056"/>
    <w:rsid w:val="00B612F2"/>
    <w:rsid w:val="00B624BA"/>
    <w:rsid w:val="00B62B3F"/>
    <w:rsid w:val="00B62C64"/>
    <w:rsid w:val="00B62F0B"/>
    <w:rsid w:val="00B63857"/>
    <w:rsid w:val="00B6480F"/>
    <w:rsid w:val="00B6532B"/>
    <w:rsid w:val="00B6594F"/>
    <w:rsid w:val="00B65A80"/>
    <w:rsid w:val="00B67BEB"/>
    <w:rsid w:val="00B7085B"/>
    <w:rsid w:val="00B7147A"/>
    <w:rsid w:val="00B71898"/>
    <w:rsid w:val="00B766C6"/>
    <w:rsid w:val="00B76A6D"/>
    <w:rsid w:val="00B77705"/>
    <w:rsid w:val="00B80092"/>
    <w:rsid w:val="00B80156"/>
    <w:rsid w:val="00B80B82"/>
    <w:rsid w:val="00B80FAD"/>
    <w:rsid w:val="00B83583"/>
    <w:rsid w:val="00B839E4"/>
    <w:rsid w:val="00B841CD"/>
    <w:rsid w:val="00B854BA"/>
    <w:rsid w:val="00B859D8"/>
    <w:rsid w:val="00B87A01"/>
    <w:rsid w:val="00B90912"/>
    <w:rsid w:val="00B91D7E"/>
    <w:rsid w:val="00B9235B"/>
    <w:rsid w:val="00B927F0"/>
    <w:rsid w:val="00B93C9F"/>
    <w:rsid w:val="00B9482A"/>
    <w:rsid w:val="00B94A88"/>
    <w:rsid w:val="00B95DC7"/>
    <w:rsid w:val="00B9602F"/>
    <w:rsid w:val="00B96115"/>
    <w:rsid w:val="00B97787"/>
    <w:rsid w:val="00B97DC1"/>
    <w:rsid w:val="00BA1894"/>
    <w:rsid w:val="00BA19EB"/>
    <w:rsid w:val="00BA1B0A"/>
    <w:rsid w:val="00BA1F73"/>
    <w:rsid w:val="00BA2637"/>
    <w:rsid w:val="00BA2E78"/>
    <w:rsid w:val="00BA38B7"/>
    <w:rsid w:val="00BA47FE"/>
    <w:rsid w:val="00BA4927"/>
    <w:rsid w:val="00BA5943"/>
    <w:rsid w:val="00BA59B9"/>
    <w:rsid w:val="00BA6F32"/>
    <w:rsid w:val="00BB0652"/>
    <w:rsid w:val="00BB2AE5"/>
    <w:rsid w:val="00BB3A75"/>
    <w:rsid w:val="00BB46AB"/>
    <w:rsid w:val="00BB4A79"/>
    <w:rsid w:val="00BB4D74"/>
    <w:rsid w:val="00BB5C6C"/>
    <w:rsid w:val="00BB637A"/>
    <w:rsid w:val="00BB7239"/>
    <w:rsid w:val="00BB7F3B"/>
    <w:rsid w:val="00BC2063"/>
    <w:rsid w:val="00BC26D1"/>
    <w:rsid w:val="00BC3CC0"/>
    <w:rsid w:val="00BC4950"/>
    <w:rsid w:val="00BC500C"/>
    <w:rsid w:val="00BC5ACE"/>
    <w:rsid w:val="00BC6107"/>
    <w:rsid w:val="00BC620B"/>
    <w:rsid w:val="00BC62FE"/>
    <w:rsid w:val="00BC659B"/>
    <w:rsid w:val="00BC66CA"/>
    <w:rsid w:val="00BC7160"/>
    <w:rsid w:val="00BC794B"/>
    <w:rsid w:val="00BD1CFF"/>
    <w:rsid w:val="00BD348D"/>
    <w:rsid w:val="00BD4C41"/>
    <w:rsid w:val="00BD4FD8"/>
    <w:rsid w:val="00BD55CE"/>
    <w:rsid w:val="00BD5678"/>
    <w:rsid w:val="00BD58D7"/>
    <w:rsid w:val="00BD6224"/>
    <w:rsid w:val="00BD6F29"/>
    <w:rsid w:val="00BD6F61"/>
    <w:rsid w:val="00BD78F4"/>
    <w:rsid w:val="00BD7AB0"/>
    <w:rsid w:val="00BE1AC1"/>
    <w:rsid w:val="00BE1DF5"/>
    <w:rsid w:val="00BE3CB4"/>
    <w:rsid w:val="00BE3F3B"/>
    <w:rsid w:val="00BE44BF"/>
    <w:rsid w:val="00BE4B37"/>
    <w:rsid w:val="00BE77F6"/>
    <w:rsid w:val="00BF067E"/>
    <w:rsid w:val="00BF09B5"/>
    <w:rsid w:val="00BF10D9"/>
    <w:rsid w:val="00BF1CD6"/>
    <w:rsid w:val="00BF1EFC"/>
    <w:rsid w:val="00BF338D"/>
    <w:rsid w:val="00BF38A1"/>
    <w:rsid w:val="00BF4F31"/>
    <w:rsid w:val="00BF506C"/>
    <w:rsid w:val="00BF51C2"/>
    <w:rsid w:val="00BF546F"/>
    <w:rsid w:val="00BF5E49"/>
    <w:rsid w:val="00BF61DF"/>
    <w:rsid w:val="00BF6548"/>
    <w:rsid w:val="00BF78C6"/>
    <w:rsid w:val="00C00387"/>
    <w:rsid w:val="00C00683"/>
    <w:rsid w:val="00C01254"/>
    <w:rsid w:val="00C01290"/>
    <w:rsid w:val="00C0139B"/>
    <w:rsid w:val="00C0240B"/>
    <w:rsid w:val="00C028C1"/>
    <w:rsid w:val="00C02E83"/>
    <w:rsid w:val="00C0331A"/>
    <w:rsid w:val="00C034B5"/>
    <w:rsid w:val="00C0389C"/>
    <w:rsid w:val="00C04E2E"/>
    <w:rsid w:val="00C0533D"/>
    <w:rsid w:val="00C058DF"/>
    <w:rsid w:val="00C060A8"/>
    <w:rsid w:val="00C06DFF"/>
    <w:rsid w:val="00C07237"/>
    <w:rsid w:val="00C079EC"/>
    <w:rsid w:val="00C07BBD"/>
    <w:rsid w:val="00C11D7C"/>
    <w:rsid w:val="00C131D7"/>
    <w:rsid w:val="00C155CF"/>
    <w:rsid w:val="00C15891"/>
    <w:rsid w:val="00C15AFC"/>
    <w:rsid w:val="00C15BF4"/>
    <w:rsid w:val="00C1602D"/>
    <w:rsid w:val="00C166C0"/>
    <w:rsid w:val="00C17384"/>
    <w:rsid w:val="00C1747E"/>
    <w:rsid w:val="00C20679"/>
    <w:rsid w:val="00C224A5"/>
    <w:rsid w:val="00C22986"/>
    <w:rsid w:val="00C23977"/>
    <w:rsid w:val="00C24036"/>
    <w:rsid w:val="00C24758"/>
    <w:rsid w:val="00C254F4"/>
    <w:rsid w:val="00C25A37"/>
    <w:rsid w:val="00C25AB2"/>
    <w:rsid w:val="00C2728F"/>
    <w:rsid w:val="00C2733A"/>
    <w:rsid w:val="00C30467"/>
    <w:rsid w:val="00C30D99"/>
    <w:rsid w:val="00C30E5C"/>
    <w:rsid w:val="00C318ED"/>
    <w:rsid w:val="00C3190A"/>
    <w:rsid w:val="00C31AD4"/>
    <w:rsid w:val="00C31E53"/>
    <w:rsid w:val="00C32243"/>
    <w:rsid w:val="00C327FB"/>
    <w:rsid w:val="00C336AB"/>
    <w:rsid w:val="00C34394"/>
    <w:rsid w:val="00C34763"/>
    <w:rsid w:val="00C34F0D"/>
    <w:rsid w:val="00C35005"/>
    <w:rsid w:val="00C355E0"/>
    <w:rsid w:val="00C35A20"/>
    <w:rsid w:val="00C36D90"/>
    <w:rsid w:val="00C36D9D"/>
    <w:rsid w:val="00C377C1"/>
    <w:rsid w:val="00C37BD5"/>
    <w:rsid w:val="00C4067B"/>
    <w:rsid w:val="00C4075B"/>
    <w:rsid w:val="00C40BE9"/>
    <w:rsid w:val="00C41195"/>
    <w:rsid w:val="00C413EA"/>
    <w:rsid w:val="00C416B8"/>
    <w:rsid w:val="00C4206A"/>
    <w:rsid w:val="00C42771"/>
    <w:rsid w:val="00C42AEC"/>
    <w:rsid w:val="00C43184"/>
    <w:rsid w:val="00C43638"/>
    <w:rsid w:val="00C43F42"/>
    <w:rsid w:val="00C44722"/>
    <w:rsid w:val="00C449A5"/>
    <w:rsid w:val="00C44CEF"/>
    <w:rsid w:val="00C47009"/>
    <w:rsid w:val="00C479DC"/>
    <w:rsid w:val="00C47B06"/>
    <w:rsid w:val="00C47F13"/>
    <w:rsid w:val="00C50C4D"/>
    <w:rsid w:val="00C518BE"/>
    <w:rsid w:val="00C52C56"/>
    <w:rsid w:val="00C53238"/>
    <w:rsid w:val="00C538FB"/>
    <w:rsid w:val="00C54163"/>
    <w:rsid w:val="00C545BC"/>
    <w:rsid w:val="00C55EB8"/>
    <w:rsid w:val="00C55ECF"/>
    <w:rsid w:val="00C566F2"/>
    <w:rsid w:val="00C56895"/>
    <w:rsid w:val="00C56CB2"/>
    <w:rsid w:val="00C57874"/>
    <w:rsid w:val="00C5788D"/>
    <w:rsid w:val="00C6044C"/>
    <w:rsid w:val="00C608BA"/>
    <w:rsid w:val="00C609A4"/>
    <w:rsid w:val="00C60A98"/>
    <w:rsid w:val="00C617D4"/>
    <w:rsid w:val="00C61DA8"/>
    <w:rsid w:val="00C622C5"/>
    <w:rsid w:val="00C6255F"/>
    <w:rsid w:val="00C6283C"/>
    <w:rsid w:val="00C63201"/>
    <w:rsid w:val="00C6499A"/>
    <w:rsid w:val="00C64A47"/>
    <w:rsid w:val="00C65D93"/>
    <w:rsid w:val="00C67243"/>
    <w:rsid w:val="00C67954"/>
    <w:rsid w:val="00C67C7C"/>
    <w:rsid w:val="00C710C3"/>
    <w:rsid w:val="00C712A5"/>
    <w:rsid w:val="00C71A78"/>
    <w:rsid w:val="00C71AA3"/>
    <w:rsid w:val="00C72D68"/>
    <w:rsid w:val="00C733DC"/>
    <w:rsid w:val="00C735D0"/>
    <w:rsid w:val="00C7539B"/>
    <w:rsid w:val="00C76F2D"/>
    <w:rsid w:val="00C80120"/>
    <w:rsid w:val="00C8079D"/>
    <w:rsid w:val="00C819A7"/>
    <w:rsid w:val="00C84275"/>
    <w:rsid w:val="00C84D3C"/>
    <w:rsid w:val="00C85A81"/>
    <w:rsid w:val="00C863E0"/>
    <w:rsid w:val="00C86C76"/>
    <w:rsid w:val="00C879B5"/>
    <w:rsid w:val="00C879BC"/>
    <w:rsid w:val="00C90A5A"/>
    <w:rsid w:val="00C91022"/>
    <w:rsid w:val="00C91A16"/>
    <w:rsid w:val="00C91AF3"/>
    <w:rsid w:val="00C91DA7"/>
    <w:rsid w:val="00C9355C"/>
    <w:rsid w:val="00C94F82"/>
    <w:rsid w:val="00C95196"/>
    <w:rsid w:val="00C9583A"/>
    <w:rsid w:val="00C9588B"/>
    <w:rsid w:val="00C972E4"/>
    <w:rsid w:val="00C973F4"/>
    <w:rsid w:val="00C976D3"/>
    <w:rsid w:val="00C978ED"/>
    <w:rsid w:val="00CA04CE"/>
    <w:rsid w:val="00CA0EF7"/>
    <w:rsid w:val="00CA1213"/>
    <w:rsid w:val="00CA1694"/>
    <w:rsid w:val="00CA1B0E"/>
    <w:rsid w:val="00CA2115"/>
    <w:rsid w:val="00CA24A6"/>
    <w:rsid w:val="00CA25EC"/>
    <w:rsid w:val="00CA303D"/>
    <w:rsid w:val="00CA53A0"/>
    <w:rsid w:val="00CA5FD0"/>
    <w:rsid w:val="00CA6837"/>
    <w:rsid w:val="00CA6E8C"/>
    <w:rsid w:val="00CA71FE"/>
    <w:rsid w:val="00CA72D4"/>
    <w:rsid w:val="00CA762C"/>
    <w:rsid w:val="00CA7FDB"/>
    <w:rsid w:val="00CB092D"/>
    <w:rsid w:val="00CB0BA6"/>
    <w:rsid w:val="00CB0BAF"/>
    <w:rsid w:val="00CB1A1D"/>
    <w:rsid w:val="00CB2D7E"/>
    <w:rsid w:val="00CB2F7B"/>
    <w:rsid w:val="00CB31A5"/>
    <w:rsid w:val="00CB31EF"/>
    <w:rsid w:val="00CB33C9"/>
    <w:rsid w:val="00CB44D6"/>
    <w:rsid w:val="00CB577F"/>
    <w:rsid w:val="00CB59F5"/>
    <w:rsid w:val="00CB60FB"/>
    <w:rsid w:val="00CB6D6F"/>
    <w:rsid w:val="00CB722C"/>
    <w:rsid w:val="00CB7758"/>
    <w:rsid w:val="00CB7EDD"/>
    <w:rsid w:val="00CC0208"/>
    <w:rsid w:val="00CC14D7"/>
    <w:rsid w:val="00CC184A"/>
    <w:rsid w:val="00CC1961"/>
    <w:rsid w:val="00CC1D81"/>
    <w:rsid w:val="00CC28D6"/>
    <w:rsid w:val="00CC2DB8"/>
    <w:rsid w:val="00CC2EBB"/>
    <w:rsid w:val="00CC3256"/>
    <w:rsid w:val="00CC3802"/>
    <w:rsid w:val="00CC389A"/>
    <w:rsid w:val="00CC3D4E"/>
    <w:rsid w:val="00CC3DBB"/>
    <w:rsid w:val="00CC3F58"/>
    <w:rsid w:val="00CC717D"/>
    <w:rsid w:val="00CD0A0B"/>
    <w:rsid w:val="00CD113C"/>
    <w:rsid w:val="00CD14D3"/>
    <w:rsid w:val="00CD35C2"/>
    <w:rsid w:val="00CD3A50"/>
    <w:rsid w:val="00CD3BC5"/>
    <w:rsid w:val="00CD3F2B"/>
    <w:rsid w:val="00CD4213"/>
    <w:rsid w:val="00CD45E9"/>
    <w:rsid w:val="00CD4A9D"/>
    <w:rsid w:val="00CD5D9C"/>
    <w:rsid w:val="00CD5EC2"/>
    <w:rsid w:val="00CD68F7"/>
    <w:rsid w:val="00CD7371"/>
    <w:rsid w:val="00CD776C"/>
    <w:rsid w:val="00CD7CE5"/>
    <w:rsid w:val="00CE0CFE"/>
    <w:rsid w:val="00CE1BDA"/>
    <w:rsid w:val="00CE21A4"/>
    <w:rsid w:val="00CE3112"/>
    <w:rsid w:val="00CE31F5"/>
    <w:rsid w:val="00CE44B8"/>
    <w:rsid w:val="00CE4BAF"/>
    <w:rsid w:val="00CE4D32"/>
    <w:rsid w:val="00CE53BA"/>
    <w:rsid w:val="00CE5AC7"/>
    <w:rsid w:val="00CE5B77"/>
    <w:rsid w:val="00CE6289"/>
    <w:rsid w:val="00CE658A"/>
    <w:rsid w:val="00CE6C29"/>
    <w:rsid w:val="00CE7456"/>
    <w:rsid w:val="00CE7585"/>
    <w:rsid w:val="00CF1124"/>
    <w:rsid w:val="00CF22FD"/>
    <w:rsid w:val="00CF26C3"/>
    <w:rsid w:val="00CF3A94"/>
    <w:rsid w:val="00CF3AB8"/>
    <w:rsid w:val="00CF3BFC"/>
    <w:rsid w:val="00CF3EBB"/>
    <w:rsid w:val="00CF5FEA"/>
    <w:rsid w:val="00CF6E16"/>
    <w:rsid w:val="00CF6E9B"/>
    <w:rsid w:val="00CF70DB"/>
    <w:rsid w:val="00D00834"/>
    <w:rsid w:val="00D00E72"/>
    <w:rsid w:val="00D011C6"/>
    <w:rsid w:val="00D01228"/>
    <w:rsid w:val="00D0127F"/>
    <w:rsid w:val="00D01755"/>
    <w:rsid w:val="00D01774"/>
    <w:rsid w:val="00D032C9"/>
    <w:rsid w:val="00D03A93"/>
    <w:rsid w:val="00D048E8"/>
    <w:rsid w:val="00D05B0B"/>
    <w:rsid w:val="00D05B31"/>
    <w:rsid w:val="00D0658C"/>
    <w:rsid w:val="00D06BC0"/>
    <w:rsid w:val="00D10099"/>
    <w:rsid w:val="00D100DA"/>
    <w:rsid w:val="00D10181"/>
    <w:rsid w:val="00D10A78"/>
    <w:rsid w:val="00D10D15"/>
    <w:rsid w:val="00D11750"/>
    <w:rsid w:val="00D11964"/>
    <w:rsid w:val="00D11D5C"/>
    <w:rsid w:val="00D12812"/>
    <w:rsid w:val="00D12B68"/>
    <w:rsid w:val="00D1359D"/>
    <w:rsid w:val="00D13FD1"/>
    <w:rsid w:val="00D14938"/>
    <w:rsid w:val="00D155A0"/>
    <w:rsid w:val="00D157B0"/>
    <w:rsid w:val="00D157BD"/>
    <w:rsid w:val="00D15989"/>
    <w:rsid w:val="00D15AF6"/>
    <w:rsid w:val="00D1795A"/>
    <w:rsid w:val="00D17B8D"/>
    <w:rsid w:val="00D17C83"/>
    <w:rsid w:val="00D20027"/>
    <w:rsid w:val="00D211CF"/>
    <w:rsid w:val="00D21B9D"/>
    <w:rsid w:val="00D22B2B"/>
    <w:rsid w:val="00D22F2A"/>
    <w:rsid w:val="00D234C7"/>
    <w:rsid w:val="00D23743"/>
    <w:rsid w:val="00D23F73"/>
    <w:rsid w:val="00D2457F"/>
    <w:rsid w:val="00D24A25"/>
    <w:rsid w:val="00D255CC"/>
    <w:rsid w:val="00D26458"/>
    <w:rsid w:val="00D2670F"/>
    <w:rsid w:val="00D313EF"/>
    <w:rsid w:val="00D328DC"/>
    <w:rsid w:val="00D33AF9"/>
    <w:rsid w:val="00D33B54"/>
    <w:rsid w:val="00D34608"/>
    <w:rsid w:val="00D34E72"/>
    <w:rsid w:val="00D34F42"/>
    <w:rsid w:val="00D3634F"/>
    <w:rsid w:val="00D363F7"/>
    <w:rsid w:val="00D371F1"/>
    <w:rsid w:val="00D40428"/>
    <w:rsid w:val="00D4127B"/>
    <w:rsid w:val="00D412B7"/>
    <w:rsid w:val="00D41349"/>
    <w:rsid w:val="00D414C3"/>
    <w:rsid w:val="00D41E0E"/>
    <w:rsid w:val="00D43A0E"/>
    <w:rsid w:val="00D440E2"/>
    <w:rsid w:val="00D44DAB"/>
    <w:rsid w:val="00D45618"/>
    <w:rsid w:val="00D45B90"/>
    <w:rsid w:val="00D45E2C"/>
    <w:rsid w:val="00D46E39"/>
    <w:rsid w:val="00D46E3A"/>
    <w:rsid w:val="00D47274"/>
    <w:rsid w:val="00D47AA2"/>
    <w:rsid w:val="00D47E47"/>
    <w:rsid w:val="00D507A2"/>
    <w:rsid w:val="00D52C35"/>
    <w:rsid w:val="00D53060"/>
    <w:rsid w:val="00D55B61"/>
    <w:rsid w:val="00D55D06"/>
    <w:rsid w:val="00D570E5"/>
    <w:rsid w:val="00D5731A"/>
    <w:rsid w:val="00D57A64"/>
    <w:rsid w:val="00D60904"/>
    <w:rsid w:val="00D60DE1"/>
    <w:rsid w:val="00D61649"/>
    <w:rsid w:val="00D61661"/>
    <w:rsid w:val="00D62163"/>
    <w:rsid w:val="00D624A4"/>
    <w:rsid w:val="00D63D16"/>
    <w:rsid w:val="00D649B5"/>
    <w:rsid w:val="00D6569B"/>
    <w:rsid w:val="00D66594"/>
    <w:rsid w:val="00D66C23"/>
    <w:rsid w:val="00D671C1"/>
    <w:rsid w:val="00D674DB"/>
    <w:rsid w:val="00D67564"/>
    <w:rsid w:val="00D702CA"/>
    <w:rsid w:val="00D70C87"/>
    <w:rsid w:val="00D714EF"/>
    <w:rsid w:val="00D725CE"/>
    <w:rsid w:val="00D729E1"/>
    <w:rsid w:val="00D72E7C"/>
    <w:rsid w:val="00D7430D"/>
    <w:rsid w:val="00D75799"/>
    <w:rsid w:val="00D7695D"/>
    <w:rsid w:val="00D7712F"/>
    <w:rsid w:val="00D806DE"/>
    <w:rsid w:val="00D80947"/>
    <w:rsid w:val="00D8099A"/>
    <w:rsid w:val="00D80B59"/>
    <w:rsid w:val="00D80FD6"/>
    <w:rsid w:val="00D839FD"/>
    <w:rsid w:val="00D83C17"/>
    <w:rsid w:val="00D83C9F"/>
    <w:rsid w:val="00D8612B"/>
    <w:rsid w:val="00D86551"/>
    <w:rsid w:val="00D8782D"/>
    <w:rsid w:val="00D90EC4"/>
    <w:rsid w:val="00D911EF"/>
    <w:rsid w:val="00D9129C"/>
    <w:rsid w:val="00D91D1F"/>
    <w:rsid w:val="00D923B4"/>
    <w:rsid w:val="00D942F1"/>
    <w:rsid w:val="00D95AA2"/>
    <w:rsid w:val="00D96547"/>
    <w:rsid w:val="00D96BC7"/>
    <w:rsid w:val="00D97053"/>
    <w:rsid w:val="00DA0462"/>
    <w:rsid w:val="00DA067B"/>
    <w:rsid w:val="00DA06CA"/>
    <w:rsid w:val="00DA09AD"/>
    <w:rsid w:val="00DA1575"/>
    <w:rsid w:val="00DA1B3E"/>
    <w:rsid w:val="00DA2878"/>
    <w:rsid w:val="00DA29F3"/>
    <w:rsid w:val="00DA3CCB"/>
    <w:rsid w:val="00DA4EE1"/>
    <w:rsid w:val="00DA5CE2"/>
    <w:rsid w:val="00DA6C6F"/>
    <w:rsid w:val="00DB0062"/>
    <w:rsid w:val="00DB00F3"/>
    <w:rsid w:val="00DB173B"/>
    <w:rsid w:val="00DB24D0"/>
    <w:rsid w:val="00DB31F4"/>
    <w:rsid w:val="00DB36FE"/>
    <w:rsid w:val="00DB3850"/>
    <w:rsid w:val="00DB3AD2"/>
    <w:rsid w:val="00DB3DAA"/>
    <w:rsid w:val="00DB41EF"/>
    <w:rsid w:val="00DB4744"/>
    <w:rsid w:val="00DB561E"/>
    <w:rsid w:val="00DB588D"/>
    <w:rsid w:val="00DB5AAB"/>
    <w:rsid w:val="00DB5B0B"/>
    <w:rsid w:val="00DB65A3"/>
    <w:rsid w:val="00DB6B72"/>
    <w:rsid w:val="00DB6E26"/>
    <w:rsid w:val="00DB6F80"/>
    <w:rsid w:val="00DB79E8"/>
    <w:rsid w:val="00DC0158"/>
    <w:rsid w:val="00DC226A"/>
    <w:rsid w:val="00DC25AD"/>
    <w:rsid w:val="00DC296F"/>
    <w:rsid w:val="00DC32CA"/>
    <w:rsid w:val="00DC408C"/>
    <w:rsid w:val="00DC51B7"/>
    <w:rsid w:val="00DC6237"/>
    <w:rsid w:val="00DC62C4"/>
    <w:rsid w:val="00DC6CE8"/>
    <w:rsid w:val="00DC7180"/>
    <w:rsid w:val="00DC7287"/>
    <w:rsid w:val="00DD0450"/>
    <w:rsid w:val="00DD245D"/>
    <w:rsid w:val="00DD2B56"/>
    <w:rsid w:val="00DD35B5"/>
    <w:rsid w:val="00DD3C59"/>
    <w:rsid w:val="00DD4500"/>
    <w:rsid w:val="00DD45AB"/>
    <w:rsid w:val="00DD4CCC"/>
    <w:rsid w:val="00DD51B4"/>
    <w:rsid w:val="00DD6908"/>
    <w:rsid w:val="00DE096E"/>
    <w:rsid w:val="00DE0AEF"/>
    <w:rsid w:val="00DE22E8"/>
    <w:rsid w:val="00DE2FB1"/>
    <w:rsid w:val="00DE30F5"/>
    <w:rsid w:val="00DE4DD1"/>
    <w:rsid w:val="00DE5395"/>
    <w:rsid w:val="00DE5ED7"/>
    <w:rsid w:val="00DE6C2B"/>
    <w:rsid w:val="00DE7781"/>
    <w:rsid w:val="00DF00BC"/>
    <w:rsid w:val="00DF05B6"/>
    <w:rsid w:val="00DF0D67"/>
    <w:rsid w:val="00DF307B"/>
    <w:rsid w:val="00DF339F"/>
    <w:rsid w:val="00DF39E4"/>
    <w:rsid w:val="00DF3A64"/>
    <w:rsid w:val="00DF3D1A"/>
    <w:rsid w:val="00DF4FAF"/>
    <w:rsid w:val="00DF5CA7"/>
    <w:rsid w:val="00DF5F96"/>
    <w:rsid w:val="00DF6473"/>
    <w:rsid w:val="00DF68F6"/>
    <w:rsid w:val="00DF6FD4"/>
    <w:rsid w:val="00DF710E"/>
    <w:rsid w:val="00E00177"/>
    <w:rsid w:val="00E00191"/>
    <w:rsid w:val="00E0051D"/>
    <w:rsid w:val="00E0113F"/>
    <w:rsid w:val="00E03B7A"/>
    <w:rsid w:val="00E03BA5"/>
    <w:rsid w:val="00E03E81"/>
    <w:rsid w:val="00E04059"/>
    <w:rsid w:val="00E04A77"/>
    <w:rsid w:val="00E04C49"/>
    <w:rsid w:val="00E04EF7"/>
    <w:rsid w:val="00E05224"/>
    <w:rsid w:val="00E05FE0"/>
    <w:rsid w:val="00E060A3"/>
    <w:rsid w:val="00E066A0"/>
    <w:rsid w:val="00E0701F"/>
    <w:rsid w:val="00E10E4D"/>
    <w:rsid w:val="00E1295F"/>
    <w:rsid w:val="00E12D79"/>
    <w:rsid w:val="00E1348C"/>
    <w:rsid w:val="00E13CB9"/>
    <w:rsid w:val="00E13FCD"/>
    <w:rsid w:val="00E14B2E"/>
    <w:rsid w:val="00E14BDF"/>
    <w:rsid w:val="00E16D9F"/>
    <w:rsid w:val="00E16E9E"/>
    <w:rsid w:val="00E1757E"/>
    <w:rsid w:val="00E17BAE"/>
    <w:rsid w:val="00E20440"/>
    <w:rsid w:val="00E216DB"/>
    <w:rsid w:val="00E21711"/>
    <w:rsid w:val="00E21845"/>
    <w:rsid w:val="00E21ADA"/>
    <w:rsid w:val="00E2232B"/>
    <w:rsid w:val="00E2267F"/>
    <w:rsid w:val="00E23576"/>
    <w:rsid w:val="00E23D32"/>
    <w:rsid w:val="00E24974"/>
    <w:rsid w:val="00E24D5B"/>
    <w:rsid w:val="00E253F6"/>
    <w:rsid w:val="00E30740"/>
    <w:rsid w:val="00E30ADE"/>
    <w:rsid w:val="00E30D68"/>
    <w:rsid w:val="00E30DBA"/>
    <w:rsid w:val="00E31E1C"/>
    <w:rsid w:val="00E32E48"/>
    <w:rsid w:val="00E334F1"/>
    <w:rsid w:val="00E344C8"/>
    <w:rsid w:val="00E34A5D"/>
    <w:rsid w:val="00E34E7D"/>
    <w:rsid w:val="00E35264"/>
    <w:rsid w:val="00E356EC"/>
    <w:rsid w:val="00E35DB6"/>
    <w:rsid w:val="00E36207"/>
    <w:rsid w:val="00E363C4"/>
    <w:rsid w:val="00E36ADB"/>
    <w:rsid w:val="00E3727D"/>
    <w:rsid w:val="00E375CE"/>
    <w:rsid w:val="00E37AB3"/>
    <w:rsid w:val="00E40B93"/>
    <w:rsid w:val="00E4115B"/>
    <w:rsid w:val="00E42C58"/>
    <w:rsid w:val="00E436BC"/>
    <w:rsid w:val="00E43D68"/>
    <w:rsid w:val="00E4402C"/>
    <w:rsid w:val="00E44688"/>
    <w:rsid w:val="00E453A2"/>
    <w:rsid w:val="00E45EF8"/>
    <w:rsid w:val="00E46B32"/>
    <w:rsid w:val="00E46CF0"/>
    <w:rsid w:val="00E4744F"/>
    <w:rsid w:val="00E500D2"/>
    <w:rsid w:val="00E505D9"/>
    <w:rsid w:val="00E50FE8"/>
    <w:rsid w:val="00E50FF9"/>
    <w:rsid w:val="00E52713"/>
    <w:rsid w:val="00E52A0C"/>
    <w:rsid w:val="00E52EBA"/>
    <w:rsid w:val="00E53AE2"/>
    <w:rsid w:val="00E541F2"/>
    <w:rsid w:val="00E54E7E"/>
    <w:rsid w:val="00E550B5"/>
    <w:rsid w:val="00E55599"/>
    <w:rsid w:val="00E56193"/>
    <w:rsid w:val="00E564D2"/>
    <w:rsid w:val="00E566BF"/>
    <w:rsid w:val="00E566CC"/>
    <w:rsid w:val="00E57BCC"/>
    <w:rsid w:val="00E607FA"/>
    <w:rsid w:val="00E608C5"/>
    <w:rsid w:val="00E609D3"/>
    <w:rsid w:val="00E60F8C"/>
    <w:rsid w:val="00E612D4"/>
    <w:rsid w:val="00E622B2"/>
    <w:rsid w:val="00E62842"/>
    <w:rsid w:val="00E62CA8"/>
    <w:rsid w:val="00E635EA"/>
    <w:rsid w:val="00E63C36"/>
    <w:rsid w:val="00E64342"/>
    <w:rsid w:val="00E64AF0"/>
    <w:rsid w:val="00E6629A"/>
    <w:rsid w:val="00E66705"/>
    <w:rsid w:val="00E668A0"/>
    <w:rsid w:val="00E6780F"/>
    <w:rsid w:val="00E679A0"/>
    <w:rsid w:val="00E70738"/>
    <w:rsid w:val="00E70DB5"/>
    <w:rsid w:val="00E71DA5"/>
    <w:rsid w:val="00E723FD"/>
    <w:rsid w:val="00E73D58"/>
    <w:rsid w:val="00E74E06"/>
    <w:rsid w:val="00E74FA8"/>
    <w:rsid w:val="00E75A74"/>
    <w:rsid w:val="00E76684"/>
    <w:rsid w:val="00E7706A"/>
    <w:rsid w:val="00E778CE"/>
    <w:rsid w:val="00E77AC3"/>
    <w:rsid w:val="00E80010"/>
    <w:rsid w:val="00E8056F"/>
    <w:rsid w:val="00E80D0D"/>
    <w:rsid w:val="00E817DD"/>
    <w:rsid w:val="00E8197F"/>
    <w:rsid w:val="00E81EA6"/>
    <w:rsid w:val="00E8314C"/>
    <w:rsid w:val="00E83371"/>
    <w:rsid w:val="00E837FC"/>
    <w:rsid w:val="00E83EC7"/>
    <w:rsid w:val="00E84E32"/>
    <w:rsid w:val="00E8591E"/>
    <w:rsid w:val="00E85CBD"/>
    <w:rsid w:val="00E8692B"/>
    <w:rsid w:val="00E9017C"/>
    <w:rsid w:val="00E901B3"/>
    <w:rsid w:val="00E90277"/>
    <w:rsid w:val="00E9034E"/>
    <w:rsid w:val="00E90EF3"/>
    <w:rsid w:val="00E91392"/>
    <w:rsid w:val="00E9155B"/>
    <w:rsid w:val="00E91B1D"/>
    <w:rsid w:val="00E92946"/>
    <w:rsid w:val="00E92F30"/>
    <w:rsid w:val="00E9322D"/>
    <w:rsid w:val="00E93B94"/>
    <w:rsid w:val="00E94155"/>
    <w:rsid w:val="00E94C3B"/>
    <w:rsid w:val="00E94D26"/>
    <w:rsid w:val="00E94EC7"/>
    <w:rsid w:val="00E96559"/>
    <w:rsid w:val="00E96D3A"/>
    <w:rsid w:val="00E9749D"/>
    <w:rsid w:val="00EA0BDE"/>
    <w:rsid w:val="00EA10F8"/>
    <w:rsid w:val="00EA1140"/>
    <w:rsid w:val="00EA136D"/>
    <w:rsid w:val="00EA27D0"/>
    <w:rsid w:val="00EA2B32"/>
    <w:rsid w:val="00EA31E8"/>
    <w:rsid w:val="00EA372D"/>
    <w:rsid w:val="00EA3FE6"/>
    <w:rsid w:val="00EA4810"/>
    <w:rsid w:val="00EA5597"/>
    <w:rsid w:val="00EA61BF"/>
    <w:rsid w:val="00EA7FDA"/>
    <w:rsid w:val="00EB0468"/>
    <w:rsid w:val="00EB180B"/>
    <w:rsid w:val="00EB1E76"/>
    <w:rsid w:val="00EB3C35"/>
    <w:rsid w:val="00EB3D28"/>
    <w:rsid w:val="00EB5A2A"/>
    <w:rsid w:val="00EB5BAD"/>
    <w:rsid w:val="00EB5CA7"/>
    <w:rsid w:val="00EB60D1"/>
    <w:rsid w:val="00EB68A6"/>
    <w:rsid w:val="00EB6D75"/>
    <w:rsid w:val="00EB6D76"/>
    <w:rsid w:val="00EB730B"/>
    <w:rsid w:val="00EB7CF6"/>
    <w:rsid w:val="00EC0233"/>
    <w:rsid w:val="00EC08F8"/>
    <w:rsid w:val="00EC1158"/>
    <w:rsid w:val="00EC186B"/>
    <w:rsid w:val="00EC2893"/>
    <w:rsid w:val="00EC332F"/>
    <w:rsid w:val="00EC33DE"/>
    <w:rsid w:val="00EC3843"/>
    <w:rsid w:val="00EC3EEC"/>
    <w:rsid w:val="00EC478E"/>
    <w:rsid w:val="00EC4FAD"/>
    <w:rsid w:val="00EC5702"/>
    <w:rsid w:val="00EC5777"/>
    <w:rsid w:val="00EC59B1"/>
    <w:rsid w:val="00EC59E5"/>
    <w:rsid w:val="00EC6C06"/>
    <w:rsid w:val="00ED0364"/>
    <w:rsid w:val="00ED0962"/>
    <w:rsid w:val="00ED2550"/>
    <w:rsid w:val="00ED2B29"/>
    <w:rsid w:val="00ED3605"/>
    <w:rsid w:val="00ED3719"/>
    <w:rsid w:val="00ED4F61"/>
    <w:rsid w:val="00ED5063"/>
    <w:rsid w:val="00ED5516"/>
    <w:rsid w:val="00ED584E"/>
    <w:rsid w:val="00ED5893"/>
    <w:rsid w:val="00ED666C"/>
    <w:rsid w:val="00ED668A"/>
    <w:rsid w:val="00ED698B"/>
    <w:rsid w:val="00ED698C"/>
    <w:rsid w:val="00EE0656"/>
    <w:rsid w:val="00EE07DA"/>
    <w:rsid w:val="00EE0A07"/>
    <w:rsid w:val="00EE110F"/>
    <w:rsid w:val="00EE26E1"/>
    <w:rsid w:val="00EE28D9"/>
    <w:rsid w:val="00EE5194"/>
    <w:rsid w:val="00EE652B"/>
    <w:rsid w:val="00EE669F"/>
    <w:rsid w:val="00EE6C75"/>
    <w:rsid w:val="00EE6F40"/>
    <w:rsid w:val="00EE767F"/>
    <w:rsid w:val="00EF07C1"/>
    <w:rsid w:val="00EF0C81"/>
    <w:rsid w:val="00EF1124"/>
    <w:rsid w:val="00EF1A2B"/>
    <w:rsid w:val="00EF2156"/>
    <w:rsid w:val="00EF2619"/>
    <w:rsid w:val="00EF2897"/>
    <w:rsid w:val="00EF3BC4"/>
    <w:rsid w:val="00EF4A30"/>
    <w:rsid w:val="00EF521F"/>
    <w:rsid w:val="00EF59F4"/>
    <w:rsid w:val="00EF5BB1"/>
    <w:rsid w:val="00EF5E70"/>
    <w:rsid w:val="00EF602A"/>
    <w:rsid w:val="00EF6B5E"/>
    <w:rsid w:val="00EF6C2D"/>
    <w:rsid w:val="00EF7C85"/>
    <w:rsid w:val="00F00082"/>
    <w:rsid w:val="00F000C2"/>
    <w:rsid w:val="00F0018A"/>
    <w:rsid w:val="00F00CAA"/>
    <w:rsid w:val="00F012CD"/>
    <w:rsid w:val="00F01F74"/>
    <w:rsid w:val="00F01F78"/>
    <w:rsid w:val="00F021EE"/>
    <w:rsid w:val="00F0223A"/>
    <w:rsid w:val="00F02FE5"/>
    <w:rsid w:val="00F032DF"/>
    <w:rsid w:val="00F03506"/>
    <w:rsid w:val="00F036DC"/>
    <w:rsid w:val="00F03F41"/>
    <w:rsid w:val="00F04597"/>
    <w:rsid w:val="00F04B21"/>
    <w:rsid w:val="00F05062"/>
    <w:rsid w:val="00F0543C"/>
    <w:rsid w:val="00F05909"/>
    <w:rsid w:val="00F063FC"/>
    <w:rsid w:val="00F0677C"/>
    <w:rsid w:val="00F07548"/>
    <w:rsid w:val="00F076DD"/>
    <w:rsid w:val="00F07868"/>
    <w:rsid w:val="00F07CE5"/>
    <w:rsid w:val="00F1033D"/>
    <w:rsid w:val="00F11ADB"/>
    <w:rsid w:val="00F11CE7"/>
    <w:rsid w:val="00F11F2C"/>
    <w:rsid w:val="00F123CC"/>
    <w:rsid w:val="00F12A67"/>
    <w:rsid w:val="00F12CFF"/>
    <w:rsid w:val="00F142B8"/>
    <w:rsid w:val="00F14D06"/>
    <w:rsid w:val="00F15163"/>
    <w:rsid w:val="00F15AA1"/>
    <w:rsid w:val="00F15AB5"/>
    <w:rsid w:val="00F16A61"/>
    <w:rsid w:val="00F16E0C"/>
    <w:rsid w:val="00F17A9D"/>
    <w:rsid w:val="00F17FE1"/>
    <w:rsid w:val="00F204C7"/>
    <w:rsid w:val="00F20E58"/>
    <w:rsid w:val="00F214F7"/>
    <w:rsid w:val="00F22A5D"/>
    <w:rsid w:val="00F22C06"/>
    <w:rsid w:val="00F23211"/>
    <w:rsid w:val="00F23794"/>
    <w:rsid w:val="00F23AA1"/>
    <w:rsid w:val="00F23E8F"/>
    <w:rsid w:val="00F2423B"/>
    <w:rsid w:val="00F24FEE"/>
    <w:rsid w:val="00F252D9"/>
    <w:rsid w:val="00F254F2"/>
    <w:rsid w:val="00F25695"/>
    <w:rsid w:val="00F26DF7"/>
    <w:rsid w:val="00F2715D"/>
    <w:rsid w:val="00F27F95"/>
    <w:rsid w:val="00F30D1F"/>
    <w:rsid w:val="00F31444"/>
    <w:rsid w:val="00F31E7D"/>
    <w:rsid w:val="00F32256"/>
    <w:rsid w:val="00F329F8"/>
    <w:rsid w:val="00F33198"/>
    <w:rsid w:val="00F332ED"/>
    <w:rsid w:val="00F33460"/>
    <w:rsid w:val="00F33DDB"/>
    <w:rsid w:val="00F3467D"/>
    <w:rsid w:val="00F34EE5"/>
    <w:rsid w:val="00F34FBB"/>
    <w:rsid w:val="00F35096"/>
    <w:rsid w:val="00F35268"/>
    <w:rsid w:val="00F362CF"/>
    <w:rsid w:val="00F36B73"/>
    <w:rsid w:val="00F37033"/>
    <w:rsid w:val="00F371A1"/>
    <w:rsid w:val="00F37505"/>
    <w:rsid w:val="00F378A3"/>
    <w:rsid w:val="00F405B2"/>
    <w:rsid w:val="00F410B6"/>
    <w:rsid w:val="00F4226E"/>
    <w:rsid w:val="00F4238A"/>
    <w:rsid w:val="00F42C0C"/>
    <w:rsid w:val="00F42F33"/>
    <w:rsid w:val="00F438AE"/>
    <w:rsid w:val="00F43A48"/>
    <w:rsid w:val="00F43B00"/>
    <w:rsid w:val="00F43B15"/>
    <w:rsid w:val="00F43D81"/>
    <w:rsid w:val="00F43FE2"/>
    <w:rsid w:val="00F4422D"/>
    <w:rsid w:val="00F44620"/>
    <w:rsid w:val="00F44D71"/>
    <w:rsid w:val="00F44F70"/>
    <w:rsid w:val="00F452D0"/>
    <w:rsid w:val="00F46115"/>
    <w:rsid w:val="00F468E1"/>
    <w:rsid w:val="00F504B3"/>
    <w:rsid w:val="00F50886"/>
    <w:rsid w:val="00F50A6C"/>
    <w:rsid w:val="00F50BC1"/>
    <w:rsid w:val="00F50DC1"/>
    <w:rsid w:val="00F5180B"/>
    <w:rsid w:val="00F52087"/>
    <w:rsid w:val="00F52435"/>
    <w:rsid w:val="00F53A72"/>
    <w:rsid w:val="00F54CB4"/>
    <w:rsid w:val="00F55A12"/>
    <w:rsid w:val="00F56376"/>
    <w:rsid w:val="00F56751"/>
    <w:rsid w:val="00F56986"/>
    <w:rsid w:val="00F57E94"/>
    <w:rsid w:val="00F60737"/>
    <w:rsid w:val="00F60CDE"/>
    <w:rsid w:val="00F6117E"/>
    <w:rsid w:val="00F61443"/>
    <w:rsid w:val="00F61C3A"/>
    <w:rsid w:val="00F61DAE"/>
    <w:rsid w:val="00F61DF8"/>
    <w:rsid w:val="00F62855"/>
    <w:rsid w:val="00F62C09"/>
    <w:rsid w:val="00F62FD9"/>
    <w:rsid w:val="00F6435A"/>
    <w:rsid w:val="00F6547C"/>
    <w:rsid w:val="00F65CE7"/>
    <w:rsid w:val="00F65EA0"/>
    <w:rsid w:val="00F66B7B"/>
    <w:rsid w:val="00F67634"/>
    <w:rsid w:val="00F67669"/>
    <w:rsid w:val="00F67FFD"/>
    <w:rsid w:val="00F70E27"/>
    <w:rsid w:val="00F70F48"/>
    <w:rsid w:val="00F715B7"/>
    <w:rsid w:val="00F71EA4"/>
    <w:rsid w:val="00F72078"/>
    <w:rsid w:val="00F724D9"/>
    <w:rsid w:val="00F728D3"/>
    <w:rsid w:val="00F72A3D"/>
    <w:rsid w:val="00F72D45"/>
    <w:rsid w:val="00F73AA9"/>
    <w:rsid w:val="00F7431D"/>
    <w:rsid w:val="00F749E8"/>
    <w:rsid w:val="00F7507B"/>
    <w:rsid w:val="00F75977"/>
    <w:rsid w:val="00F75BB2"/>
    <w:rsid w:val="00F7618C"/>
    <w:rsid w:val="00F7690A"/>
    <w:rsid w:val="00F7752E"/>
    <w:rsid w:val="00F775FE"/>
    <w:rsid w:val="00F776B6"/>
    <w:rsid w:val="00F776E4"/>
    <w:rsid w:val="00F77F5E"/>
    <w:rsid w:val="00F8050B"/>
    <w:rsid w:val="00F81835"/>
    <w:rsid w:val="00F82270"/>
    <w:rsid w:val="00F828E8"/>
    <w:rsid w:val="00F82CE1"/>
    <w:rsid w:val="00F82E0A"/>
    <w:rsid w:val="00F83209"/>
    <w:rsid w:val="00F834C9"/>
    <w:rsid w:val="00F83A09"/>
    <w:rsid w:val="00F83C32"/>
    <w:rsid w:val="00F83DBF"/>
    <w:rsid w:val="00F84361"/>
    <w:rsid w:val="00F843CE"/>
    <w:rsid w:val="00F845FB"/>
    <w:rsid w:val="00F84774"/>
    <w:rsid w:val="00F847EF"/>
    <w:rsid w:val="00F84822"/>
    <w:rsid w:val="00F84A16"/>
    <w:rsid w:val="00F84D51"/>
    <w:rsid w:val="00F8503F"/>
    <w:rsid w:val="00F854DA"/>
    <w:rsid w:val="00F85BC7"/>
    <w:rsid w:val="00F86109"/>
    <w:rsid w:val="00F86FA6"/>
    <w:rsid w:val="00F90B08"/>
    <w:rsid w:val="00F910BD"/>
    <w:rsid w:val="00F91B7A"/>
    <w:rsid w:val="00F92E52"/>
    <w:rsid w:val="00F931CC"/>
    <w:rsid w:val="00F945C9"/>
    <w:rsid w:val="00F94DE4"/>
    <w:rsid w:val="00F95161"/>
    <w:rsid w:val="00F96098"/>
    <w:rsid w:val="00F968A8"/>
    <w:rsid w:val="00F97147"/>
    <w:rsid w:val="00F97190"/>
    <w:rsid w:val="00F97964"/>
    <w:rsid w:val="00F97B79"/>
    <w:rsid w:val="00F97FDD"/>
    <w:rsid w:val="00FA17AD"/>
    <w:rsid w:val="00FA17BF"/>
    <w:rsid w:val="00FA30C1"/>
    <w:rsid w:val="00FA30DB"/>
    <w:rsid w:val="00FA3150"/>
    <w:rsid w:val="00FA3260"/>
    <w:rsid w:val="00FA4413"/>
    <w:rsid w:val="00FA45BB"/>
    <w:rsid w:val="00FA6BE6"/>
    <w:rsid w:val="00FA7171"/>
    <w:rsid w:val="00FA75AC"/>
    <w:rsid w:val="00FB0D7E"/>
    <w:rsid w:val="00FB0E3E"/>
    <w:rsid w:val="00FB158F"/>
    <w:rsid w:val="00FB189B"/>
    <w:rsid w:val="00FB1A4E"/>
    <w:rsid w:val="00FB205E"/>
    <w:rsid w:val="00FB2795"/>
    <w:rsid w:val="00FB37EA"/>
    <w:rsid w:val="00FB5E6A"/>
    <w:rsid w:val="00FB6AC6"/>
    <w:rsid w:val="00FB7A1F"/>
    <w:rsid w:val="00FC136C"/>
    <w:rsid w:val="00FC1764"/>
    <w:rsid w:val="00FC2084"/>
    <w:rsid w:val="00FC232F"/>
    <w:rsid w:val="00FC3716"/>
    <w:rsid w:val="00FC5879"/>
    <w:rsid w:val="00FC5A07"/>
    <w:rsid w:val="00FC6442"/>
    <w:rsid w:val="00FC6692"/>
    <w:rsid w:val="00FC7128"/>
    <w:rsid w:val="00FC74B0"/>
    <w:rsid w:val="00FC78DC"/>
    <w:rsid w:val="00FC7F21"/>
    <w:rsid w:val="00FD04C3"/>
    <w:rsid w:val="00FD165E"/>
    <w:rsid w:val="00FD1B38"/>
    <w:rsid w:val="00FD2D22"/>
    <w:rsid w:val="00FD4ACA"/>
    <w:rsid w:val="00FD59F4"/>
    <w:rsid w:val="00FD6C61"/>
    <w:rsid w:val="00FD6D76"/>
    <w:rsid w:val="00FD70AF"/>
    <w:rsid w:val="00FD788C"/>
    <w:rsid w:val="00FE02C7"/>
    <w:rsid w:val="00FE0572"/>
    <w:rsid w:val="00FE1B0E"/>
    <w:rsid w:val="00FE1C61"/>
    <w:rsid w:val="00FE1F31"/>
    <w:rsid w:val="00FE2692"/>
    <w:rsid w:val="00FE3D7A"/>
    <w:rsid w:val="00FE477F"/>
    <w:rsid w:val="00FE509F"/>
    <w:rsid w:val="00FE52A1"/>
    <w:rsid w:val="00FE6114"/>
    <w:rsid w:val="00FE69C1"/>
    <w:rsid w:val="00FE73B9"/>
    <w:rsid w:val="00FE767E"/>
    <w:rsid w:val="00FE7E8A"/>
    <w:rsid w:val="00FF00CB"/>
    <w:rsid w:val="00FF071E"/>
    <w:rsid w:val="00FF2011"/>
    <w:rsid w:val="00FF27A2"/>
    <w:rsid w:val="00FF2D8C"/>
    <w:rsid w:val="00FF346B"/>
    <w:rsid w:val="00FF3BA4"/>
    <w:rsid w:val="00FF3FFB"/>
    <w:rsid w:val="00FF4780"/>
    <w:rsid w:val="00FF4C65"/>
    <w:rsid w:val="00FF52DF"/>
    <w:rsid w:val="00FF56A0"/>
    <w:rsid w:val="00FF5F9F"/>
    <w:rsid w:val="00FF6D18"/>
    <w:rsid w:val="0177566F"/>
    <w:rsid w:val="018B66A2"/>
    <w:rsid w:val="03FD34BD"/>
    <w:rsid w:val="051A10B3"/>
    <w:rsid w:val="05A62252"/>
    <w:rsid w:val="06333C6D"/>
    <w:rsid w:val="063535FB"/>
    <w:rsid w:val="06B74BB9"/>
    <w:rsid w:val="07F7429B"/>
    <w:rsid w:val="083C4DB9"/>
    <w:rsid w:val="098A61BE"/>
    <w:rsid w:val="09F31777"/>
    <w:rsid w:val="0A637FF7"/>
    <w:rsid w:val="0ACE558B"/>
    <w:rsid w:val="0C0C355D"/>
    <w:rsid w:val="0DF476ED"/>
    <w:rsid w:val="0F6D511A"/>
    <w:rsid w:val="0F884AE4"/>
    <w:rsid w:val="0FAD28CD"/>
    <w:rsid w:val="10233540"/>
    <w:rsid w:val="12850C02"/>
    <w:rsid w:val="13251D7C"/>
    <w:rsid w:val="153119C9"/>
    <w:rsid w:val="186666B8"/>
    <w:rsid w:val="18D71108"/>
    <w:rsid w:val="192373FF"/>
    <w:rsid w:val="1A25488B"/>
    <w:rsid w:val="1B221229"/>
    <w:rsid w:val="1B426EC4"/>
    <w:rsid w:val="1C312403"/>
    <w:rsid w:val="1E6E0206"/>
    <w:rsid w:val="1F374545"/>
    <w:rsid w:val="1FF6388E"/>
    <w:rsid w:val="20D43109"/>
    <w:rsid w:val="21B51C6B"/>
    <w:rsid w:val="25A220E3"/>
    <w:rsid w:val="25C7239A"/>
    <w:rsid w:val="26243349"/>
    <w:rsid w:val="2654785D"/>
    <w:rsid w:val="26B45DEA"/>
    <w:rsid w:val="29556E7F"/>
    <w:rsid w:val="29C77375"/>
    <w:rsid w:val="2A3468BD"/>
    <w:rsid w:val="2AEF03C9"/>
    <w:rsid w:val="2AFF7DFA"/>
    <w:rsid w:val="2D0A106E"/>
    <w:rsid w:val="2D320A41"/>
    <w:rsid w:val="2DAE5A40"/>
    <w:rsid w:val="2E4A6096"/>
    <w:rsid w:val="2E8E5900"/>
    <w:rsid w:val="310E5AA8"/>
    <w:rsid w:val="321773A9"/>
    <w:rsid w:val="32F070A7"/>
    <w:rsid w:val="331129DD"/>
    <w:rsid w:val="34162DAF"/>
    <w:rsid w:val="349E0DE8"/>
    <w:rsid w:val="35A750E4"/>
    <w:rsid w:val="37082EE2"/>
    <w:rsid w:val="39822409"/>
    <w:rsid w:val="39916375"/>
    <w:rsid w:val="3A095D6E"/>
    <w:rsid w:val="3A45183D"/>
    <w:rsid w:val="3AB5340F"/>
    <w:rsid w:val="3B702E61"/>
    <w:rsid w:val="3C7269F9"/>
    <w:rsid w:val="3D823B40"/>
    <w:rsid w:val="3DDE7405"/>
    <w:rsid w:val="3E4C5B8F"/>
    <w:rsid w:val="3E974DF7"/>
    <w:rsid w:val="3F085E89"/>
    <w:rsid w:val="3F674542"/>
    <w:rsid w:val="3FA75E5A"/>
    <w:rsid w:val="40451E09"/>
    <w:rsid w:val="409C4EEB"/>
    <w:rsid w:val="41496819"/>
    <w:rsid w:val="444A1161"/>
    <w:rsid w:val="472D7D99"/>
    <w:rsid w:val="47C469C9"/>
    <w:rsid w:val="4AED73DD"/>
    <w:rsid w:val="4BA60AF3"/>
    <w:rsid w:val="4DEF40B9"/>
    <w:rsid w:val="4F457D08"/>
    <w:rsid w:val="4F980971"/>
    <w:rsid w:val="4FD821E0"/>
    <w:rsid w:val="4FE30295"/>
    <w:rsid w:val="512E186B"/>
    <w:rsid w:val="52D26272"/>
    <w:rsid w:val="552B414B"/>
    <w:rsid w:val="557B4B71"/>
    <w:rsid w:val="56840A94"/>
    <w:rsid w:val="56A91C2E"/>
    <w:rsid w:val="56C01009"/>
    <w:rsid w:val="56F26F08"/>
    <w:rsid w:val="56F834D5"/>
    <w:rsid w:val="584A0401"/>
    <w:rsid w:val="59161B9D"/>
    <w:rsid w:val="5B617D0A"/>
    <w:rsid w:val="5BAA161F"/>
    <w:rsid w:val="5BD116F3"/>
    <w:rsid w:val="5BFF7D8D"/>
    <w:rsid w:val="5CF43146"/>
    <w:rsid w:val="5E7615F3"/>
    <w:rsid w:val="5EF6BF32"/>
    <w:rsid w:val="5F44446A"/>
    <w:rsid w:val="5F79703D"/>
    <w:rsid w:val="5FCE0309"/>
    <w:rsid w:val="5FDEB454"/>
    <w:rsid w:val="5FEF6F21"/>
    <w:rsid w:val="60146A5F"/>
    <w:rsid w:val="61101EC2"/>
    <w:rsid w:val="62E219A4"/>
    <w:rsid w:val="62FA87D5"/>
    <w:rsid w:val="631D301E"/>
    <w:rsid w:val="63377798"/>
    <w:rsid w:val="642910AB"/>
    <w:rsid w:val="64F62BBB"/>
    <w:rsid w:val="670A5668"/>
    <w:rsid w:val="677D0DCC"/>
    <w:rsid w:val="69C8461C"/>
    <w:rsid w:val="6B8F37C2"/>
    <w:rsid w:val="6BA07497"/>
    <w:rsid w:val="6CBB18A2"/>
    <w:rsid w:val="6D2D5C00"/>
    <w:rsid w:val="6DFB6F83"/>
    <w:rsid w:val="6F843AFA"/>
    <w:rsid w:val="70CB23D9"/>
    <w:rsid w:val="72805DD9"/>
    <w:rsid w:val="72FE6F1E"/>
    <w:rsid w:val="733F06B6"/>
    <w:rsid w:val="74B354A4"/>
    <w:rsid w:val="74FC474D"/>
    <w:rsid w:val="75AE407B"/>
    <w:rsid w:val="76A9289E"/>
    <w:rsid w:val="76D00C2B"/>
    <w:rsid w:val="77123F16"/>
    <w:rsid w:val="771E6171"/>
    <w:rsid w:val="782405A6"/>
    <w:rsid w:val="79E54061"/>
    <w:rsid w:val="79EA57B5"/>
    <w:rsid w:val="7C1C177D"/>
    <w:rsid w:val="7EFF4867"/>
    <w:rsid w:val="9EBD9EF2"/>
    <w:rsid w:val="BD7B3E06"/>
    <w:rsid w:val="DDFD3259"/>
    <w:rsid w:val="F5B6CA96"/>
    <w:rsid w:val="FD37CDBA"/>
    <w:rsid w:val="FDF749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semiHidden="0" w:name="heading 3"/>
    <w:lsdException w:qFormat="1" w:uiPriority="9" w:semiHidden="0" w:name="heading 4"/>
    <w:lsdException w:qFormat="1" w:unhideWhenUsed="0" w:uiPriority="0" w:semiHidden="0" w:name="heading 5"/>
    <w:lsdException w:qFormat="1" w:unhideWhenUsed="0" w:uiPriority="0"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qFormat="1" w:unhideWhenUsed="0" w:uiPriority="99" w:semiHidden="0"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qFormat="1" w:uiPriority="99" w:semiHidden="0" w:name="table of figures"/>
    <w:lsdException w:qFormat="1" w:unhideWhenUsed="0" w:uiPriority="99" w:semiHidden="0" w:name="envelope address"/>
    <w:lsdException w:qFormat="1" w:unhideWhenUsed="0" w:uiPriority="99" w:semiHidden="0" w:name="envelope return"/>
    <w:lsdException w:qFormat="1" w:uiPriority="99" w:semiHidden="0" w:name="footnote reference"/>
    <w:lsdException w:qFormat="1"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99" w:semiHidden="0" w:name="endnote text"/>
    <w:lsdException w:uiPriority="99" w:name="table of authorities"/>
    <w:lsdException w:uiPriority="99" w:name="macro"/>
    <w:lsdException w:uiPriority="99" w:name="toa heading"/>
    <w:lsdException w:qFormat="1" w:unhideWhenUsed="0" w:uiPriority="99" w:semiHidden="0" w:name="List"/>
    <w:lsdException w:qFormat="1" w:unhideWhenUsed="0" w:uiPriority="99" w:semiHidden="0" w:name="List Bullet"/>
    <w:lsdException w:qFormat="1" w:unhideWhenUsed="0" w:uiPriority="99" w:semiHidden="0" w:name="List Number"/>
    <w:lsdException w:qFormat="1" w:unhideWhenUsed="0" w:uiPriority="99" w:semiHidden="0" w:name="List 2"/>
    <w:lsdException w:qFormat="1" w:unhideWhenUsed="0" w:uiPriority="99" w:semiHidden="0" w:name="List 3"/>
    <w:lsdException w:qFormat="1" w:unhideWhenUsed="0" w:uiPriority="99" w:semiHidden="0" w:name="List 4"/>
    <w:lsdException w:qFormat="1" w:unhideWhenUsed="0" w:uiPriority="99" w:semiHidden="0" w:name="List 5"/>
    <w:lsdException w:qFormat="1" w:unhideWhenUsed="0" w:uiPriority="99" w:semiHidden="0" w:name="List Bullet 2"/>
    <w:lsdException w:qFormat="1" w:unhideWhenUsed="0" w:uiPriority="99" w:semiHidden="0" w:name="List Bullet 3"/>
    <w:lsdException w:qFormat="1" w:unhideWhenUsed="0" w:uiPriority="99" w:semiHidden="0" w:name="List Bullet 4"/>
    <w:lsdException w:qFormat="1" w:unhideWhenUsed="0" w:uiPriority="99" w:semiHidden="0" w:name="List Bullet 5"/>
    <w:lsdException w:qFormat="1" w:unhideWhenUsed="0" w:uiPriority="99" w:semiHidden="0" w:name="List Number 2"/>
    <w:lsdException w:qFormat="1" w:unhideWhenUsed="0" w:uiPriority="99" w:semiHidden="0" w:name="List Number 3"/>
    <w:lsdException w:qFormat="1" w:unhideWhenUsed="0" w:uiPriority="99" w:semiHidden="0" w:name="List Number 4"/>
    <w:lsdException w:qFormat="1" w:unhideWhenUsed="0" w:uiPriority="99" w:semiHidden="0" w:name="List Number 5"/>
    <w:lsdException w:qFormat="1" w:unhideWhenUsed="0" w:uiPriority="99" w:semiHidden="0" w:name="Title"/>
    <w:lsdException w:qFormat="1" w:unhideWhenUsed="0" w:uiPriority="99" w:semiHidden="0" w:name="Closing"/>
    <w:lsdException w:qFormat="1" w:unhideWhenUsed="0" w:uiPriority="99" w:semiHidden="0" w:name="Signature"/>
    <w:lsdException w:qFormat="1" w:uiPriority="1" w:name="Default Paragraph Font"/>
    <w:lsdException w:qFormat="1" w:uiPriority="99" w:semiHidden="0" w:name="Body Text"/>
    <w:lsdException w:qFormat="1" w:unhideWhenUsed="0" w:uiPriority="99" w:semiHidden="0" w:name="Body Text Indent"/>
    <w:lsdException w:qFormat="1" w:unhideWhenUsed="0" w:uiPriority="99" w:semiHidden="0" w:name="List Continue"/>
    <w:lsdException w:qFormat="1" w:unhideWhenUsed="0" w:uiPriority="99" w:semiHidden="0" w:name="List Continue 2"/>
    <w:lsdException w:qFormat="1" w:unhideWhenUsed="0" w:uiPriority="99" w:semiHidden="0" w:name="List Continue 3"/>
    <w:lsdException w:qFormat="1" w:unhideWhenUsed="0" w:uiPriority="99" w:semiHidden="0" w:name="List Continue 4"/>
    <w:lsdException w:qFormat="1" w:unhideWhenUsed="0" w:uiPriority="99" w:semiHidden="0" w:name="List Continue 5"/>
    <w:lsdException w:qFormat="1" w:unhideWhenUsed="0" w:uiPriority="99" w:semiHidden="0" w:name="Message Header"/>
    <w:lsdException w:qFormat="1" w:unhideWhenUsed="0" w:uiPriority="99" w:semiHidden="0" w:name="Subtitle"/>
    <w:lsdException w:qFormat="1" w:unhideWhenUsed="0" w:uiPriority="99" w:semiHidden="0" w:name="Salutation"/>
    <w:lsdException w:qFormat="1" w:uiPriority="99" w:semiHidden="0" w:name="Date"/>
    <w:lsdException w:qFormat="1" w:unhideWhenUsed="0" w:uiPriority="99" w:semiHidden="0" w:name="Body Text First Indent"/>
    <w:lsdException w:qFormat="1" w:unhideWhenUsed="0" w:uiPriority="99" w:semiHidden="0" w:name="Body Text First Indent 2"/>
    <w:lsdException w:qFormat="1" w:unhideWhenUsed="0" w:uiPriority="99" w:semiHidden="0" w:name="Note Heading"/>
    <w:lsdException w:qFormat="1" w:unhideWhenUsed="0" w:uiPriority="99" w:semiHidden="0" w:name="Body Text 2"/>
    <w:lsdException w:qFormat="1" w:unhideWhenUsed="0" w:uiPriority="99" w:semiHidden="0" w:name="Body Text 3"/>
    <w:lsdException w:qFormat="1" w:unhideWhenUsed="0" w:uiPriority="99" w:semiHidden="0" w:name="Body Text Indent 2"/>
    <w:lsdException w:qFormat="1" w:unhideWhenUsed="0" w:uiPriority="99" w:semiHidden="0" w:name="Body Text Indent 3"/>
    <w:lsdException w:qFormat="1" w:unhideWhenUsed="0" w:uiPriority="99" w:semiHidden="0"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qFormat="1" w:uiPriority="99" w:semiHidden="0" w:name="Document Map"/>
    <w:lsdException w:qFormat="1" w:unhideWhenUsed="0" w:uiPriority="99" w:semiHidden="0" w:name="Plain Text"/>
    <w:lsdException w:qFormat="1" w:unhideWhenUsed="0" w:uiPriority="99"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qFormat="1" w:unhideWhenUsed="0" w:uiPriority="0" w:semiHidden="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仿宋" w:cstheme="minorBidi"/>
      <w:kern w:val="2"/>
      <w:sz w:val="28"/>
      <w:szCs w:val="28"/>
      <w:lang w:val="en-US" w:eastAsia="zh-CN" w:bidi="ar-SA"/>
    </w:rPr>
  </w:style>
  <w:style w:type="paragraph" w:styleId="2">
    <w:name w:val="heading 1"/>
    <w:basedOn w:val="1"/>
    <w:next w:val="1"/>
    <w:link w:val="100"/>
    <w:qFormat/>
    <w:uiPriority w:val="0"/>
    <w:pPr>
      <w:keepNext/>
      <w:keepLines/>
      <w:pageBreakBefore/>
      <w:numPr>
        <w:ilvl w:val="0"/>
        <w:numId w:val="1"/>
      </w:numPr>
      <w:adjustRightInd w:val="0"/>
      <w:snapToGrid w:val="0"/>
      <w:spacing w:before="240" w:after="240"/>
      <w:ind w:firstLine="0" w:firstLineChars="0"/>
      <w:jc w:val="center"/>
      <w:outlineLvl w:val="0"/>
    </w:pPr>
    <w:rPr>
      <w:b/>
      <w:bCs/>
      <w:kern w:val="44"/>
      <w:sz w:val="44"/>
      <w:szCs w:val="44"/>
    </w:rPr>
  </w:style>
  <w:style w:type="paragraph" w:styleId="3">
    <w:name w:val="heading 2"/>
    <w:basedOn w:val="1"/>
    <w:next w:val="1"/>
    <w:link w:val="101"/>
    <w:unhideWhenUsed/>
    <w:qFormat/>
    <w:uiPriority w:val="9"/>
    <w:pPr>
      <w:keepNext/>
      <w:keepLines/>
      <w:numPr>
        <w:ilvl w:val="1"/>
        <w:numId w:val="1"/>
      </w:numPr>
      <w:snapToGrid w:val="0"/>
      <w:spacing w:before="120" w:after="120"/>
      <w:ind w:firstLine="0" w:firstLineChars="0"/>
      <w:jc w:val="left"/>
      <w:outlineLvl w:val="1"/>
    </w:pPr>
    <w:rPr>
      <w:rFonts w:cstheme="majorBidi"/>
      <w:b/>
      <w:bCs/>
      <w:sz w:val="32"/>
      <w:szCs w:val="32"/>
    </w:rPr>
  </w:style>
  <w:style w:type="paragraph" w:styleId="4">
    <w:name w:val="heading 3"/>
    <w:basedOn w:val="1"/>
    <w:next w:val="1"/>
    <w:link w:val="102"/>
    <w:unhideWhenUsed/>
    <w:qFormat/>
    <w:uiPriority w:val="0"/>
    <w:pPr>
      <w:keepNext/>
      <w:keepLines/>
      <w:numPr>
        <w:ilvl w:val="2"/>
        <w:numId w:val="1"/>
      </w:numPr>
      <w:adjustRightInd w:val="0"/>
      <w:snapToGrid w:val="0"/>
      <w:spacing w:before="50" w:beforeLines="50"/>
      <w:ind w:firstLine="0" w:firstLineChars="0"/>
      <w:jc w:val="left"/>
      <w:outlineLvl w:val="2"/>
    </w:pPr>
    <w:rPr>
      <w:rFonts w:cs="Times New Roman"/>
      <w:b/>
      <w:color w:val="000000"/>
      <w:sz w:val="30"/>
      <w:szCs w:val="32"/>
    </w:rPr>
  </w:style>
  <w:style w:type="paragraph" w:styleId="5">
    <w:name w:val="heading 4"/>
    <w:basedOn w:val="1"/>
    <w:next w:val="1"/>
    <w:link w:val="103"/>
    <w:unhideWhenUsed/>
    <w:qFormat/>
    <w:uiPriority w:val="9"/>
    <w:pPr>
      <w:keepNext/>
      <w:keepLines/>
      <w:numPr>
        <w:ilvl w:val="3"/>
        <w:numId w:val="1"/>
      </w:numPr>
      <w:ind w:firstLine="0" w:firstLineChars="0"/>
      <w:jc w:val="left"/>
      <w:outlineLvl w:val="3"/>
    </w:pPr>
    <w:rPr>
      <w:rFonts w:cstheme="majorBidi"/>
      <w:b/>
      <w:bCs/>
    </w:rPr>
  </w:style>
  <w:style w:type="paragraph" w:styleId="6">
    <w:name w:val="heading 5"/>
    <w:basedOn w:val="1"/>
    <w:next w:val="1"/>
    <w:link w:val="104"/>
    <w:qFormat/>
    <w:uiPriority w:val="0"/>
    <w:pPr>
      <w:keepNext/>
      <w:keepLines/>
      <w:numPr>
        <w:ilvl w:val="4"/>
        <w:numId w:val="1"/>
      </w:numPr>
      <w:spacing w:before="280" w:after="290" w:line="376" w:lineRule="auto"/>
      <w:ind w:firstLineChars="0"/>
      <w:outlineLvl w:val="4"/>
    </w:pPr>
    <w:rPr>
      <w:b/>
      <w:bCs/>
    </w:rPr>
  </w:style>
  <w:style w:type="paragraph" w:styleId="7">
    <w:name w:val="heading 6"/>
    <w:basedOn w:val="1"/>
    <w:next w:val="1"/>
    <w:link w:val="105"/>
    <w:qFormat/>
    <w:uiPriority w:val="0"/>
    <w:pPr>
      <w:keepNext/>
      <w:keepLines/>
      <w:numPr>
        <w:ilvl w:val="5"/>
        <w:numId w:val="1"/>
      </w:numPr>
      <w:spacing w:before="240" w:after="64" w:line="320" w:lineRule="auto"/>
      <w:ind w:firstLineChars="0"/>
      <w:outlineLvl w:val="5"/>
    </w:pPr>
    <w:rPr>
      <w:rFonts w:asciiTheme="majorHAnsi" w:hAnsiTheme="majorHAnsi" w:eastAsiaTheme="majorEastAsia" w:cstheme="majorBidi"/>
      <w:b/>
      <w:bCs/>
      <w:sz w:val="24"/>
      <w:szCs w:val="24"/>
    </w:rPr>
  </w:style>
  <w:style w:type="paragraph" w:styleId="8">
    <w:name w:val="heading 7"/>
    <w:basedOn w:val="1"/>
    <w:next w:val="1"/>
    <w:link w:val="109"/>
    <w:qFormat/>
    <w:uiPriority w:val="9"/>
    <w:pPr>
      <w:keepNext/>
      <w:keepLines/>
      <w:spacing w:before="240" w:after="64" w:line="320" w:lineRule="auto"/>
      <w:ind w:left="1296" w:hanging="288"/>
      <w:outlineLvl w:val="6"/>
    </w:pPr>
    <w:rPr>
      <w:b/>
      <w:bCs/>
      <w:sz w:val="24"/>
      <w:szCs w:val="24"/>
    </w:rPr>
  </w:style>
  <w:style w:type="paragraph" w:styleId="9">
    <w:name w:val="heading 8"/>
    <w:basedOn w:val="1"/>
    <w:next w:val="1"/>
    <w:link w:val="110"/>
    <w:qFormat/>
    <w:uiPriority w:val="9"/>
    <w:pPr>
      <w:keepNext/>
      <w:keepLines/>
      <w:spacing w:before="240" w:after="64" w:line="320" w:lineRule="auto"/>
      <w:ind w:left="1440" w:hanging="432"/>
      <w:outlineLvl w:val="7"/>
    </w:pPr>
    <w:rPr>
      <w:rFonts w:asciiTheme="majorHAnsi" w:hAnsiTheme="majorHAnsi" w:eastAsiaTheme="majorEastAsia" w:cstheme="majorBidi"/>
      <w:sz w:val="24"/>
      <w:szCs w:val="24"/>
    </w:rPr>
  </w:style>
  <w:style w:type="paragraph" w:styleId="10">
    <w:name w:val="heading 9"/>
    <w:basedOn w:val="1"/>
    <w:next w:val="1"/>
    <w:link w:val="111"/>
    <w:qFormat/>
    <w:uiPriority w:val="9"/>
    <w:pPr>
      <w:keepNext/>
      <w:keepLines/>
      <w:spacing w:before="240" w:after="64" w:line="320" w:lineRule="auto"/>
      <w:ind w:left="1584" w:hanging="144"/>
      <w:outlineLvl w:val="8"/>
    </w:pPr>
    <w:rPr>
      <w:rFonts w:asciiTheme="majorHAnsi" w:hAnsiTheme="majorHAnsi" w:eastAsiaTheme="majorEastAsia" w:cstheme="majorBidi"/>
      <w:sz w:val="21"/>
    </w:rPr>
  </w:style>
  <w:style w:type="character" w:default="1" w:styleId="80">
    <w:name w:val="Default Paragraph Font"/>
    <w:semiHidden/>
    <w:unhideWhenUsed/>
    <w:qFormat/>
    <w:uiPriority w:val="1"/>
  </w:style>
  <w:style w:type="table" w:default="1" w:styleId="76">
    <w:name w:val="Normal Table"/>
    <w:semiHidden/>
    <w:unhideWhenUsed/>
    <w:qFormat/>
    <w:uiPriority w:val="99"/>
    <w:tblPr>
      <w:tblCellMar>
        <w:top w:w="0" w:type="dxa"/>
        <w:left w:w="108" w:type="dxa"/>
        <w:bottom w:w="0" w:type="dxa"/>
        <w:right w:w="108" w:type="dxa"/>
      </w:tblCellMar>
    </w:tblPr>
  </w:style>
  <w:style w:type="paragraph" w:styleId="11">
    <w:name w:val="List 3"/>
    <w:basedOn w:val="1"/>
    <w:qFormat/>
    <w:uiPriority w:val="99"/>
    <w:pPr>
      <w:ind w:left="100" w:leftChars="400" w:hanging="200" w:hangingChars="200"/>
    </w:pPr>
    <w:rPr>
      <w:rFonts w:eastAsia="华文细黑" w:cs="Times New Roman"/>
      <w:sz w:val="24"/>
      <w:szCs w:val="20"/>
    </w:rPr>
  </w:style>
  <w:style w:type="paragraph" w:styleId="12">
    <w:name w:val="toc 7"/>
    <w:basedOn w:val="1"/>
    <w:next w:val="1"/>
    <w:unhideWhenUsed/>
    <w:qFormat/>
    <w:uiPriority w:val="39"/>
    <w:pPr>
      <w:ind w:left="1440"/>
      <w:jc w:val="left"/>
    </w:pPr>
    <w:rPr>
      <w:rFonts w:asciiTheme="minorHAnsi" w:hAnsiTheme="minorHAnsi" w:cstheme="minorHAnsi"/>
      <w:sz w:val="18"/>
      <w:szCs w:val="18"/>
    </w:rPr>
  </w:style>
  <w:style w:type="paragraph" w:styleId="13">
    <w:name w:val="List Number 2"/>
    <w:basedOn w:val="1"/>
    <w:qFormat/>
    <w:uiPriority w:val="99"/>
    <w:pPr>
      <w:tabs>
        <w:tab w:val="left" w:pos="780"/>
      </w:tabs>
      <w:ind w:left="780" w:hanging="360"/>
    </w:pPr>
    <w:rPr>
      <w:rFonts w:eastAsia="华文细黑" w:cs="Times New Roman"/>
      <w:sz w:val="24"/>
      <w:szCs w:val="20"/>
    </w:rPr>
  </w:style>
  <w:style w:type="paragraph" w:styleId="14">
    <w:name w:val="Note Heading"/>
    <w:basedOn w:val="1"/>
    <w:next w:val="1"/>
    <w:link w:val="498"/>
    <w:qFormat/>
    <w:uiPriority w:val="99"/>
    <w:pPr>
      <w:jc w:val="center"/>
    </w:pPr>
    <w:rPr>
      <w:rFonts w:eastAsia="华文细黑" w:cs="Times New Roman"/>
      <w:sz w:val="24"/>
      <w:szCs w:val="20"/>
    </w:rPr>
  </w:style>
  <w:style w:type="paragraph" w:styleId="15">
    <w:name w:val="List Bullet 4"/>
    <w:basedOn w:val="1"/>
    <w:qFormat/>
    <w:uiPriority w:val="99"/>
    <w:pPr>
      <w:tabs>
        <w:tab w:val="left" w:pos="1620"/>
      </w:tabs>
      <w:ind w:left="1620" w:hanging="360"/>
    </w:pPr>
    <w:rPr>
      <w:rFonts w:eastAsia="华文细黑" w:cs="Times New Roman"/>
      <w:sz w:val="24"/>
      <w:szCs w:val="20"/>
    </w:rPr>
  </w:style>
  <w:style w:type="paragraph" w:styleId="16">
    <w:name w:val="E-mail Signature"/>
    <w:basedOn w:val="1"/>
    <w:link w:val="486"/>
    <w:qFormat/>
    <w:uiPriority w:val="99"/>
    <w:rPr>
      <w:rFonts w:eastAsia="华文细黑" w:cs="Times New Roman"/>
      <w:sz w:val="24"/>
      <w:szCs w:val="20"/>
    </w:rPr>
  </w:style>
  <w:style w:type="paragraph" w:styleId="17">
    <w:name w:val="List Number"/>
    <w:basedOn w:val="1"/>
    <w:qFormat/>
    <w:uiPriority w:val="99"/>
    <w:pPr>
      <w:tabs>
        <w:tab w:val="left" w:pos="360"/>
      </w:tabs>
      <w:ind w:left="360" w:hanging="360"/>
    </w:pPr>
    <w:rPr>
      <w:rFonts w:eastAsia="华文细黑" w:cs="Times New Roman"/>
      <w:sz w:val="24"/>
      <w:szCs w:val="20"/>
    </w:rPr>
  </w:style>
  <w:style w:type="paragraph" w:styleId="18">
    <w:name w:val="Normal Indent"/>
    <w:basedOn w:val="1"/>
    <w:link w:val="139"/>
    <w:qFormat/>
    <w:uiPriority w:val="0"/>
    <w:pPr>
      <w:spacing w:line="400" w:lineRule="exact"/>
      <w:ind w:firstLine="567" w:firstLineChars="0"/>
    </w:pPr>
    <w:rPr>
      <w:rFonts w:asciiTheme="minorHAnsi" w:hAnsiTheme="minorHAnsi" w:eastAsiaTheme="minorEastAsia"/>
      <w:szCs w:val="22"/>
    </w:rPr>
  </w:style>
  <w:style w:type="paragraph" w:styleId="19">
    <w:name w:val="caption"/>
    <w:basedOn w:val="1"/>
    <w:next w:val="1"/>
    <w:link w:val="117"/>
    <w:unhideWhenUsed/>
    <w:qFormat/>
    <w:uiPriority w:val="35"/>
    <w:pPr>
      <w:spacing w:line="240" w:lineRule="auto"/>
      <w:ind w:firstLine="0" w:firstLineChars="0"/>
      <w:jc w:val="center"/>
    </w:pPr>
    <w:rPr>
      <w:rFonts w:cstheme="majorBidi"/>
      <w:b/>
      <w:sz w:val="21"/>
      <w:szCs w:val="20"/>
    </w:rPr>
  </w:style>
  <w:style w:type="paragraph" w:styleId="20">
    <w:name w:val="List Bullet"/>
    <w:basedOn w:val="1"/>
    <w:qFormat/>
    <w:uiPriority w:val="99"/>
    <w:pPr>
      <w:tabs>
        <w:tab w:val="left" w:pos="360"/>
      </w:tabs>
      <w:ind w:left="360" w:hanging="360"/>
    </w:pPr>
    <w:rPr>
      <w:rFonts w:eastAsia="华文细黑" w:cs="Times New Roman"/>
      <w:sz w:val="24"/>
      <w:szCs w:val="20"/>
    </w:rPr>
  </w:style>
  <w:style w:type="paragraph" w:styleId="21">
    <w:name w:val="envelope address"/>
    <w:basedOn w:val="1"/>
    <w:qFormat/>
    <w:uiPriority w:val="99"/>
    <w:pPr>
      <w:snapToGrid w:val="0"/>
      <w:ind w:left="100" w:leftChars="1400"/>
    </w:pPr>
    <w:rPr>
      <w:rFonts w:ascii="Arial" w:hAnsi="Arial" w:eastAsia="华文细黑" w:cs="Arial"/>
      <w:sz w:val="24"/>
      <w:szCs w:val="24"/>
    </w:rPr>
  </w:style>
  <w:style w:type="paragraph" w:styleId="22">
    <w:name w:val="Document Map"/>
    <w:basedOn w:val="1"/>
    <w:link w:val="154"/>
    <w:unhideWhenUsed/>
    <w:qFormat/>
    <w:uiPriority w:val="99"/>
    <w:pPr>
      <w:ind w:firstLine="560"/>
    </w:pPr>
    <w:rPr>
      <w:rFonts w:ascii="宋体" w:eastAsia="宋体"/>
      <w:sz w:val="24"/>
      <w:szCs w:val="24"/>
    </w:rPr>
  </w:style>
  <w:style w:type="paragraph" w:styleId="23">
    <w:name w:val="annotation text"/>
    <w:basedOn w:val="1"/>
    <w:link w:val="136"/>
    <w:unhideWhenUsed/>
    <w:qFormat/>
    <w:uiPriority w:val="99"/>
    <w:pPr>
      <w:jc w:val="left"/>
    </w:pPr>
    <w:rPr>
      <w:sz w:val="21"/>
    </w:rPr>
  </w:style>
  <w:style w:type="paragraph" w:styleId="24">
    <w:name w:val="Salutation"/>
    <w:basedOn w:val="1"/>
    <w:next w:val="1"/>
    <w:link w:val="501"/>
    <w:qFormat/>
    <w:uiPriority w:val="99"/>
    <w:rPr>
      <w:rFonts w:eastAsia="华文细黑" w:cs="Times New Roman"/>
      <w:sz w:val="24"/>
      <w:szCs w:val="20"/>
    </w:rPr>
  </w:style>
  <w:style w:type="paragraph" w:styleId="25">
    <w:name w:val="Body Text 3"/>
    <w:basedOn w:val="1"/>
    <w:link w:val="482"/>
    <w:qFormat/>
    <w:uiPriority w:val="99"/>
    <w:pPr>
      <w:spacing w:after="120"/>
    </w:pPr>
    <w:rPr>
      <w:rFonts w:eastAsia="华文细黑" w:cs="Times New Roman"/>
      <w:sz w:val="16"/>
      <w:szCs w:val="16"/>
    </w:rPr>
  </w:style>
  <w:style w:type="paragraph" w:styleId="26">
    <w:name w:val="Closing"/>
    <w:basedOn w:val="1"/>
    <w:link w:val="503"/>
    <w:qFormat/>
    <w:uiPriority w:val="99"/>
    <w:pPr>
      <w:ind w:left="100" w:leftChars="2100"/>
    </w:pPr>
    <w:rPr>
      <w:rFonts w:eastAsia="华文细黑" w:cs="Times New Roman"/>
      <w:sz w:val="24"/>
      <w:szCs w:val="20"/>
    </w:rPr>
  </w:style>
  <w:style w:type="paragraph" w:styleId="27">
    <w:name w:val="List Bullet 3"/>
    <w:basedOn w:val="1"/>
    <w:qFormat/>
    <w:uiPriority w:val="99"/>
    <w:pPr>
      <w:tabs>
        <w:tab w:val="left" w:pos="1200"/>
      </w:tabs>
      <w:ind w:left="1200" w:hanging="360"/>
    </w:pPr>
    <w:rPr>
      <w:rFonts w:eastAsia="华文细黑" w:cs="Times New Roman"/>
      <w:sz w:val="24"/>
      <w:szCs w:val="20"/>
    </w:rPr>
  </w:style>
  <w:style w:type="paragraph" w:styleId="28">
    <w:name w:val="Body Text"/>
    <w:basedOn w:val="1"/>
    <w:link w:val="177"/>
    <w:unhideWhenUsed/>
    <w:qFormat/>
    <w:uiPriority w:val="99"/>
    <w:pPr>
      <w:spacing w:after="120"/>
      <w:ind w:firstLine="560"/>
    </w:pPr>
    <w:rPr>
      <w:rFonts w:eastAsia="华文楷体"/>
      <w:szCs w:val="22"/>
    </w:rPr>
  </w:style>
  <w:style w:type="paragraph" w:styleId="29">
    <w:name w:val="Body Text Indent"/>
    <w:basedOn w:val="1"/>
    <w:link w:val="116"/>
    <w:qFormat/>
    <w:uiPriority w:val="99"/>
    <w:pPr>
      <w:widowControl/>
      <w:overflowPunct w:val="0"/>
      <w:spacing w:line="480" w:lineRule="auto"/>
    </w:pPr>
    <w:rPr>
      <w:rFonts w:eastAsia="楷体_GB2312" w:cs="Times New Roman"/>
      <w:szCs w:val="24"/>
      <w:lang w:val="zh-CN"/>
    </w:rPr>
  </w:style>
  <w:style w:type="paragraph" w:styleId="30">
    <w:name w:val="List Number 3"/>
    <w:basedOn w:val="1"/>
    <w:qFormat/>
    <w:uiPriority w:val="99"/>
    <w:pPr>
      <w:tabs>
        <w:tab w:val="left" w:pos="1200"/>
      </w:tabs>
      <w:ind w:left="1200" w:hanging="360"/>
    </w:pPr>
    <w:rPr>
      <w:rFonts w:eastAsia="华文细黑" w:cs="Times New Roman"/>
      <w:sz w:val="24"/>
      <w:szCs w:val="20"/>
    </w:rPr>
  </w:style>
  <w:style w:type="paragraph" w:styleId="31">
    <w:name w:val="List 2"/>
    <w:basedOn w:val="1"/>
    <w:qFormat/>
    <w:uiPriority w:val="99"/>
    <w:pPr>
      <w:ind w:left="100" w:leftChars="200" w:hanging="200" w:hangingChars="200"/>
    </w:pPr>
    <w:rPr>
      <w:rFonts w:eastAsia="华文细黑" w:cs="Times New Roman"/>
      <w:sz w:val="24"/>
      <w:szCs w:val="20"/>
    </w:rPr>
  </w:style>
  <w:style w:type="paragraph" w:styleId="32">
    <w:name w:val="List Continue"/>
    <w:basedOn w:val="1"/>
    <w:qFormat/>
    <w:uiPriority w:val="99"/>
    <w:pPr>
      <w:spacing w:after="120"/>
      <w:ind w:left="420" w:leftChars="200"/>
    </w:pPr>
    <w:rPr>
      <w:rFonts w:eastAsia="华文细黑" w:cs="Times New Roman"/>
      <w:sz w:val="24"/>
      <w:szCs w:val="20"/>
    </w:rPr>
  </w:style>
  <w:style w:type="paragraph" w:styleId="33">
    <w:name w:val="Block Text"/>
    <w:basedOn w:val="1"/>
    <w:qFormat/>
    <w:uiPriority w:val="99"/>
    <w:pPr>
      <w:spacing w:after="120"/>
      <w:ind w:left="1440" w:leftChars="700" w:right="1440" w:rightChars="700"/>
    </w:pPr>
    <w:rPr>
      <w:rFonts w:eastAsia="华文细黑" w:cs="Times New Roman"/>
      <w:sz w:val="24"/>
      <w:szCs w:val="20"/>
    </w:rPr>
  </w:style>
  <w:style w:type="paragraph" w:styleId="34">
    <w:name w:val="List Bullet 2"/>
    <w:basedOn w:val="1"/>
    <w:qFormat/>
    <w:uiPriority w:val="99"/>
    <w:pPr>
      <w:tabs>
        <w:tab w:val="left" w:pos="780"/>
      </w:tabs>
      <w:ind w:left="780" w:hanging="360"/>
    </w:pPr>
    <w:rPr>
      <w:rFonts w:eastAsia="华文细黑" w:cs="Times New Roman"/>
      <w:sz w:val="24"/>
      <w:szCs w:val="20"/>
    </w:rPr>
  </w:style>
  <w:style w:type="paragraph" w:styleId="35">
    <w:name w:val="HTML Address"/>
    <w:basedOn w:val="1"/>
    <w:link w:val="301"/>
    <w:qFormat/>
    <w:uiPriority w:val="0"/>
    <w:pPr>
      <w:spacing w:line="240" w:lineRule="auto"/>
      <w:ind w:firstLine="0" w:firstLineChars="0"/>
    </w:pPr>
    <w:rPr>
      <w:rFonts w:asciiTheme="minorHAnsi" w:hAnsiTheme="minorHAnsi" w:eastAsiaTheme="minorEastAsia"/>
      <w:i/>
      <w:sz w:val="21"/>
      <w:szCs w:val="22"/>
    </w:rPr>
  </w:style>
  <w:style w:type="paragraph" w:styleId="36">
    <w:name w:val="toc 5"/>
    <w:basedOn w:val="1"/>
    <w:next w:val="1"/>
    <w:unhideWhenUsed/>
    <w:qFormat/>
    <w:uiPriority w:val="39"/>
    <w:pPr>
      <w:ind w:left="960"/>
      <w:jc w:val="left"/>
    </w:pPr>
    <w:rPr>
      <w:rFonts w:asciiTheme="minorHAnsi" w:hAnsiTheme="minorHAnsi" w:cstheme="minorHAnsi"/>
      <w:sz w:val="18"/>
      <w:szCs w:val="18"/>
    </w:rPr>
  </w:style>
  <w:style w:type="paragraph" w:styleId="37">
    <w:name w:val="toc 3"/>
    <w:basedOn w:val="1"/>
    <w:next w:val="1"/>
    <w:unhideWhenUsed/>
    <w:qFormat/>
    <w:uiPriority w:val="39"/>
    <w:pPr>
      <w:spacing w:line="240" w:lineRule="auto"/>
    </w:pPr>
  </w:style>
  <w:style w:type="paragraph" w:styleId="38">
    <w:name w:val="Plain Text"/>
    <w:basedOn w:val="1"/>
    <w:link w:val="305"/>
    <w:qFormat/>
    <w:uiPriority w:val="99"/>
    <w:pPr>
      <w:spacing w:line="240" w:lineRule="auto"/>
      <w:ind w:firstLine="0" w:firstLineChars="0"/>
    </w:pPr>
    <w:rPr>
      <w:rFonts w:ascii="宋体" w:hAnsi="Courier New" w:eastAsiaTheme="minorEastAsia"/>
      <w:sz w:val="21"/>
      <w:szCs w:val="22"/>
    </w:rPr>
  </w:style>
  <w:style w:type="paragraph" w:styleId="39">
    <w:name w:val="List Bullet 5"/>
    <w:basedOn w:val="1"/>
    <w:qFormat/>
    <w:uiPriority w:val="99"/>
    <w:pPr>
      <w:tabs>
        <w:tab w:val="left" w:pos="2040"/>
      </w:tabs>
      <w:ind w:left="2040" w:hanging="360"/>
    </w:pPr>
    <w:rPr>
      <w:rFonts w:eastAsia="华文细黑" w:cs="Times New Roman"/>
      <w:sz w:val="24"/>
      <w:szCs w:val="20"/>
    </w:rPr>
  </w:style>
  <w:style w:type="paragraph" w:styleId="40">
    <w:name w:val="List Number 4"/>
    <w:basedOn w:val="1"/>
    <w:qFormat/>
    <w:uiPriority w:val="99"/>
    <w:pPr>
      <w:tabs>
        <w:tab w:val="left" w:pos="1620"/>
      </w:tabs>
      <w:ind w:left="1620" w:hanging="360"/>
    </w:pPr>
    <w:rPr>
      <w:rFonts w:eastAsia="华文细黑" w:cs="Times New Roman"/>
      <w:sz w:val="24"/>
      <w:szCs w:val="20"/>
    </w:rPr>
  </w:style>
  <w:style w:type="paragraph" w:styleId="41">
    <w:name w:val="toc 8"/>
    <w:basedOn w:val="1"/>
    <w:next w:val="1"/>
    <w:unhideWhenUsed/>
    <w:qFormat/>
    <w:uiPriority w:val="39"/>
    <w:pPr>
      <w:ind w:left="1680"/>
      <w:jc w:val="left"/>
    </w:pPr>
    <w:rPr>
      <w:rFonts w:asciiTheme="minorHAnsi" w:hAnsiTheme="minorHAnsi" w:cstheme="minorHAnsi"/>
      <w:sz w:val="18"/>
      <w:szCs w:val="18"/>
    </w:rPr>
  </w:style>
  <w:style w:type="paragraph" w:styleId="42">
    <w:name w:val="Date"/>
    <w:basedOn w:val="1"/>
    <w:next w:val="1"/>
    <w:link w:val="153"/>
    <w:unhideWhenUsed/>
    <w:qFormat/>
    <w:uiPriority w:val="99"/>
    <w:pPr>
      <w:ind w:left="100" w:leftChars="2500" w:firstLine="560"/>
    </w:pPr>
    <w:rPr>
      <w:rFonts w:eastAsia="华文楷体"/>
      <w:szCs w:val="22"/>
    </w:rPr>
  </w:style>
  <w:style w:type="paragraph" w:styleId="43">
    <w:name w:val="Body Text Indent 2"/>
    <w:basedOn w:val="1"/>
    <w:link w:val="312"/>
    <w:qFormat/>
    <w:uiPriority w:val="99"/>
    <w:pPr>
      <w:ind w:right="12" w:rightChars="12" w:firstLine="489" w:firstLineChars="233"/>
    </w:pPr>
    <w:rPr>
      <w:rFonts w:ascii="宋体" w:hAnsi="宋体" w:eastAsiaTheme="minorEastAsia"/>
      <w:sz w:val="21"/>
      <w:szCs w:val="22"/>
    </w:rPr>
  </w:style>
  <w:style w:type="paragraph" w:styleId="44">
    <w:name w:val="endnote text"/>
    <w:basedOn w:val="1"/>
    <w:link w:val="302"/>
    <w:qFormat/>
    <w:uiPriority w:val="99"/>
    <w:pPr>
      <w:snapToGrid w:val="0"/>
      <w:spacing w:line="240" w:lineRule="auto"/>
      <w:ind w:firstLine="0" w:firstLineChars="0"/>
      <w:jc w:val="left"/>
    </w:pPr>
    <w:rPr>
      <w:rFonts w:asciiTheme="minorHAnsi" w:hAnsiTheme="minorHAnsi" w:eastAsiaTheme="minorEastAsia"/>
      <w:sz w:val="21"/>
      <w:szCs w:val="24"/>
    </w:rPr>
  </w:style>
  <w:style w:type="paragraph" w:styleId="45">
    <w:name w:val="List Continue 5"/>
    <w:basedOn w:val="1"/>
    <w:qFormat/>
    <w:uiPriority w:val="99"/>
    <w:pPr>
      <w:spacing w:after="120"/>
      <w:ind w:left="2100" w:leftChars="1000"/>
    </w:pPr>
    <w:rPr>
      <w:rFonts w:eastAsia="华文细黑" w:cs="Times New Roman"/>
      <w:sz w:val="24"/>
      <w:szCs w:val="20"/>
    </w:rPr>
  </w:style>
  <w:style w:type="paragraph" w:styleId="46">
    <w:name w:val="Balloon Text"/>
    <w:basedOn w:val="1"/>
    <w:link w:val="108"/>
    <w:unhideWhenUsed/>
    <w:qFormat/>
    <w:uiPriority w:val="99"/>
    <w:pPr>
      <w:spacing w:line="240" w:lineRule="auto"/>
    </w:pPr>
    <w:rPr>
      <w:sz w:val="18"/>
      <w:szCs w:val="18"/>
    </w:rPr>
  </w:style>
  <w:style w:type="paragraph" w:styleId="47">
    <w:name w:val="footer"/>
    <w:basedOn w:val="1"/>
    <w:link w:val="99"/>
    <w:unhideWhenUsed/>
    <w:qFormat/>
    <w:uiPriority w:val="99"/>
    <w:pPr>
      <w:tabs>
        <w:tab w:val="center" w:pos="4153"/>
        <w:tab w:val="right" w:pos="8306"/>
      </w:tabs>
      <w:snapToGrid w:val="0"/>
      <w:jc w:val="left"/>
    </w:pPr>
    <w:rPr>
      <w:sz w:val="18"/>
      <w:szCs w:val="18"/>
    </w:rPr>
  </w:style>
  <w:style w:type="paragraph" w:styleId="48">
    <w:name w:val="envelope return"/>
    <w:basedOn w:val="1"/>
    <w:qFormat/>
    <w:uiPriority w:val="99"/>
    <w:pPr>
      <w:snapToGrid w:val="0"/>
    </w:pPr>
    <w:rPr>
      <w:rFonts w:ascii="Arial" w:hAnsi="Arial" w:eastAsia="华文细黑" w:cs="Arial"/>
      <w:sz w:val="24"/>
      <w:szCs w:val="20"/>
    </w:rPr>
  </w:style>
  <w:style w:type="paragraph" w:styleId="49">
    <w:name w:val="header"/>
    <w:basedOn w:val="1"/>
    <w:link w:val="98"/>
    <w:unhideWhenUsed/>
    <w:qFormat/>
    <w:uiPriority w:val="99"/>
    <w:pPr>
      <w:pBdr>
        <w:bottom w:val="single" w:color="auto" w:sz="6" w:space="1"/>
      </w:pBdr>
      <w:tabs>
        <w:tab w:val="center" w:pos="4153"/>
        <w:tab w:val="right" w:pos="8306"/>
      </w:tabs>
      <w:snapToGrid w:val="0"/>
      <w:jc w:val="center"/>
    </w:pPr>
    <w:rPr>
      <w:sz w:val="18"/>
      <w:szCs w:val="18"/>
    </w:rPr>
  </w:style>
  <w:style w:type="paragraph" w:styleId="50">
    <w:name w:val="Signature"/>
    <w:basedOn w:val="1"/>
    <w:link w:val="502"/>
    <w:qFormat/>
    <w:uiPriority w:val="99"/>
    <w:pPr>
      <w:ind w:left="100" w:leftChars="2100"/>
    </w:pPr>
    <w:rPr>
      <w:rFonts w:eastAsia="华文细黑" w:cs="Times New Roman"/>
      <w:sz w:val="24"/>
      <w:szCs w:val="20"/>
    </w:rPr>
  </w:style>
  <w:style w:type="paragraph" w:styleId="51">
    <w:name w:val="toc 1"/>
    <w:basedOn w:val="1"/>
    <w:next w:val="1"/>
    <w:unhideWhenUsed/>
    <w:qFormat/>
    <w:uiPriority w:val="39"/>
    <w:pPr>
      <w:tabs>
        <w:tab w:val="left" w:pos="1200"/>
        <w:tab w:val="right" w:leader="dot" w:pos="8296"/>
      </w:tabs>
      <w:adjustRightInd w:val="0"/>
      <w:snapToGrid w:val="0"/>
      <w:spacing w:line="460" w:lineRule="exact"/>
      <w:ind w:firstLine="0" w:firstLineChars="0"/>
      <w:contextualSpacing/>
    </w:pPr>
    <w:rPr>
      <w:b/>
    </w:rPr>
  </w:style>
  <w:style w:type="paragraph" w:styleId="52">
    <w:name w:val="List Continue 4"/>
    <w:basedOn w:val="1"/>
    <w:qFormat/>
    <w:uiPriority w:val="99"/>
    <w:pPr>
      <w:spacing w:after="120"/>
      <w:ind w:left="1680" w:leftChars="800"/>
    </w:pPr>
    <w:rPr>
      <w:rFonts w:eastAsia="华文细黑" w:cs="Times New Roman"/>
      <w:sz w:val="24"/>
      <w:szCs w:val="20"/>
    </w:rPr>
  </w:style>
  <w:style w:type="paragraph" w:styleId="53">
    <w:name w:val="toc 4"/>
    <w:basedOn w:val="1"/>
    <w:next w:val="1"/>
    <w:unhideWhenUsed/>
    <w:qFormat/>
    <w:uiPriority w:val="39"/>
    <w:pPr>
      <w:ind w:left="720"/>
      <w:jc w:val="left"/>
    </w:pPr>
    <w:rPr>
      <w:rFonts w:asciiTheme="minorHAnsi" w:hAnsiTheme="minorHAnsi" w:cstheme="minorHAnsi"/>
      <w:sz w:val="18"/>
      <w:szCs w:val="18"/>
    </w:rPr>
  </w:style>
  <w:style w:type="paragraph" w:styleId="54">
    <w:name w:val="Subtitle"/>
    <w:basedOn w:val="1"/>
    <w:link w:val="504"/>
    <w:qFormat/>
    <w:uiPriority w:val="99"/>
    <w:pPr>
      <w:spacing w:before="240" w:after="60" w:line="312" w:lineRule="atLeast"/>
      <w:jc w:val="center"/>
      <w:outlineLvl w:val="1"/>
    </w:pPr>
    <w:rPr>
      <w:rFonts w:ascii="Arial" w:hAnsi="Arial" w:eastAsia="宋体" w:cs="Arial"/>
      <w:b/>
      <w:bCs/>
      <w:kern w:val="28"/>
      <w:sz w:val="32"/>
      <w:szCs w:val="32"/>
    </w:rPr>
  </w:style>
  <w:style w:type="paragraph" w:styleId="55">
    <w:name w:val="List Number 5"/>
    <w:basedOn w:val="1"/>
    <w:qFormat/>
    <w:uiPriority w:val="99"/>
    <w:pPr>
      <w:tabs>
        <w:tab w:val="left" w:pos="2040"/>
      </w:tabs>
      <w:ind w:left="2040" w:hanging="360"/>
    </w:pPr>
    <w:rPr>
      <w:rFonts w:eastAsia="华文细黑" w:cs="Times New Roman"/>
      <w:sz w:val="24"/>
      <w:szCs w:val="20"/>
    </w:rPr>
  </w:style>
  <w:style w:type="paragraph" w:styleId="56">
    <w:name w:val="List"/>
    <w:basedOn w:val="1"/>
    <w:qFormat/>
    <w:uiPriority w:val="99"/>
    <w:pPr>
      <w:ind w:left="200" w:hanging="200" w:hangingChars="200"/>
    </w:pPr>
    <w:rPr>
      <w:rFonts w:eastAsia="华文细黑" w:cs="Times New Roman"/>
      <w:sz w:val="24"/>
      <w:szCs w:val="20"/>
    </w:rPr>
  </w:style>
  <w:style w:type="paragraph" w:styleId="57">
    <w:name w:val="footnote text"/>
    <w:basedOn w:val="1"/>
    <w:link w:val="277"/>
    <w:unhideWhenUsed/>
    <w:qFormat/>
    <w:uiPriority w:val="99"/>
    <w:pPr>
      <w:snapToGrid w:val="0"/>
      <w:spacing w:line="240" w:lineRule="auto"/>
      <w:ind w:firstLine="0" w:firstLineChars="0"/>
      <w:jc w:val="left"/>
    </w:pPr>
    <w:rPr>
      <w:rFonts w:ascii="Calibri" w:hAnsi="Calibri" w:eastAsia="宋体" w:cs="Times New Roman"/>
      <w:sz w:val="18"/>
      <w:szCs w:val="18"/>
    </w:rPr>
  </w:style>
  <w:style w:type="paragraph" w:styleId="58">
    <w:name w:val="toc 6"/>
    <w:basedOn w:val="1"/>
    <w:next w:val="1"/>
    <w:unhideWhenUsed/>
    <w:qFormat/>
    <w:uiPriority w:val="39"/>
    <w:pPr>
      <w:ind w:left="1200"/>
      <w:jc w:val="left"/>
    </w:pPr>
    <w:rPr>
      <w:rFonts w:asciiTheme="minorHAnsi" w:hAnsiTheme="minorHAnsi" w:cstheme="minorHAnsi"/>
      <w:sz w:val="18"/>
      <w:szCs w:val="18"/>
    </w:rPr>
  </w:style>
  <w:style w:type="paragraph" w:styleId="59">
    <w:name w:val="List 5"/>
    <w:basedOn w:val="1"/>
    <w:qFormat/>
    <w:uiPriority w:val="99"/>
    <w:pPr>
      <w:ind w:left="100" w:leftChars="800" w:hanging="200" w:hangingChars="200"/>
    </w:pPr>
    <w:rPr>
      <w:rFonts w:eastAsia="华文细黑" w:cs="Times New Roman"/>
      <w:sz w:val="24"/>
      <w:szCs w:val="20"/>
    </w:rPr>
  </w:style>
  <w:style w:type="paragraph" w:styleId="60">
    <w:name w:val="Body Text Indent 3"/>
    <w:basedOn w:val="1"/>
    <w:link w:val="299"/>
    <w:qFormat/>
    <w:uiPriority w:val="99"/>
    <w:pPr>
      <w:spacing w:after="120" w:line="240" w:lineRule="auto"/>
      <w:ind w:left="420" w:leftChars="200" w:firstLine="0" w:firstLineChars="0"/>
    </w:pPr>
    <w:rPr>
      <w:rFonts w:asciiTheme="minorHAnsi" w:hAnsiTheme="minorHAnsi" w:eastAsiaTheme="minorEastAsia"/>
      <w:sz w:val="16"/>
      <w:szCs w:val="22"/>
    </w:rPr>
  </w:style>
  <w:style w:type="paragraph" w:styleId="61">
    <w:name w:val="index 7"/>
    <w:basedOn w:val="1"/>
    <w:next w:val="1"/>
    <w:qFormat/>
    <w:uiPriority w:val="99"/>
    <w:pPr>
      <w:tabs>
        <w:tab w:val="left" w:pos="0"/>
        <w:tab w:val="center" w:pos="4423"/>
        <w:tab w:val="right" w:pos="8845"/>
      </w:tabs>
      <w:snapToGrid w:val="0"/>
      <w:spacing w:line="300" w:lineRule="auto"/>
      <w:ind w:firstLine="480"/>
    </w:pPr>
    <w:rPr>
      <w:rFonts w:hAnsi="宋体" w:eastAsia="华文细黑" w:cs="Times New Roman"/>
      <w:color w:val="000000"/>
      <w:sz w:val="24"/>
      <w:szCs w:val="24"/>
    </w:rPr>
  </w:style>
  <w:style w:type="paragraph" w:styleId="62">
    <w:name w:val="table of figures"/>
    <w:basedOn w:val="1"/>
    <w:next w:val="1"/>
    <w:unhideWhenUsed/>
    <w:qFormat/>
    <w:uiPriority w:val="99"/>
    <w:pPr>
      <w:spacing w:line="480" w:lineRule="auto"/>
      <w:ind w:left="200" w:leftChars="200" w:hanging="200" w:hangingChars="200"/>
    </w:pPr>
    <w:rPr>
      <w:rFonts w:ascii="Calibri" w:hAnsi="Calibri" w:eastAsia="仿宋_GB2312" w:cs="Times New Roman"/>
      <w:szCs w:val="22"/>
    </w:rPr>
  </w:style>
  <w:style w:type="paragraph" w:styleId="63">
    <w:name w:val="toc 2"/>
    <w:basedOn w:val="1"/>
    <w:next w:val="1"/>
    <w:unhideWhenUsed/>
    <w:qFormat/>
    <w:uiPriority w:val="39"/>
    <w:pPr>
      <w:tabs>
        <w:tab w:val="right" w:leader="dot" w:pos="8296"/>
      </w:tabs>
      <w:snapToGrid w:val="0"/>
      <w:spacing w:line="460" w:lineRule="exact"/>
      <w:ind w:firstLine="281" w:firstLineChars="100"/>
      <w:contextualSpacing/>
    </w:pPr>
    <w:rPr>
      <w:b/>
    </w:rPr>
  </w:style>
  <w:style w:type="paragraph" w:styleId="64">
    <w:name w:val="toc 9"/>
    <w:basedOn w:val="1"/>
    <w:next w:val="1"/>
    <w:unhideWhenUsed/>
    <w:qFormat/>
    <w:uiPriority w:val="39"/>
    <w:pPr>
      <w:ind w:left="1920"/>
      <w:jc w:val="left"/>
    </w:pPr>
    <w:rPr>
      <w:rFonts w:asciiTheme="minorHAnsi" w:hAnsiTheme="minorHAnsi" w:cstheme="minorHAnsi"/>
      <w:sz w:val="18"/>
      <w:szCs w:val="18"/>
    </w:rPr>
  </w:style>
  <w:style w:type="paragraph" w:styleId="65">
    <w:name w:val="Body Text 2"/>
    <w:basedOn w:val="1"/>
    <w:link w:val="479"/>
    <w:qFormat/>
    <w:uiPriority w:val="99"/>
    <w:pPr>
      <w:spacing w:after="120" w:line="480" w:lineRule="auto"/>
    </w:pPr>
    <w:rPr>
      <w:rFonts w:eastAsia="华文细黑" w:cs="Times New Roman"/>
      <w:sz w:val="24"/>
      <w:szCs w:val="20"/>
    </w:rPr>
  </w:style>
  <w:style w:type="paragraph" w:styleId="66">
    <w:name w:val="List 4"/>
    <w:basedOn w:val="1"/>
    <w:qFormat/>
    <w:uiPriority w:val="99"/>
    <w:pPr>
      <w:ind w:left="100" w:leftChars="600" w:hanging="200" w:hangingChars="200"/>
    </w:pPr>
    <w:rPr>
      <w:rFonts w:eastAsia="华文细黑" w:cs="Times New Roman"/>
      <w:sz w:val="24"/>
      <w:szCs w:val="20"/>
    </w:rPr>
  </w:style>
  <w:style w:type="paragraph" w:styleId="67">
    <w:name w:val="List Continue 2"/>
    <w:basedOn w:val="1"/>
    <w:qFormat/>
    <w:uiPriority w:val="99"/>
    <w:pPr>
      <w:spacing w:after="120"/>
      <w:ind w:left="840" w:leftChars="400"/>
    </w:pPr>
    <w:rPr>
      <w:rFonts w:eastAsia="华文细黑" w:cs="Times New Roman"/>
      <w:sz w:val="24"/>
      <w:szCs w:val="20"/>
    </w:rPr>
  </w:style>
  <w:style w:type="paragraph" w:styleId="68">
    <w:name w:val="Message Header"/>
    <w:basedOn w:val="1"/>
    <w:link w:val="499"/>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eastAsia="华文细黑" w:cs="Arial"/>
      <w:sz w:val="24"/>
      <w:szCs w:val="24"/>
    </w:rPr>
  </w:style>
  <w:style w:type="paragraph" w:styleId="69">
    <w:name w:val="HTML Preformatted"/>
    <w:basedOn w:val="1"/>
    <w:link w:val="313"/>
    <w:qFormat/>
    <w:uiPriority w:val="0"/>
    <w:pPr>
      <w:spacing w:line="240" w:lineRule="auto"/>
      <w:ind w:firstLine="0" w:firstLineChars="0"/>
    </w:pPr>
    <w:rPr>
      <w:rFonts w:ascii="Courier New" w:hAnsi="Courier New" w:eastAsiaTheme="minorEastAsia"/>
      <w:sz w:val="21"/>
      <w:szCs w:val="22"/>
    </w:rPr>
  </w:style>
  <w:style w:type="paragraph" w:styleId="70">
    <w:name w:val="Normal (Web)"/>
    <w:basedOn w:val="1"/>
    <w:link w:val="556"/>
    <w:qFormat/>
    <w:uiPriority w:val="99"/>
    <w:pPr>
      <w:spacing w:beforeAutospacing="1" w:afterAutospacing="1" w:line="240" w:lineRule="auto"/>
      <w:ind w:firstLine="0" w:firstLineChars="0"/>
      <w:jc w:val="left"/>
    </w:pPr>
    <w:rPr>
      <w:rFonts w:cs="Times New Roman" w:asciiTheme="minorHAnsi" w:hAnsiTheme="minorHAnsi"/>
      <w:kern w:val="0"/>
      <w:sz w:val="24"/>
      <w:szCs w:val="24"/>
    </w:rPr>
  </w:style>
  <w:style w:type="paragraph" w:styleId="71">
    <w:name w:val="List Continue 3"/>
    <w:basedOn w:val="1"/>
    <w:qFormat/>
    <w:uiPriority w:val="99"/>
    <w:pPr>
      <w:spacing w:after="120"/>
      <w:ind w:left="1260" w:leftChars="600"/>
    </w:pPr>
    <w:rPr>
      <w:rFonts w:eastAsia="华文细黑" w:cs="Times New Roman"/>
      <w:sz w:val="24"/>
      <w:szCs w:val="20"/>
    </w:rPr>
  </w:style>
  <w:style w:type="paragraph" w:styleId="72">
    <w:name w:val="Title"/>
    <w:basedOn w:val="1"/>
    <w:next w:val="1"/>
    <w:link w:val="112"/>
    <w:qFormat/>
    <w:uiPriority w:val="99"/>
    <w:pPr>
      <w:spacing w:before="120" w:after="120"/>
      <w:ind w:firstLine="0" w:firstLineChars="0"/>
      <w:jc w:val="center"/>
      <w:outlineLvl w:val="0"/>
    </w:pPr>
    <w:rPr>
      <w:rFonts w:eastAsia="黑体" w:asciiTheme="majorHAnsi" w:hAnsiTheme="majorHAnsi" w:cstheme="majorBidi"/>
      <w:b/>
      <w:bCs/>
      <w:sz w:val="44"/>
      <w:szCs w:val="32"/>
    </w:rPr>
  </w:style>
  <w:style w:type="paragraph" w:styleId="73">
    <w:name w:val="annotation subject"/>
    <w:basedOn w:val="23"/>
    <w:next w:val="23"/>
    <w:link w:val="137"/>
    <w:unhideWhenUsed/>
    <w:qFormat/>
    <w:uiPriority w:val="99"/>
    <w:rPr>
      <w:b/>
      <w:bCs/>
    </w:rPr>
  </w:style>
  <w:style w:type="paragraph" w:styleId="74">
    <w:name w:val="Body Text First Indent"/>
    <w:basedOn w:val="28"/>
    <w:link w:val="511"/>
    <w:qFormat/>
    <w:uiPriority w:val="99"/>
    <w:pPr>
      <w:ind w:firstLine="420" w:firstLineChars="100"/>
    </w:pPr>
    <w:rPr>
      <w:rFonts w:eastAsia="仿宋_GB2312" w:cs="Arial" w:asciiTheme="minorHAnsi" w:hAnsiTheme="minorHAnsi"/>
      <w:sz w:val="21"/>
      <w:szCs w:val="72"/>
    </w:rPr>
  </w:style>
  <w:style w:type="paragraph" w:styleId="75">
    <w:name w:val="Body Text First Indent 2"/>
    <w:basedOn w:val="29"/>
    <w:link w:val="350"/>
    <w:qFormat/>
    <w:uiPriority w:val="99"/>
    <w:pPr>
      <w:adjustRightInd w:val="0"/>
      <w:spacing w:line="440" w:lineRule="exact"/>
      <w:ind w:firstLine="510" w:firstLineChars="0"/>
    </w:pPr>
    <w:rPr>
      <w:rFonts w:eastAsia="宋体"/>
      <w:szCs w:val="20"/>
    </w:rPr>
  </w:style>
  <w:style w:type="table" w:styleId="77">
    <w:name w:val="Table Grid"/>
    <w:basedOn w:val="76"/>
    <w:qFormat/>
    <w:uiPriority w:val="39"/>
    <w:rPr>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78">
    <w:name w:val="Table Theme"/>
    <w:basedOn w:val="7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79">
    <w:name w:val="Table Elegant"/>
    <w:basedOn w:val="76"/>
    <w:qFormat/>
    <w:uiPriority w:val="0"/>
    <w:pPr>
      <w:widowControl w:val="0"/>
      <w:spacing w:line="360" w:lineRule="auto"/>
      <w:ind w:firstLine="20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character" w:styleId="81">
    <w:name w:val="Strong"/>
    <w:basedOn w:val="80"/>
    <w:qFormat/>
    <w:uiPriority w:val="0"/>
    <w:rPr>
      <w:b/>
      <w:bCs/>
    </w:rPr>
  </w:style>
  <w:style w:type="character" w:styleId="82">
    <w:name w:val="endnote reference"/>
    <w:qFormat/>
    <w:uiPriority w:val="0"/>
    <w:rPr>
      <w:vertAlign w:val="superscript"/>
    </w:rPr>
  </w:style>
  <w:style w:type="character" w:styleId="83">
    <w:name w:val="page number"/>
    <w:basedOn w:val="80"/>
    <w:qFormat/>
    <w:uiPriority w:val="0"/>
  </w:style>
  <w:style w:type="character" w:styleId="84">
    <w:name w:val="FollowedHyperlink"/>
    <w:unhideWhenUsed/>
    <w:qFormat/>
    <w:uiPriority w:val="99"/>
    <w:rPr>
      <w:color w:val="800080"/>
      <w:u w:val="single"/>
    </w:rPr>
  </w:style>
  <w:style w:type="character" w:styleId="85">
    <w:name w:val="Emphasis"/>
    <w:basedOn w:val="80"/>
    <w:qFormat/>
    <w:uiPriority w:val="0"/>
    <w:rPr>
      <w:rFonts w:eastAsia="仿宋_GB2312" w:cs="Arial"/>
      <w:i/>
      <w:iCs/>
      <w:kern w:val="2"/>
      <w:sz w:val="21"/>
      <w:szCs w:val="72"/>
      <w:lang w:val="en-US" w:eastAsia="zh-CN" w:bidi="ar-SA"/>
    </w:rPr>
  </w:style>
  <w:style w:type="character" w:styleId="86">
    <w:name w:val="line number"/>
    <w:qFormat/>
    <w:uiPriority w:val="0"/>
    <w:rPr>
      <w:rFonts w:eastAsia="仿宋_GB2312" w:cs="Arial"/>
      <w:kern w:val="2"/>
      <w:sz w:val="21"/>
      <w:szCs w:val="72"/>
      <w:lang w:val="en-US" w:eastAsia="zh-CN" w:bidi="ar-SA"/>
    </w:rPr>
  </w:style>
  <w:style w:type="character" w:styleId="87">
    <w:name w:val="HTML Definition"/>
    <w:qFormat/>
    <w:uiPriority w:val="0"/>
    <w:rPr>
      <w:i/>
    </w:rPr>
  </w:style>
  <w:style w:type="character" w:styleId="88">
    <w:name w:val="HTML Typewriter"/>
    <w:qFormat/>
    <w:uiPriority w:val="0"/>
    <w:rPr>
      <w:rFonts w:ascii="Courier New" w:hAnsi="Courier New"/>
      <w:sz w:val="20"/>
    </w:rPr>
  </w:style>
  <w:style w:type="character" w:styleId="89">
    <w:name w:val="HTML Acronym"/>
    <w:basedOn w:val="80"/>
    <w:qFormat/>
    <w:uiPriority w:val="0"/>
  </w:style>
  <w:style w:type="character" w:styleId="90">
    <w:name w:val="HTML Variable"/>
    <w:qFormat/>
    <w:uiPriority w:val="0"/>
    <w:rPr>
      <w:i/>
    </w:rPr>
  </w:style>
  <w:style w:type="character" w:styleId="91">
    <w:name w:val="Hyperlink"/>
    <w:basedOn w:val="80"/>
    <w:unhideWhenUsed/>
    <w:qFormat/>
    <w:uiPriority w:val="99"/>
    <w:rPr>
      <w:color w:val="0563C1" w:themeColor="hyperlink"/>
      <w:u w:val="single"/>
      <w14:textFill>
        <w14:solidFill>
          <w14:schemeClr w14:val="hlink"/>
        </w14:solidFill>
      </w14:textFill>
    </w:rPr>
  </w:style>
  <w:style w:type="character" w:styleId="92">
    <w:name w:val="HTML Code"/>
    <w:qFormat/>
    <w:uiPriority w:val="0"/>
    <w:rPr>
      <w:rFonts w:ascii="Courier New" w:hAnsi="Courier New"/>
      <w:sz w:val="20"/>
    </w:rPr>
  </w:style>
  <w:style w:type="character" w:styleId="93">
    <w:name w:val="annotation reference"/>
    <w:basedOn w:val="80"/>
    <w:unhideWhenUsed/>
    <w:qFormat/>
    <w:uiPriority w:val="99"/>
    <w:rPr>
      <w:sz w:val="21"/>
      <w:szCs w:val="21"/>
    </w:rPr>
  </w:style>
  <w:style w:type="character" w:styleId="94">
    <w:name w:val="HTML Cite"/>
    <w:qFormat/>
    <w:uiPriority w:val="0"/>
    <w:rPr>
      <w:i/>
    </w:rPr>
  </w:style>
  <w:style w:type="character" w:styleId="95">
    <w:name w:val="footnote reference"/>
    <w:unhideWhenUsed/>
    <w:qFormat/>
    <w:uiPriority w:val="99"/>
    <w:rPr>
      <w:vertAlign w:val="superscript"/>
    </w:rPr>
  </w:style>
  <w:style w:type="character" w:styleId="96">
    <w:name w:val="HTML Keyboard"/>
    <w:qFormat/>
    <w:uiPriority w:val="0"/>
    <w:rPr>
      <w:rFonts w:ascii="Courier New" w:hAnsi="Courier New"/>
      <w:sz w:val="20"/>
    </w:rPr>
  </w:style>
  <w:style w:type="character" w:styleId="97">
    <w:name w:val="HTML Sample"/>
    <w:qFormat/>
    <w:uiPriority w:val="0"/>
    <w:rPr>
      <w:rFonts w:ascii="Courier New" w:hAnsi="Courier New"/>
    </w:rPr>
  </w:style>
  <w:style w:type="character" w:customStyle="1" w:styleId="98">
    <w:name w:val="页眉 字符"/>
    <w:basedOn w:val="80"/>
    <w:link w:val="49"/>
    <w:qFormat/>
    <w:uiPriority w:val="99"/>
    <w:rPr>
      <w:sz w:val="18"/>
      <w:szCs w:val="18"/>
    </w:rPr>
  </w:style>
  <w:style w:type="character" w:customStyle="1" w:styleId="99">
    <w:name w:val="页脚 字符"/>
    <w:basedOn w:val="80"/>
    <w:link w:val="47"/>
    <w:qFormat/>
    <w:uiPriority w:val="99"/>
    <w:rPr>
      <w:sz w:val="18"/>
      <w:szCs w:val="18"/>
    </w:rPr>
  </w:style>
  <w:style w:type="character" w:customStyle="1" w:styleId="100">
    <w:name w:val="标题 1 字符"/>
    <w:basedOn w:val="80"/>
    <w:link w:val="2"/>
    <w:qFormat/>
    <w:uiPriority w:val="0"/>
    <w:rPr>
      <w:rFonts w:eastAsia="仿宋" w:cstheme="minorBidi"/>
      <w:b/>
      <w:bCs/>
      <w:kern w:val="44"/>
      <w:sz w:val="44"/>
      <w:szCs w:val="44"/>
    </w:rPr>
  </w:style>
  <w:style w:type="character" w:customStyle="1" w:styleId="101">
    <w:name w:val="标题 2 字符"/>
    <w:basedOn w:val="80"/>
    <w:link w:val="3"/>
    <w:qFormat/>
    <w:uiPriority w:val="9"/>
    <w:rPr>
      <w:rFonts w:eastAsia="仿宋" w:cstheme="majorBidi"/>
      <w:b/>
      <w:bCs/>
      <w:kern w:val="2"/>
      <w:sz w:val="32"/>
      <w:szCs w:val="32"/>
    </w:rPr>
  </w:style>
  <w:style w:type="character" w:customStyle="1" w:styleId="102">
    <w:name w:val="标题 3 字符"/>
    <w:basedOn w:val="80"/>
    <w:link w:val="4"/>
    <w:qFormat/>
    <w:uiPriority w:val="0"/>
    <w:rPr>
      <w:rFonts w:eastAsia="仿宋"/>
      <w:b/>
      <w:color w:val="000000"/>
      <w:kern w:val="2"/>
      <w:sz w:val="30"/>
      <w:szCs w:val="32"/>
    </w:rPr>
  </w:style>
  <w:style w:type="character" w:customStyle="1" w:styleId="103">
    <w:name w:val="标题 4 字符"/>
    <w:basedOn w:val="80"/>
    <w:link w:val="5"/>
    <w:qFormat/>
    <w:uiPriority w:val="9"/>
    <w:rPr>
      <w:rFonts w:eastAsia="仿宋" w:cstheme="majorBidi"/>
      <w:b/>
      <w:bCs/>
      <w:kern w:val="2"/>
      <w:sz w:val="28"/>
      <w:szCs w:val="28"/>
    </w:rPr>
  </w:style>
  <w:style w:type="character" w:customStyle="1" w:styleId="104">
    <w:name w:val="标题 5 字符"/>
    <w:basedOn w:val="80"/>
    <w:link w:val="6"/>
    <w:qFormat/>
    <w:uiPriority w:val="0"/>
    <w:rPr>
      <w:rFonts w:eastAsia="仿宋" w:cstheme="minorBidi"/>
      <w:b/>
      <w:bCs/>
      <w:kern w:val="2"/>
      <w:sz w:val="28"/>
      <w:szCs w:val="28"/>
    </w:rPr>
  </w:style>
  <w:style w:type="character" w:customStyle="1" w:styleId="105">
    <w:name w:val="标题 6 字符"/>
    <w:basedOn w:val="80"/>
    <w:link w:val="7"/>
    <w:qFormat/>
    <w:uiPriority w:val="0"/>
    <w:rPr>
      <w:rFonts w:asciiTheme="majorHAnsi" w:hAnsiTheme="majorHAnsi" w:eastAsiaTheme="majorEastAsia" w:cstheme="majorBidi"/>
      <w:b/>
      <w:bCs/>
      <w:kern w:val="2"/>
      <w:sz w:val="24"/>
      <w:szCs w:val="24"/>
    </w:rPr>
  </w:style>
  <w:style w:type="paragraph" w:styleId="106">
    <w:name w:val="List Paragraph"/>
    <w:basedOn w:val="1"/>
    <w:link w:val="107"/>
    <w:qFormat/>
    <w:uiPriority w:val="34"/>
    <w:pPr>
      <w:ind w:firstLine="420"/>
    </w:pPr>
  </w:style>
  <w:style w:type="character" w:customStyle="1" w:styleId="107">
    <w:name w:val="列表段落 字符"/>
    <w:link w:val="106"/>
    <w:qFormat/>
    <w:uiPriority w:val="34"/>
    <w:rPr>
      <w:rFonts w:ascii="Times New Roman" w:hAnsi="Times New Roman" w:eastAsia="仿宋"/>
      <w:sz w:val="28"/>
      <w:szCs w:val="21"/>
    </w:rPr>
  </w:style>
  <w:style w:type="character" w:customStyle="1" w:styleId="108">
    <w:name w:val="批注框文本 字符"/>
    <w:basedOn w:val="80"/>
    <w:link w:val="46"/>
    <w:qFormat/>
    <w:uiPriority w:val="99"/>
    <w:rPr>
      <w:rFonts w:ascii="Times New Roman" w:hAnsi="Times New Roman" w:eastAsia="仿宋"/>
      <w:sz w:val="18"/>
      <w:szCs w:val="18"/>
    </w:rPr>
  </w:style>
  <w:style w:type="character" w:customStyle="1" w:styleId="109">
    <w:name w:val="标题 7 字符"/>
    <w:basedOn w:val="80"/>
    <w:link w:val="8"/>
    <w:qFormat/>
    <w:uiPriority w:val="9"/>
    <w:rPr>
      <w:rFonts w:ascii="Times New Roman" w:hAnsi="Times New Roman" w:eastAsia="仿宋"/>
      <w:b/>
      <w:bCs/>
      <w:sz w:val="24"/>
      <w:szCs w:val="24"/>
    </w:rPr>
  </w:style>
  <w:style w:type="character" w:customStyle="1" w:styleId="110">
    <w:name w:val="标题 8 字符"/>
    <w:basedOn w:val="80"/>
    <w:link w:val="9"/>
    <w:qFormat/>
    <w:uiPriority w:val="9"/>
    <w:rPr>
      <w:rFonts w:asciiTheme="majorHAnsi" w:hAnsiTheme="majorHAnsi" w:eastAsiaTheme="majorEastAsia" w:cstheme="majorBidi"/>
      <w:sz w:val="24"/>
      <w:szCs w:val="24"/>
    </w:rPr>
  </w:style>
  <w:style w:type="character" w:customStyle="1" w:styleId="111">
    <w:name w:val="标题 9 字符"/>
    <w:basedOn w:val="80"/>
    <w:link w:val="10"/>
    <w:qFormat/>
    <w:uiPriority w:val="9"/>
    <w:rPr>
      <w:rFonts w:asciiTheme="majorHAnsi" w:hAnsiTheme="majorHAnsi" w:eastAsiaTheme="majorEastAsia" w:cstheme="majorBidi"/>
      <w:szCs w:val="21"/>
    </w:rPr>
  </w:style>
  <w:style w:type="character" w:customStyle="1" w:styleId="112">
    <w:name w:val="标题 字符"/>
    <w:basedOn w:val="80"/>
    <w:link w:val="72"/>
    <w:qFormat/>
    <w:uiPriority w:val="99"/>
    <w:rPr>
      <w:rFonts w:eastAsia="黑体" w:asciiTheme="majorHAnsi" w:hAnsiTheme="majorHAnsi" w:cstheme="majorBidi"/>
      <w:b/>
      <w:bCs/>
      <w:sz w:val="44"/>
      <w:szCs w:val="32"/>
    </w:rPr>
  </w:style>
  <w:style w:type="paragraph" w:customStyle="1" w:styleId="113">
    <w:name w:val="表格"/>
    <w:basedOn w:val="1"/>
    <w:link w:val="115"/>
    <w:qFormat/>
    <w:uiPriority w:val="0"/>
    <w:pPr>
      <w:snapToGrid w:val="0"/>
      <w:spacing w:line="240" w:lineRule="auto"/>
      <w:ind w:firstLine="0" w:firstLineChars="0"/>
      <w:jc w:val="center"/>
    </w:pPr>
    <w:rPr>
      <w:sz w:val="21"/>
    </w:rPr>
  </w:style>
  <w:style w:type="paragraph" w:customStyle="1" w:styleId="114">
    <w:name w:val="TOC 标题1"/>
    <w:basedOn w:val="2"/>
    <w:next w:val="1"/>
    <w:unhideWhenUsed/>
    <w:qFormat/>
    <w:uiPriority w:val="39"/>
    <w:pPr>
      <w:pageBreakBefore w:val="0"/>
      <w:widowControl/>
      <w:numPr>
        <w:numId w:val="0"/>
      </w:numPr>
      <w:spacing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115">
    <w:name w:val="表格 Char Char"/>
    <w:link w:val="113"/>
    <w:qFormat/>
    <w:uiPriority w:val="0"/>
    <w:rPr>
      <w:rFonts w:ascii="Times New Roman" w:hAnsi="Times New Roman" w:eastAsia="仿宋"/>
      <w:szCs w:val="28"/>
    </w:rPr>
  </w:style>
  <w:style w:type="character" w:customStyle="1" w:styleId="116">
    <w:name w:val="正文文本缩进 字符"/>
    <w:basedOn w:val="80"/>
    <w:link w:val="29"/>
    <w:qFormat/>
    <w:uiPriority w:val="99"/>
    <w:rPr>
      <w:rFonts w:ascii="Times New Roman" w:hAnsi="Times New Roman" w:eastAsia="楷体_GB2312" w:cs="Times New Roman"/>
      <w:sz w:val="28"/>
      <w:szCs w:val="24"/>
      <w:lang w:val="zh-CN" w:eastAsia="zh-CN"/>
    </w:rPr>
  </w:style>
  <w:style w:type="character" w:customStyle="1" w:styleId="117">
    <w:name w:val="题注 字符"/>
    <w:link w:val="19"/>
    <w:qFormat/>
    <w:uiPriority w:val="35"/>
    <w:rPr>
      <w:rFonts w:ascii="Times New Roman" w:hAnsi="Times New Roman" w:eastAsia="仿宋" w:cstheme="majorBidi"/>
      <w:b/>
      <w:sz w:val="21"/>
      <w:szCs w:val="20"/>
    </w:rPr>
  </w:style>
  <w:style w:type="paragraph" w:customStyle="1" w:styleId="118">
    <w:name w:val="样式 首行缩进:  0.85 厘米"/>
    <w:basedOn w:val="1"/>
    <w:qFormat/>
    <w:uiPriority w:val="99"/>
    <w:pPr>
      <w:ind w:firstLine="482" w:firstLineChars="0"/>
    </w:pPr>
    <w:rPr>
      <w:rFonts w:cs="宋体"/>
      <w:szCs w:val="20"/>
    </w:rPr>
  </w:style>
  <w:style w:type="paragraph" w:customStyle="1" w:styleId="119">
    <w:name w:val="样式 表格 + (中文) 仿宋"/>
    <w:basedOn w:val="113"/>
    <w:qFormat/>
    <w:uiPriority w:val="99"/>
    <w:pPr>
      <w:widowControl/>
    </w:pPr>
    <w:rPr>
      <w:rFonts w:cs="Times New Roman"/>
      <w:color w:val="000000"/>
      <w:kern w:val="0"/>
      <w:szCs w:val="20"/>
      <w:lang w:val="zh-CN"/>
    </w:rPr>
  </w:style>
  <w:style w:type="paragraph" w:customStyle="1" w:styleId="120">
    <w:name w:val="样式 表格 + (中文) 仿宋 加粗"/>
    <w:basedOn w:val="113"/>
    <w:qFormat/>
    <w:uiPriority w:val="99"/>
    <w:pPr>
      <w:widowControl/>
    </w:pPr>
    <w:rPr>
      <w:rFonts w:cs="Times New Roman"/>
      <w:b/>
      <w:bCs/>
      <w:color w:val="000000"/>
      <w:kern w:val="0"/>
      <w:szCs w:val="20"/>
      <w:lang w:val="zh-CN"/>
    </w:rPr>
  </w:style>
  <w:style w:type="character" w:customStyle="1" w:styleId="121">
    <w:name w:val="样式 小四1"/>
    <w:basedOn w:val="80"/>
    <w:qFormat/>
    <w:uiPriority w:val="0"/>
    <w:rPr>
      <w:sz w:val="28"/>
    </w:rPr>
  </w:style>
  <w:style w:type="paragraph" w:customStyle="1" w:styleId="122">
    <w:name w:val="样式 加粗 居中 首行缩进:  0.85 厘米"/>
    <w:basedOn w:val="1"/>
    <w:qFormat/>
    <w:uiPriority w:val="99"/>
    <w:pPr>
      <w:spacing w:line="240" w:lineRule="auto"/>
      <w:ind w:firstLine="482" w:firstLineChars="0"/>
      <w:jc w:val="center"/>
    </w:pPr>
    <w:rPr>
      <w:rFonts w:cs="宋体"/>
      <w:b/>
      <w:bCs/>
      <w:sz w:val="24"/>
      <w:szCs w:val="20"/>
    </w:rPr>
  </w:style>
  <w:style w:type="paragraph" w:customStyle="1" w:styleId="123">
    <w:name w:val="样式 加粗 黑色 居中"/>
    <w:basedOn w:val="1"/>
    <w:qFormat/>
    <w:uiPriority w:val="99"/>
    <w:pPr>
      <w:spacing w:line="240" w:lineRule="auto"/>
      <w:ind w:firstLine="0" w:firstLineChars="0"/>
      <w:jc w:val="center"/>
    </w:pPr>
    <w:rPr>
      <w:rFonts w:cs="宋体"/>
      <w:b/>
      <w:bCs/>
      <w:color w:val="000000"/>
      <w:kern w:val="0"/>
      <w:sz w:val="21"/>
      <w:szCs w:val="20"/>
    </w:rPr>
  </w:style>
  <w:style w:type="character" w:customStyle="1" w:styleId="124">
    <w:name w:val="样式 黑色"/>
    <w:basedOn w:val="80"/>
    <w:qFormat/>
    <w:uiPriority w:val="0"/>
    <w:rPr>
      <w:color w:val="000000"/>
      <w:sz w:val="28"/>
    </w:rPr>
  </w:style>
  <w:style w:type="character" w:customStyle="1" w:styleId="125">
    <w:name w:val="样式 加粗"/>
    <w:basedOn w:val="80"/>
    <w:qFormat/>
    <w:uiPriority w:val="0"/>
    <w:rPr>
      <w:b/>
      <w:bCs/>
      <w:sz w:val="24"/>
    </w:rPr>
  </w:style>
  <w:style w:type="paragraph" w:customStyle="1" w:styleId="126">
    <w:name w:val="样式 小四 行距: 1.5 倍行距 首行缩进:  2 字符"/>
    <w:basedOn w:val="1"/>
    <w:qFormat/>
    <w:uiPriority w:val="99"/>
    <w:pPr>
      <w:ind w:firstLine="480"/>
    </w:pPr>
    <w:rPr>
      <w:rFonts w:cs="宋体"/>
      <w:szCs w:val="20"/>
    </w:rPr>
  </w:style>
  <w:style w:type="character" w:customStyle="1" w:styleId="127">
    <w:name w:val="样式 小四 黑色1"/>
    <w:basedOn w:val="80"/>
    <w:qFormat/>
    <w:uiPriority w:val="0"/>
    <w:rPr>
      <w:color w:val="000000"/>
      <w:sz w:val="28"/>
    </w:rPr>
  </w:style>
  <w:style w:type="paragraph" w:customStyle="1" w:styleId="128">
    <w:name w:val="样式 加粗 黑色 居中1"/>
    <w:basedOn w:val="1"/>
    <w:qFormat/>
    <w:uiPriority w:val="99"/>
    <w:pPr>
      <w:spacing w:line="240" w:lineRule="auto"/>
      <w:ind w:firstLine="0" w:firstLineChars="0"/>
      <w:jc w:val="center"/>
    </w:pPr>
    <w:rPr>
      <w:rFonts w:cs="宋体"/>
      <w:b/>
      <w:bCs/>
      <w:color w:val="000000"/>
      <w:sz w:val="21"/>
      <w:szCs w:val="20"/>
    </w:rPr>
  </w:style>
  <w:style w:type="character" w:customStyle="1" w:styleId="129">
    <w:name w:val="样式 小五 加粗"/>
    <w:basedOn w:val="80"/>
    <w:qFormat/>
    <w:uiPriority w:val="0"/>
    <w:rPr>
      <w:b/>
      <w:bCs/>
      <w:sz w:val="24"/>
    </w:rPr>
  </w:style>
  <w:style w:type="paragraph" w:customStyle="1" w:styleId="130">
    <w:name w:val="表格标题"/>
    <w:basedOn w:val="1"/>
    <w:link w:val="565"/>
    <w:qFormat/>
    <w:uiPriority w:val="0"/>
    <w:pPr>
      <w:ind w:firstLine="0" w:firstLineChars="0"/>
      <w:jc w:val="center"/>
    </w:pPr>
    <w:rPr>
      <w:rFonts w:cs="Times New Roman"/>
      <w:sz w:val="24"/>
      <w:szCs w:val="24"/>
    </w:rPr>
  </w:style>
  <w:style w:type="character" w:customStyle="1" w:styleId="131">
    <w:name w:val="题注 Char3"/>
    <w:qFormat/>
    <w:uiPriority w:val="0"/>
    <w:rPr>
      <w:rFonts w:eastAsia="仿宋_GB2312"/>
      <w:b/>
      <w:kern w:val="2"/>
      <w:sz w:val="21"/>
      <w:szCs w:val="21"/>
    </w:rPr>
  </w:style>
  <w:style w:type="paragraph" w:customStyle="1" w:styleId="132">
    <w:name w:val="样式 题注图标题 + 加粗"/>
    <w:basedOn w:val="19"/>
    <w:qFormat/>
    <w:uiPriority w:val="99"/>
    <w:pPr>
      <w:jc w:val="both"/>
    </w:pPr>
    <w:rPr>
      <w:rFonts w:cs="Times New Roman"/>
      <w:bCs/>
      <w:kern w:val="0"/>
    </w:rPr>
  </w:style>
  <w:style w:type="character" w:customStyle="1" w:styleId="133">
    <w:name w:val="列出段落 Char"/>
    <w:qFormat/>
    <w:uiPriority w:val="34"/>
    <w:rPr>
      <w:rFonts w:ascii="Times New Roman" w:hAnsi="Times New Roman" w:eastAsia="仿宋"/>
      <w:kern w:val="2"/>
      <w:sz w:val="24"/>
      <w:szCs w:val="22"/>
    </w:rPr>
  </w:style>
  <w:style w:type="character" w:customStyle="1" w:styleId="134">
    <w:name w:val="样式23 Char"/>
    <w:link w:val="135"/>
    <w:qFormat/>
    <w:uiPriority w:val="99"/>
    <w:rPr>
      <w:rFonts w:ascii="Times New Roman" w:hAnsi="宋体"/>
    </w:rPr>
  </w:style>
  <w:style w:type="paragraph" w:customStyle="1" w:styleId="135">
    <w:name w:val="样式23"/>
    <w:basedOn w:val="1"/>
    <w:link w:val="134"/>
    <w:qFormat/>
    <w:uiPriority w:val="99"/>
    <w:pPr>
      <w:spacing w:line="413" w:lineRule="auto"/>
      <w:ind w:firstLine="420"/>
    </w:pPr>
    <w:rPr>
      <w:rFonts w:hAnsi="宋体" w:eastAsiaTheme="minorEastAsia"/>
      <w:sz w:val="21"/>
      <w:szCs w:val="22"/>
    </w:rPr>
  </w:style>
  <w:style w:type="character" w:customStyle="1" w:styleId="136">
    <w:name w:val="批注文字 字符"/>
    <w:basedOn w:val="80"/>
    <w:link w:val="23"/>
    <w:qFormat/>
    <w:uiPriority w:val="99"/>
    <w:rPr>
      <w:rFonts w:ascii="Times New Roman" w:hAnsi="Times New Roman" w:eastAsia="仿宋"/>
      <w:szCs w:val="21"/>
    </w:rPr>
  </w:style>
  <w:style w:type="character" w:customStyle="1" w:styleId="137">
    <w:name w:val="批注主题 字符"/>
    <w:basedOn w:val="136"/>
    <w:link w:val="73"/>
    <w:qFormat/>
    <w:uiPriority w:val="99"/>
    <w:rPr>
      <w:rFonts w:ascii="Times New Roman" w:hAnsi="Times New Roman" w:eastAsia="仿宋"/>
      <w:b/>
      <w:bCs/>
      <w:szCs w:val="21"/>
    </w:rPr>
  </w:style>
  <w:style w:type="paragraph" w:customStyle="1" w:styleId="138">
    <w:name w:val="样式 标题 2标题 y2h2l22nd levelTitre22Header 2节标题 1.1节标题一级节名..."/>
    <w:basedOn w:val="3"/>
    <w:qFormat/>
    <w:uiPriority w:val="99"/>
    <w:pPr>
      <w:numPr>
        <w:ilvl w:val="0"/>
        <w:numId w:val="0"/>
      </w:numPr>
      <w:spacing w:before="200" w:after="200"/>
      <w:ind w:left="426" w:hanging="426"/>
    </w:pPr>
    <w:rPr>
      <w:rFonts w:cs="Times New Roman"/>
      <w:color w:val="000000"/>
    </w:rPr>
  </w:style>
  <w:style w:type="character" w:customStyle="1" w:styleId="139">
    <w:name w:val="正文缩进 字符"/>
    <w:link w:val="18"/>
    <w:qFormat/>
    <w:uiPriority w:val="0"/>
    <w:rPr>
      <w:sz w:val="28"/>
    </w:rPr>
  </w:style>
  <w:style w:type="paragraph" w:customStyle="1" w:styleId="140">
    <w:name w:val="图"/>
    <w:basedOn w:val="1"/>
    <w:qFormat/>
    <w:uiPriority w:val="99"/>
    <w:pPr>
      <w:ind w:firstLine="0" w:firstLineChars="0"/>
      <w:jc w:val="center"/>
    </w:pPr>
    <w:rPr>
      <w:rFonts w:eastAsia="华文楷体"/>
      <w:szCs w:val="22"/>
    </w:rPr>
  </w:style>
  <w:style w:type="paragraph" w:customStyle="1" w:styleId="141">
    <w:name w:val="样式1"/>
    <w:basedOn w:val="5"/>
    <w:qFormat/>
    <w:uiPriority w:val="99"/>
    <w:pPr>
      <w:numPr>
        <w:ilvl w:val="0"/>
        <w:numId w:val="0"/>
      </w:numPr>
      <w:snapToGrid w:val="0"/>
      <w:spacing w:before="280" w:beforeLines="50" w:after="290" w:afterLines="50"/>
      <w:ind w:left="1984" w:hanging="1984"/>
    </w:pPr>
    <w:rPr>
      <w:rFonts w:ascii="Cambria" w:hAnsi="Cambria" w:eastAsia="宋体" w:cs="Times New Roman"/>
      <w:kern w:val="0"/>
      <w:lang w:val="zh-CN"/>
    </w:rPr>
  </w:style>
  <w:style w:type="character" w:customStyle="1" w:styleId="142">
    <w:name w:val="表格 Char"/>
    <w:qFormat/>
    <w:uiPriority w:val="0"/>
    <w:rPr>
      <w:rFonts w:ascii="黑体" w:hAnsi="黑体" w:eastAsia="仿宋"/>
      <w:szCs w:val="28"/>
    </w:rPr>
  </w:style>
  <w:style w:type="character" w:customStyle="1" w:styleId="143">
    <w:name w:val="表头 Char"/>
    <w:link w:val="144"/>
    <w:qFormat/>
    <w:uiPriority w:val="0"/>
    <w:rPr>
      <w:rFonts w:ascii="Times New Roman" w:hAnsi="Times New Roman" w:eastAsia="华文楷体"/>
      <w:b/>
    </w:rPr>
  </w:style>
  <w:style w:type="paragraph" w:customStyle="1" w:styleId="144">
    <w:name w:val="表头"/>
    <w:basedOn w:val="1"/>
    <w:link w:val="143"/>
    <w:qFormat/>
    <w:uiPriority w:val="0"/>
    <w:pPr>
      <w:ind w:firstLine="0" w:firstLineChars="0"/>
      <w:jc w:val="center"/>
    </w:pPr>
    <w:rPr>
      <w:rFonts w:eastAsia="华文楷体"/>
      <w:b/>
      <w:sz w:val="21"/>
      <w:szCs w:val="22"/>
    </w:rPr>
  </w:style>
  <w:style w:type="table" w:customStyle="1" w:styleId="145">
    <w:name w:val="网格型2"/>
    <w:basedOn w:val="7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6">
    <w:name w:val="一级条标题"/>
    <w:next w:val="1"/>
    <w:link w:val="457"/>
    <w:qFormat/>
    <w:uiPriority w:val="99"/>
    <w:pPr>
      <w:numPr>
        <w:ilvl w:val="1"/>
        <w:numId w:val="2"/>
      </w:numPr>
      <w:spacing w:beforeLines="50" w:afterLines="50"/>
      <w:outlineLvl w:val="2"/>
    </w:pPr>
    <w:rPr>
      <w:rFonts w:ascii="黑体" w:hAnsi="Times New Roman" w:eastAsia="黑体" w:cs="Times New Roman"/>
      <w:sz w:val="21"/>
      <w:szCs w:val="21"/>
      <w:lang w:val="en-US" w:eastAsia="zh-CN" w:bidi="ar-SA"/>
    </w:rPr>
  </w:style>
  <w:style w:type="paragraph" w:customStyle="1" w:styleId="147">
    <w:name w:val="章标题"/>
    <w:next w:val="1"/>
    <w:qFormat/>
    <w:uiPriority w:val="99"/>
    <w:pPr>
      <w:numPr>
        <w:ilvl w:val="0"/>
        <w:numId w:val="2"/>
      </w:numPr>
      <w:spacing w:beforeLines="100" w:afterLines="100"/>
      <w:jc w:val="both"/>
      <w:outlineLvl w:val="1"/>
    </w:pPr>
    <w:rPr>
      <w:rFonts w:ascii="黑体" w:hAnsi="Times New Roman" w:eastAsia="黑体" w:cs="Times New Roman"/>
      <w:sz w:val="21"/>
      <w:lang w:val="en-US" w:eastAsia="zh-CN" w:bidi="ar-SA"/>
    </w:rPr>
  </w:style>
  <w:style w:type="paragraph" w:customStyle="1" w:styleId="148">
    <w:name w:val="二级条标题"/>
    <w:basedOn w:val="146"/>
    <w:next w:val="1"/>
    <w:link w:val="461"/>
    <w:qFormat/>
    <w:uiPriority w:val="99"/>
    <w:pPr>
      <w:numPr>
        <w:ilvl w:val="2"/>
      </w:numPr>
      <w:spacing w:before="50" w:after="50"/>
      <w:outlineLvl w:val="3"/>
    </w:pPr>
  </w:style>
  <w:style w:type="paragraph" w:customStyle="1" w:styleId="149">
    <w:name w:val="四级条标题"/>
    <w:basedOn w:val="1"/>
    <w:next w:val="1"/>
    <w:qFormat/>
    <w:uiPriority w:val="99"/>
    <w:pPr>
      <w:widowControl/>
      <w:numPr>
        <w:ilvl w:val="4"/>
        <w:numId w:val="2"/>
      </w:numPr>
      <w:spacing w:before="50" w:beforeLines="50" w:after="50" w:afterLines="50"/>
      <w:jc w:val="left"/>
      <w:outlineLvl w:val="5"/>
    </w:pPr>
    <w:rPr>
      <w:rFonts w:ascii="黑体" w:eastAsia="黑体" w:cs="Times New Roman"/>
      <w:kern w:val="0"/>
    </w:rPr>
  </w:style>
  <w:style w:type="paragraph" w:customStyle="1" w:styleId="150">
    <w:name w:val="五级条标题"/>
    <w:basedOn w:val="149"/>
    <w:next w:val="1"/>
    <w:qFormat/>
    <w:uiPriority w:val="99"/>
    <w:pPr>
      <w:numPr>
        <w:ilvl w:val="5"/>
      </w:numPr>
      <w:outlineLvl w:val="6"/>
    </w:pPr>
  </w:style>
  <w:style w:type="paragraph" w:customStyle="1" w:styleId="151">
    <w:name w:val="段"/>
    <w:link w:val="152"/>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152">
    <w:name w:val="段 Char"/>
    <w:link w:val="151"/>
    <w:qFormat/>
    <w:uiPriority w:val="0"/>
    <w:rPr>
      <w:rFonts w:ascii="宋体" w:hAnsi="Times New Roman" w:eastAsia="宋体" w:cs="Times New Roman"/>
      <w:kern w:val="0"/>
      <w:szCs w:val="20"/>
    </w:rPr>
  </w:style>
  <w:style w:type="character" w:customStyle="1" w:styleId="153">
    <w:name w:val="日期 字符"/>
    <w:basedOn w:val="80"/>
    <w:link w:val="42"/>
    <w:qFormat/>
    <w:uiPriority w:val="99"/>
    <w:rPr>
      <w:rFonts w:ascii="Times New Roman" w:hAnsi="Times New Roman" w:eastAsia="华文楷体"/>
      <w:sz w:val="28"/>
    </w:rPr>
  </w:style>
  <w:style w:type="character" w:customStyle="1" w:styleId="154">
    <w:name w:val="文档结构图 字符"/>
    <w:basedOn w:val="80"/>
    <w:link w:val="22"/>
    <w:qFormat/>
    <w:uiPriority w:val="99"/>
    <w:rPr>
      <w:rFonts w:ascii="宋体" w:hAnsi="Times New Roman" w:eastAsia="宋体"/>
      <w:sz w:val="24"/>
      <w:szCs w:val="24"/>
    </w:rPr>
  </w:style>
  <w:style w:type="paragraph" w:customStyle="1" w:styleId="155">
    <w:name w:val="ly正文"/>
    <w:qFormat/>
    <w:uiPriority w:val="99"/>
    <w:pPr>
      <w:spacing w:line="360" w:lineRule="auto"/>
      <w:ind w:firstLine="200" w:firstLineChars="200"/>
      <w:jc w:val="both"/>
    </w:pPr>
    <w:rPr>
      <w:rFonts w:ascii="华文细黑" w:hAnsi="华文细黑" w:eastAsia="楷体" w:cs="Times New Roman"/>
      <w:kern w:val="2"/>
      <w:sz w:val="24"/>
      <w:lang w:val="en-US" w:eastAsia="zh-CN" w:bidi="ar-SA"/>
    </w:rPr>
  </w:style>
  <w:style w:type="table" w:customStyle="1" w:styleId="156">
    <w:name w:val="网格型1"/>
    <w:basedOn w:val="7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57">
    <w:name w:val="题注 Char1"/>
    <w:basedOn w:val="80"/>
    <w:qFormat/>
    <w:uiPriority w:val="0"/>
    <w:rPr>
      <w:rFonts w:ascii="Arial" w:hAnsi="Arial" w:eastAsia="黑体" w:cs="Arial"/>
      <w:kern w:val="2"/>
      <w:lang w:val="en-US" w:eastAsia="zh-CN" w:bidi="ar-SA"/>
    </w:rPr>
  </w:style>
  <w:style w:type="paragraph" w:customStyle="1" w:styleId="158">
    <w:name w:val="sd31"/>
    <w:basedOn w:val="1"/>
    <w:next w:val="1"/>
    <w:qFormat/>
    <w:uiPriority w:val="9"/>
    <w:pPr>
      <w:keepNext/>
      <w:keepLines/>
      <w:spacing w:before="240" w:after="64" w:line="320" w:lineRule="auto"/>
      <w:ind w:firstLine="560"/>
      <w:outlineLvl w:val="5"/>
    </w:pPr>
    <w:rPr>
      <w:rFonts w:ascii="Calibri Light" w:hAnsi="Calibri Light" w:eastAsia="宋体" w:cs="Times New Roman"/>
      <w:b/>
      <w:bCs/>
      <w:sz w:val="24"/>
      <w:szCs w:val="24"/>
    </w:rPr>
  </w:style>
  <w:style w:type="paragraph" w:customStyle="1" w:styleId="159">
    <w:name w:val="附1"/>
    <w:basedOn w:val="1"/>
    <w:next w:val="1"/>
    <w:qFormat/>
    <w:uiPriority w:val="9"/>
    <w:pPr>
      <w:keepNext/>
      <w:keepLines/>
      <w:spacing w:before="240" w:after="64" w:line="320" w:lineRule="auto"/>
      <w:ind w:firstLine="560"/>
      <w:outlineLvl w:val="7"/>
    </w:pPr>
    <w:rPr>
      <w:rFonts w:ascii="Calibri Light" w:hAnsi="Calibri Light" w:eastAsia="宋体" w:cs="Times New Roman"/>
      <w:sz w:val="24"/>
      <w:szCs w:val="24"/>
    </w:rPr>
  </w:style>
  <w:style w:type="paragraph" w:customStyle="1" w:styleId="160">
    <w:name w:val="PIM 9111"/>
    <w:basedOn w:val="1"/>
    <w:next w:val="1"/>
    <w:qFormat/>
    <w:uiPriority w:val="99"/>
    <w:pPr>
      <w:keepNext/>
      <w:keepLines/>
      <w:spacing w:before="240" w:after="64" w:line="320" w:lineRule="auto"/>
      <w:ind w:firstLine="560"/>
      <w:outlineLvl w:val="8"/>
    </w:pPr>
    <w:rPr>
      <w:rFonts w:ascii="Calibri Light" w:hAnsi="Calibri Light" w:eastAsia="宋体" w:cs="Times New Roman"/>
    </w:rPr>
  </w:style>
  <w:style w:type="character" w:customStyle="1" w:styleId="161">
    <w:name w:val="标题 6 Char1"/>
    <w:basedOn w:val="80"/>
    <w:qFormat/>
    <w:uiPriority w:val="0"/>
    <w:rPr>
      <w:rFonts w:asciiTheme="majorHAnsi" w:hAnsiTheme="majorHAnsi" w:eastAsiaTheme="majorEastAsia" w:cstheme="majorBidi"/>
      <w:b/>
      <w:bCs/>
      <w:sz w:val="24"/>
      <w:szCs w:val="24"/>
    </w:rPr>
  </w:style>
  <w:style w:type="character" w:customStyle="1" w:styleId="162">
    <w:name w:val="标题 8 Char1"/>
    <w:basedOn w:val="80"/>
    <w:qFormat/>
    <w:uiPriority w:val="0"/>
    <w:rPr>
      <w:rFonts w:asciiTheme="majorHAnsi" w:hAnsiTheme="majorHAnsi" w:eastAsiaTheme="majorEastAsia" w:cstheme="majorBidi"/>
      <w:sz w:val="24"/>
      <w:szCs w:val="24"/>
    </w:rPr>
  </w:style>
  <w:style w:type="character" w:customStyle="1" w:styleId="163">
    <w:name w:val="标题 9 Char1"/>
    <w:basedOn w:val="80"/>
    <w:qFormat/>
    <w:uiPriority w:val="0"/>
    <w:rPr>
      <w:rFonts w:asciiTheme="majorHAnsi" w:hAnsiTheme="majorHAnsi" w:eastAsiaTheme="majorEastAsia" w:cstheme="majorBidi"/>
      <w:sz w:val="28"/>
      <w:szCs w:val="21"/>
    </w:rPr>
  </w:style>
  <w:style w:type="paragraph" w:customStyle="1" w:styleId="164">
    <w:name w:val="00段落"/>
    <w:basedOn w:val="1"/>
    <w:link w:val="165"/>
    <w:qFormat/>
    <w:uiPriority w:val="0"/>
    <w:pPr>
      <w:adjustRightInd w:val="0"/>
      <w:snapToGrid w:val="0"/>
    </w:pPr>
    <w:rPr>
      <w:rFonts w:eastAsia="仿宋_GB2312" w:cs="Times New Roman"/>
      <w:color w:val="000000"/>
      <w:szCs w:val="20"/>
      <w:lang w:val="zh-CN"/>
    </w:rPr>
  </w:style>
  <w:style w:type="character" w:customStyle="1" w:styleId="165">
    <w:name w:val="00段落 Char"/>
    <w:link w:val="164"/>
    <w:qFormat/>
    <w:uiPriority w:val="0"/>
    <w:rPr>
      <w:rFonts w:ascii="Times New Roman" w:hAnsi="Times New Roman" w:eastAsia="仿宋_GB2312" w:cs="Times New Roman"/>
      <w:color w:val="000000"/>
      <w:sz w:val="28"/>
      <w:szCs w:val="20"/>
      <w:lang w:val="zh-CN" w:eastAsia="zh-CN"/>
    </w:rPr>
  </w:style>
  <w:style w:type="paragraph" w:customStyle="1" w:styleId="166">
    <w:name w:val="0段落"/>
    <w:basedOn w:val="1"/>
    <w:link w:val="167"/>
    <w:qFormat/>
    <w:uiPriority w:val="0"/>
    <w:pPr>
      <w:widowControl/>
      <w:snapToGrid w:val="0"/>
      <w:jc w:val="left"/>
    </w:pPr>
    <w:rPr>
      <w:rFonts w:ascii="仿宋" w:hAnsi="仿宋" w:eastAsia="仿宋_GB2312" w:cs="Times New Roman"/>
      <w:bCs/>
      <w:kern w:val="0"/>
      <w:szCs w:val="24"/>
      <w:lang w:val="zh-CN"/>
    </w:rPr>
  </w:style>
  <w:style w:type="character" w:customStyle="1" w:styleId="167">
    <w:name w:val="0段落 Char"/>
    <w:link w:val="166"/>
    <w:qFormat/>
    <w:uiPriority w:val="0"/>
    <w:rPr>
      <w:rFonts w:ascii="仿宋" w:hAnsi="仿宋" w:eastAsia="仿宋_GB2312" w:cs="Times New Roman"/>
      <w:bCs/>
      <w:kern w:val="0"/>
      <w:sz w:val="28"/>
      <w:szCs w:val="24"/>
      <w:lang w:val="zh-CN" w:eastAsia="zh-CN"/>
    </w:rPr>
  </w:style>
  <w:style w:type="character" w:customStyle="1" w:styleId="168">
    <w:name w:val="font231"/>
    <w:basedOn w:val="80"/>
    <w:qFormat/>
    <w:uiPriority w:val="0"/>
    <w:rPr>
      <w:rFonts w:hint="eastAsia" w:ascii="ABCDEE+宋体" w:eastAsia="ABCDEE+宋体"/>
      <w:color w:val="000000"/>
      <w:sz w:val="18"/>
      <w:szCs w:val="18"/>
      <w:u w:val="none"/>
    </w:rPr>
  </w:style>
  <w:style w:type="paragraph" w:customStyle="1" w:styleId="169">
    <w:name w:val="段落0"/>
    <w:basedOn w:val="70"/>
    <w:link w:val="170"/>
    <w:qFormat/>
    <w:uiPriority w:val="0"/>
    <w:pPr>
      <w:widowControl/>
      <w:snapToGrid w:val="0"/>
      <w:spacing w:beforeAutospacing="0" w:afterAutospacing="0" w:line="360" w:lineRule="auto"/>
      <w:ind w:firstLine="200" w:firstLineChars="200"/>
    </w:pPr>
    <w:rPr>
      <w:rFonts w:ascii="华文细黑" w:hAnsi="华文细黑" w:eastAsia="华文细黑"/>
      <w:bCs/>
      <w:color w:val="000000"/>
      <w:lang w:val="zh-CN"/>
    </w:rPr>
  </w:style>
  <w:style w:type="character" w:customStyle="1" w:styleId="170">
    <w:name w:val="段落0 Char"/>
    <w:link w:val="169"/>
    <w:qFormat/>
    <w:uiPriority w:val="0"/>
    <w:rPr>
      <w:rFonts w:ascii="华文细黑" w:hAnsi="华文细黑" w:eastAsia="华文细黑" w:cs="Times New Roman"/>
      <w:bCs/>
      <w:color w:val="000000"/>
      <w:kern w:val="0"/>
      <w:sz w:val="24"/>
      <w:szCs w:val="24"/>
      <w:lang w:val="zh-CN" w:eastAsia="zh-CN"/>
    </w:rPr>
  </w:style>
  <w:style w:type="table" w:customStyle="1" w:styleId="171">
    <w:name w:val="网格型3"/>
    <w:basedOn w:val="7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72">
    <w:name w:val="0正文 Char"/>
    <w:link w:val="173"/>
    <w:qFormat/>
    <w:uiPriority w:val="0"/>
    <w:rPr>
      <w:rFonts w:ascii="仿宋_GB2312" w:hAnsi="ˎ̥" w:eastAsia="仿宋_GB2312"/>
      <w:color w:val="000000"/>
      <w:sz w:val="28"/>
      <w:szCs w:val="28"/>
    </w:rPr>
  </w:style>
  <w:style w:type="paragraph" w:customStyle="1" w:styleId="173">
    <w:name w:val="0正文"/>
    <w:basedOn w:val="1"/>
    <w:link w:val="172"/>
    <w:qFormat/>
    <w:uiPriority w:val="0"/>
    <w:pPr>
      <w:adjustRightInd w:val="0"/>
      <w:snapToGrid w:val="0"/>
    </w:pPr>
    <w:rPr>
      <w:rFonts w:ascii="仿宋_GB2312" w:hAnsi="ˎ̥" w:eastAsia="仿宋_GB2312"/>
      <w:color w:val="000000"/>
    </w:rPr>
  </w:style>
  <w:style w:type="character" w:customStyle="1" w:styleId="174">
    <w:name w:val="图表标题 Char"/>
    <w:link w:val="175"/>
    <w:qFormat/>
    <w:locked/>
    <w:uiPriority w:val="0"/>
    <w:rPr>
      <w:rFonts w:ascii="仿宋_GB2312" w:hAnsi="华文细黑" w:eastAsia="仿宋"/>
      <w:sz w:val="24"/>
      <w:lang w:val="zh-CN" w:eastAsia="zh-CN"/>
    </w:rPr>
  </w:style>
  <w:style w:type="paragraph" w:customStyle="1" w:styleId="175">
    <w:name w:val="图表标题"/>
    <w:basedOn w:val="1"/>
    <w:link w:val="174"/>
    <w:qFormat/>
    <w:uiPriority w:val="0"/>
    <w:pPr>
      <w:ind w:firstLine="560"/>
      <w:jc w:val="center"/>
    </w:pPr>
    <w:rPr>
      <w:rFonts w:ascii="仿宋_GB2312" w:hAnsi="华文细黑"/>
      <w:sz w:val="24"/>
      <w:szCs w:val="22"/>
      <w:lang w:val="zh-CN"/>
    </w:rPr>
  </w:style>
  <w:style w:type="table" w:customStyle="1" w:styleId="176">
    <w:name w:val="网格型4"/>
    <w:basedOn w:val="7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77">
    <w:name w:val="正文文本 字符"/>
    <w:basedOn w:val="80"/>
    <w:link w:val="28"/>
    <w:qFormat/>
    <w:uiPriority w:val="99"/>
    <w:rPr>
      <w:rFonts w:ascii="Times New Roman" w:hAnsi="Times New Roman" w:eastAsia="华文楷体"/>
      <w:sz w:val="28"/>
    </w:rPr>
  </w:style>
  <w:style w:type="paragraph" w:customStyle="1" w:styleId="178">
    <w:name w:val="文3"/>
    <w:basedOn w:val="1"/>
    <w:qFormat/>
    <w:uiPriority w:val="99"/>
    <w:pPr>
      <w:widowControl/>
      <w:numPr>
        <w:ilvl w:val="2"/>
        <w:numId w:val="3"/>
      </w:numPr>
      <w:adjustRightInd w:val="0"/>
      <w:spacing w:line="500" w:lineRule="atLeast"/>
      <w:ind w:firstLineChars="0"/>
      <w:jc w:val="left"/>
      <w:textAlignment w:val="baseline"/>
    </w:pPr>
    <w:rPr>
      <w:rFonts w:eastAsia="宋体" w:cs="宋体"/>
      <w:kern w:val="0"/>
      <w:szCs w:val="20"/>
    </w:rPr>
  </w:style>
  <w:style w:type="paragraph" w:customStyle="1" w:styleId="179">
    <w:name w:val="Default"/>
    <w:qFormat/>
    <w:uiPriority w:val="99"/>
    <w:pPr>
      <w:widowControl w:val="0"/>
      <w:autoSpaceDE w:val="0"/>
      <w:autoSpaceDN w:val="0"/>
      <w:adjustRightInd w:val="0"/>
    </w:pPr>
    <w:rPr>
      <w:rFonts w:ascii="宋体" w:eastAsia="宋体" w:cs="宋体" w:hAnsiTheme="minorHAnsi"/>
      <w:color w:val="000000"/>
      <w:sz w:val="24"/>
      <w:szCs w:val="24"/>
      <w:lang w:val="en-US" w:eastAsia="zh-CN" w:bidi="ar-SA"/>
    </w:rPr>
  </w:style>
  <w:style w:type="paragraph" w:customStyle="1" w:styleId="180">
    <w:name w:val="DG可靠性-正文"/>
    <w:basedOn w:val="1"/>
    <w:qFormat/>
    <w:uiPriority w:val="99"/>
    <w:pPr>
      <w:widowControl/>
      <w:spacing w:before="120" w:after="120"/>
      <w:jc w:val="center"/>
    </w:pPr>
    <w:rPr>
      <w:rFonts w:eastAsia="宋体" w:cs="Times New Roman"/>
      <w:sz w:val="24"/>
      <w:szCs w:val="20"/>
    </w:rPr>
  </w:style>
  <w:style w:type="character" w:customStyle="1" w:styleId="181">
    <w:name w:val="正文3 Char Char"/>
    <w:link w:val="182"/>
    <w:qFormat/>
    <w:uiPriority w:val="0"/>
  </w:style>
  <w:style w:type="paragraph" w:customStyle="1" w:styleId="182">
    <w:name w:val="正文3"/>
    <w:link w:val="181"/>
    <w:qFormat/>
    <w:uiPriority w:val="0"/>
    <w:pPr>
      <w:jc w:val="both"/>
      <w:outlineLvl w:val="2"/>
    </w:pPr>
    <w:rPr>
      <w:rFonts w:asciiTheme="minorHAnsi" w:hAnsiTheme="minorHAnsi" w:eastAsiaTheme="minorEastAsia" w:cstheme="minorBidi"/>
      <w:kern w:val="2"/>
      <w:sz w:val="21"/>
      <w:szCs w:val="22"/>
      <w:lang w:val="en-US" w:eastAsia="zh-CN" w:bidi="ar-SA"/>
    </w:rPr>
  </w:style>
  <w:style w:type="character" w:customStyle="1" w:styleId="183">
    <w:name w:val="font251"/>
    <w:basedOn w:val="80"/>
    <w:qFormat/>
    <w:uiPriority w:val="0"/>
    <w:rPr>
      <w:rFonts w:hint="eastAsia" w:ascii="等线" w:hAnsi="等线" w:eastAsia="等线"/>
      <w:color w:val="000000"/>
      <w:sz w:val="21"/>
      <w:szCs w:val="21"/>
      <w:u w:val="none"/>
    </w:rPr>
  </w:style>
  <w:style w:type="character" w:customStyle="1" w:styleId="184">
    <w:name w:val="font241"/>
    <w:basedOn w:val="80"/>
    <w:qFormat/>
    <w:uiPriority w:val="0"/>
    <w:rPr>
      <w:rFonts w:hint="eastAsia" w:ascii="仿宋_GB2312" w:eastAsia="仿宋_GB2312"/>
      <w:color w:val="000000"/>
      <w:sz w:val="21"/>
      <w:szCs w:val="21"/>
      <w:u w:val="none"/>
    </w:rPr>
  </w:style>
  <w:style w:type="paragraph" w:customStyle="1" w:styleId="185">
    <w:name w:val="样式2"/>
    <w:basedOn w:val="141"/>
    <w:qFormat/>
    <w:uiPriority w:val="99"/>
    <w:pPr>
      <w:ind w:left="-426" w:hanging="708"/>
    </w:pPr>
  </w:style>
  <w:style w:type="paragraph" w:customStyle="1" w:styleId="186">
    <w:name w:val="样式3"/>
    <w:basedOn w:val="5"/>
    <w:link w:val="526"/>
    <w:qFormat/>
    <w:uiPriority w:val="0"/>
    <w:pPr>
      <w:numPr>
        <w:ilvl w:val="0"/>
        <w:numId w:val="0"/>
      </w:numPr>
      <w:snapToGrid w:val="0"/>
      <w:spacing w:before="280" w:beforeLines="50" w:after="290" w:afterLines="50"/>
      <w:ind w:left="709" w:hanging="709"/>
    </w:pPr>
    <w:rPr>
      <w:rFonts w:ascii="Cambria" w:hAnsi="Cambria" w:eastAsia="宋体" w:cs="Times New Roman"/>
      <w:kern w:val="0"/>
      <w:lang w:val="zh-CN"/>
    </w:rPr>
  </w:style>
  <w:style w:type="character" w:styleId="187">
    <w:name w:val="Placeholder Text"/>
    <w:semiHidden/>
    <w:qFormat/>
    <w:uiPriority w:val="99"/>
    <w:rPr>
      <w:color w:val="808080"/>
    </w:rPr>
  </w:style>
  <w:style w:type="paragraph" w:customStyle="1" w:styleId="188">
    <w:name w:val="Char Char Char Char Char Char Char Char Char Char Char Char Char Char Char Char Char Char Char Char Char Char Char Char Char"/>
    <w:basedOn w:val="1"/>
    <w:qFormat/>
    <w:uiPriority w:val="99"/>
    <w:pPr>
      <w:widowControl/>
    </w:pPr>
    <w:rPr>
      <w:rFonts w:eastAsia="仿宋_GB2312" w:cs="Times New Roman"/>
      <w:sz w:val="24"/>
      <w:szCs w:val="24"/>
    </w:rPr>
  </w:style>
  <w:style w:type="paragraph" w:customStyle="1" w:styleId="189">
    <w:name w:val="正文表格文字-竖排"/>
    <w:basedOn w:val="1"/>
    <w:qFormat/>
    <w:uiPriority w:val="99"/>
    <w:pPr>
      <w:widowControl/>
      <w:adjustRightInd w:val="0"/>
      <w:snapToGrid w:val="0"/>
      <w:spacing w:line="480" w:lineRule="auto"/>
      <w:ind w:left="-13" w:leftChars="-13"/>
      <w:jc w:val="center"/>
    </w:pPr>
    <w:rPr>
      <w:rFonts w:eastAsia="仿宋_GB2312" w:cs="Times New Roman"/>
      <w:kern w:val="24"/>
      <w:sz w:val="24"/>
      <w:szCs w:val="24"/>
    </w:rPr>
  </w:style>
  <w:style w:type="paragraph" w:styleId="190">
    <w:name w:val="No Spacing"/>
    <w:qFormat/>
    <w:uiPriority w:val="1"/>
    <w:pPr>
      <w:widowControl w:val="0"/>
      <w:spacing w:line="480" w:lineRule="auto"/>
      <w:ind w:firstLine="200" w:firstLineChars="200"/>
      <w:jc w:val="both"/>
    </w:pPr>
    <w:rPr>
      <w:rFonts w:ascii="Calibri" w:hAnsi="Calibri" w:eastAsia="宋体" w:cs="Times New Roman"/>
      <w:kern w:val="2"/>
      <w:sz w:val="21"/>
      <w:szCs w:val="22"/>
      <w:lang w:val="en-US" w:eastAsia="zh-CN" w:bidi="ar-SA"/>
    </w:rPr>
  </w:style>
  <w:style w:type="paragraph" w:customStyle="1" w:styleId="191">
    <w:name w:val="默认段落字体 Para Char"/>
    <w:basedOn w:val="1"/>
    <w:qFormat/>
    <w:uiPriority w:val="99"/>
    <w:pPr>
      <w:widowControl/>
      <w:spacing w:line="400" w:lineRule="exact"/>
    </w:pPr>
    <w:rPr>
      <w:rFonts w:eastAsia="仿宋_GB2312" w:cs="Times New Roman"/>
      <w:kern w:val="24"/>
      <w:sz w:val="24"/>
      <w:szCs w:val="24"/>
    </w:rPr>
  </w:style>
  <w:style w:type="paragraph" w:customStyle="1" w:styleId="192">
    <w:name w:val="font5"/>
    <w:basedOn w:val="1"/>
    <w:qFormat/>
    <w:uiPriority w:val="0"/>
    <w:pPr>
      <w:widowControl/>
      <w:spacing w:before="100" w:beforeAutospacing="1" w:after="100" w:afterAutospacing="1" w:line="480" w:lineRule="auto"/>
      <w:jc w:val="left"/>
    </w:pPr>
    <w:rPr>
      <w:rFonts w:eastAsia="仿宋_GB2312" w:cs="Times New Roman"/>
      <w:color w:val="000000"/>
      <w:kern w:val="0"/>
      <w:sz w:val="22"/>
    </w:rPr>
  </w:style>
  <w:style w:type="paragraph" w:customStyle="1" w:styleId="193">
    <w:name w:val="font6"/>
    <w:basedOn w:val="1"/>
    <w:qFormat/>
    <w:uiPriority w:val="0"/>
    <w:pPr>
      <w:widowControl/>
      <w:spacing w:before="100" w:beforeAutospacing="1" w:after="100" w:afterAutospacing="1" w:line="480" w:lineRule="auto"/>
      <w:jc w:val="left"/>
    </w:pPr>
    <w:rPr>
      <w:rFonts w:ascii="宋体" w:hAnsi="宋体" w:eastAsia="仿宋_GB2312" w:cs="宋体"/>
      <w:color w:val="000000"/>
      <w:kern w:val="0"/>
      <w:sz w:val="22"/>
    </w:rPr>
  </w:style>
  <w:style w:type="paragraph" w:customStyle="1" w:styleId="194">
    <w:name w:val="font7"/>
    <w:basedOn w:val="1"/>
    <w:qFormat/>
    <w:uiPriority w:val="99"/>
    <w:pPr>
      <w:widowControl/>
      <w:spacing w:before="100" w:beforeAutospacing="1" w:after="100" w:afterAutospacing="1" w:line="480" w:lineRule="auto"/>
      <w:jc w:val="left"/>
    </w:pPr>
    <w:rPr>
      <w:rFonts w:ascii="宋体" w:hAnsi="宋体" w:eastAsia="仿宋_GB2312" w:cs="宋体"/>
      <w:kern w:val="0"/>
      <w:sz w:val="18"/>
      <w:szCs w:val="18"/>
    </w:rPr>
  </w:style>
  <w:style w:type="paragraph" w:customStyle="1" w:styleId="195">
    <w:name w:val="font8"/>
    <w:basedOn w:val="1"/>
    <w:qFormat/>
    <w:uiPriority w:val="99"/>
    <w:pPr>
      <w:widowControl/>
      <w:spacing w:before="100" w:beforeAutospacing="1" w:after="100" w:afterAutospacing="1" w:line="480" w:lineRule="auto"/>
      <w:jc w:val="left"/>
    </w:pPr>
    <w:rPr>
      <w:rFonts w:eastAsia="仿宋_GB2312" w:cs="Times New Roman"/>
      <w:kern w:val="0"/>
      <w:sz w:val="22"/>
    </w:rPr>
  </w:style>
  <w:style w:type="paragraph" w:customStyle="1" w:styleId="196">
    <w:name w:val="font9"/>
    <w:basedOn w:val="1"/>
    <w:qFormat/>
    <w:uiPriority w:val="99"/>
    <w:pPr>
      <w:widowControl/>
      <w:spacing w:before="100" w:beforeAutospacing="1" w:after="100" w:afterAutospacing="1" w:line="480" w:lineRule="auto"/>
      <w:jc w:val="left"/>
    </w:pPr>
    <w:rPr>
      <w:rFonts w:ascii="宋体" w:hAnsi="宋体" w:eastAsia="仿宋_GB2312" w:cs="宋体"/>
      <w:kern w:val="0"/>
      <w:sz w:val="22"/>
    </w:rPr>
  </w:style>
  <w:style w:type="paragraph" w:customStyle="1" w:styleId="197">
    <w:name w:val="xl63"/>
    <w:basedOn w:val="1"/>
    <w:qFormat/>
    <w:uiPriority w:val="99"/>
    <w:pPr>
      <w:widowControl/>
      <w:pBdr>
        <w:top w:val="single" w:color="auto" w:sz="4" w:space="0"/>
        <w:left w:val="single" w:color="auto" w:sz="4" w:space="0"/>
        <w:bottom w:val="single" w:color="auto" w:sz="4" w:space="0"/>
        <w:right w:val="single" w:color="auto" w:sz="4" w:space="0"/>
      </w:pBdr>
      <w:shd w:val="clear" w:color="000000" w:fill="C2D69A"/>
      <w:spacing w:before="100" w:beforeAutospacing="1" w:after="100" w:afterAutospacing="1" w:line="480" w:lineRule="auto"/>
      <w:jc w:val="center"/>
    </w:pPr>
    <w:rPr>
      <w:rFonts w:eastAsia="仿宋_GB2312" w:cs="Times New Roman"/>
      <w:kern w:val="0"/>
      <w:sz w:val="24"/>
      <w:szCs w:val="24"/>
    </w:rPr>
  </w:style>
  <w:style w:type="paragraph" w:customStyle="1" w:styleId="198">
    <w:name w:val="xl64"/>
    <w:basedOn w:val="1"/>
    <w:qFormat/>
    <w:uiPriority w:val="99"/>
    <w:pPr>
      <w:widowControl/>
      <w:pBdr>
        <w:top w:val="single" w:color="auto" w:sz="4" w:space="0"/>
        <w:left w:val="single" w:color="auto" w:sz="4" w:space="0"/>
        <w:bottom w:val="single" w:color="auto" w:sz="4" w:space="0"/>
        <w:right w:val="single" w:color="auto" w:sz="4" w:space="0"/>
      </w:pBdr>
      <w:shd w:val="clear" w:color="000000" w:fill="C2D69A"/>
      <w:spacing w:before="100" w:beforeAutospacing="1" w:after="100" w:afterAutospacing="1" w:line="480" w:lineRule="auto"/>
      <w:jc w:val="center"/>
    </w:pPr>
    <w:rPr>
      <w:rFonts w:ascii="宋体" w:hAnsi="宋体" w:eastAsia="仿宋_GB2312" w:cs="宋体"/>
      <w:kern w:val="0"/>
      <w:sz w:val="24"/>
      <w:szCs w:val="24"/>
    </w:rPr>
  </w:style>
  <w:style w:type="paragraph" w:customStyle="1" w:styleId="199">
    <w:name w:val="xl65"/>
    <w:basedOn w:val="1"/>
    <w:qFormat/>
    <w:uiPriority w:val="99"/>
    <w:pPr>
      <w:widowControl/>
      <w:pBdr>
        <w:top w:val="single" w:color="auto" w:sz="4" w:space="0"/>
        <w:left w:val="single" w:color="auto" w:sz="4" w:space="0"/>
        <w:bottom w:val="single" w:color="auto" w:sz="4" w:space="0"/>
        <w:right w:val="single" w:color="auto" w:sz="4" w:space="0"/>
      </w:pBdr>
      <w:shd w:val="clear" w:color="000000" w:fill="8DB4E3"/>
      <w:spacing w:before="100" w:beforeAutospacing="1" w:after="100" w:afterAutospacing="1" w:line="480" w:lineRule="auto"/>
      <w:jc w:val="left"/>
    </w:pPr>
    <w:rPr>
      <w:rFonts w:eastAsia="仿宋_GB2312" w:cs="Times New Roman"/>
      <w:kern w:val="0"/>
      <w:sz w:val="24"/>
      <w:szCs w:val="24"/>
    </w:rPr>
  </w:style>
  <w:style w:type="paragraph" w:customStyle="1" w:styleId="200">
    <w:name w:val="xl66"/>
    <w:basedOn w:val="1"/>
    <w:qFormat/>
    <w:uiPriority w:val="99"/>
    <w:pPr>
      <w:widowControl/>
      <w:pBdr>
        <w:top w:val="single" w:color="auto" w:sz="4" w:space="0"/>
        <w:left w:val="single" w:color="auto" w:sz="4" w:space="0"/>
        <w:bottom w:val="single" w:color="auto" w:sz="4" w:space="0"/>
        <w:right w:val="single" w:color="auto" w:sz="4" w:space="0"/>
      </w:pBdr>
      <w:shd w:val="clear" w:color="000000" w:fill="8DB4E3"/>
      <w:spacing w:before="100" w:beforeAutospacing="1" w:after="100" w:afterAutospacing="1" w:line="480" w:lineRule="auto"/>
      <w:jc w:val="center"/>
    </w:pPr>
    <w:rPr>
      <w:rFonts w:eastAsia="仿宋_GB2312" w:cs="Times New Roman"/>
      <w:kern w:val="0"/>
      <w:sz w:val="24"/>
      <w:szCs w:val="24"/>
    </w:rPr>
  </w:style>
  <w:style w:type="paragraph" w:customStyle="1" w:styleId="201">
    <w:name w:val="xl67"/>
    <w:basedOn w:val="1"/>
    <w:qFormat/>
    <w:uiPriority w:val="99"/>
    <w:pPr>
      <w:widowControl/>
      <w:pBdr>
        <w:top w:val="single" w:color="auto" w:sz="4" w:space="0"/>
        <w:left w:val="single" w:color="auto" w:sz="4" w:space="0"/>
        <w:bottom w:val="single" w:color="auto" w:sz="4" w:space="0"/>
        <w:right w:val="single" w:color="auto" w:sz="4" w:space="0"/>
      </w:pBdr>
      <w:shd w:val="clear" w:color="000000" w:fill="8DB4E3"/>
      <w:spacing w:before="100" w:beforeAutospacing="1" w:after="100" w:afterAutospacing="1" w:line="480" w:lineRule="auto"/>
      <w:jc w:val="center"/>
    </w:pPr>
    <w:rPr>
      <w:rFonts w:eastAsia="仿宋_GB2312" w:cs="Times New Roman"/>
      <w:kern w:val="0"/>
      <w:sz w:val="24"/>
      <w:szCs w:val="24"/>
    </w:rPr>
  </w:style>
  <w:style w:type="paragraph" w:customStyle="1" w:styleId="202">
    <w:name w:val="xl68"/>
    <w:basedOn w:val="1"/>
    <w:qFormat/>
    <w:uiPriority w:val="99"/>
    <w:pPr>
      <w:widowControl/>
      <w:pBdr>
        <w:top w:val="single" w:color="auto" w:sz="4" w:space="0"/>
        <w:left w:val="single" w:color="auto" w:sz="4" w:space="0"/>
        <w:bottom w:val="single" w:color="auto" w:sz="4" w:space="0"/>
        <w:right w:val="single" w:color="auto" w:sz="4" w:space="0"/>
      </w:pBdr>
      <w:shd w:val="clear" w:color="000000" w:fill="D8D8D8"/>
      <w:spacing w:before="100" w:beforeAutospacing="1" w:after="100" w:afterAutospacing="1" w:line="480" w:lineRule="auto"/>
      <w:jc w:val="left"/>
    </w:pPr>
    <w:rPr>
      <w:rFonts w:eastAsia="仿宋_GB2312" w:cs="Times New Roman"/>
      <w:kern w:val="0"/>
      <w:sz w:val="24"/>
      <w:szCs w:val="24"/>
    </w:rPr>
  </w:style>
  <w:style w:type="paragraph" w:customStyle="1" w:styleId="203">
    <w:name w:val="xl69"/>
    <w:basedOn w:val="1"/>
    <w:qFormat/>
    <w:uiPriority w:val="0"/>
    <w:pPr>
      <w:widowControl/>
      <w:pBdr>
        <w:top w:val="single" w:color="auto" w:sz="4" w:space="0"/>
        <w:left w:val="single" w:color="auto" w:sz="4" w:space="0"/>
        <w:bottom w:val="single" w:color="auto" w:sz="4" w:space="0"/>
        <w:right w:val="single" w:color="auto" w:sz="4" w:space="0"/>
      </w:pBdr>
      <w:shd w:val="clear" w:color="000000" w:fill="D8D8D8"/>
      <w:spacing w:before="100" w:beforeAutospacing="1" w:after="100" w:afterAutospacing="1" w:line="480" w:lineRule="auto"/>
      <w:jc w:val="center"/>
    </w:pPr>
    <w:rPr>
      <w:rFonts w:eastAsia="仿宋_GB2312" w:cs="Times New Roman"/>
      <w:kern w:val="0"/>
      <w:sz w:val="24"/>
      <w:szCs w:val="24"/>
    </w:rPr>
  </w:style>
  <w:style w:type="paragraph" w:customStyle="1" w:styleId="204">
    <w:name w:val="xl70"/>
    <w:basedOn w:val="1"/>
    <w:qFormat/>
    <w:uiPriority w:val="0"/>
    <w:pPr>
      <w:widowControl/>
      <w:pBdr>
        <w:top w:val="single" w:color="auto" w:sz="4" w:space="0"/>
        <w:left w:val="single" w:color="auto" w:sz="4" w:space="0"/>
        <w:bottom w:val="single" w:color="auto" w:sz="4" w:space="0"/>
        <w:right w:val="single" w:color="auto" w:sz="4" w:space="0"/>
      </w:pBdr>
      <w:shd w:val="clear" w:color="000000" w:fill="D8D8D8"/>
      <w:spacing w:before="100" w:beforeAutospacing="1" w:after="100" w:afterAutospacing="1" w:line="480" w:lineRule="auto"/>
      <w:jc w:val="center"/>
    </w:pPr>
    <w:rPr>
      <w:rFonts w:eastAsia="仿宋_GB2312" w:cs="Times New Roman"/>
      <w:kern w:val="0"/>
      <w:sz w:val="24"/>
      <w:szCs w:val="24"/>
    </w:rPr>
  </w:style>
  <w:style w:type="paragraph" w:customStyle="1" w:styleId="205">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left"/>
    </w:pPr>
    <w:rPr>
      <w:rFonts w:eastAsia="仿宋_GB2312" w:cs="Times New Roman"/>
      <w:kern w:val="0"/>
      <w:sz w:val="24"/>
      <w:szCs w:val="24"/>
    </w:rPr>
  </w:style>
  <w:style w:type="paragraph" w:customStyle="1" w:styleId="206">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center"/>
    </w:pPr>
    <w:rPr>
      <w:rFonts w:eastAsia="仿宋_GB2312" w:cs="Times New Roman"/>
      <w:kern w:val="0"/>
      <w:sz w:val="24"/>
      <w:szCs w:val="24"/>
    </w:rPr>
  </w:style>
  <w:style w:type="paragraph" w:customStyle="1" w:styleId="207">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center"/>
    </w:pPr>
    <w:rPr>
      <w:rFonts w:eastAsia="仿宋_GB2312" w:cs="Times New Roman"/>
      <w:kern w:val="0"/>
      <w:sz w:val="24"/>
      <w:szCs w:val="24"/>
    </w:rPr>
  </w:style>
  <w:style w:type="paragraph" w:customStyle="1" w:styleId="208">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center"/>
    </w:pPr>
    <w:rPr>
      <w:rFonts w:ascii="宋体" w:hAnsi="宋体" w:eastAsia="仿宋_GB2312" w:cs="宋体"/>
      <w:kern w:val="0"/>
      <w:sz w:val="24"/>
      <w:szCs w:val="24"/>
    </w:rPr>
  </w:style>
  <w:style w:type="paragraph" w:customStyle="1" w:styleId="209">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center"/>
    </w:pPr>
    <w:rPr>
      <w:rFonts w:eastAsia="仿宋_GB2312" w:cs="Times New Roman"/>
      <w:kern w:val="0"/>
      <w:sz w:val="24"/>
      <w:szCs w:val="24"/>
    </w:rPr>
  </w:style>
  <w:style w:type="paragraph" w:customStyle="1" w:styleId="210">
    <w:name w:val="xl76"/>
    <w:basedOn w:val="1"/>
    <w:qFormat/>
    <w:uiPriority w:val="0"/>
    <w:pPr>
      <w:widowControl/>
      <w:pBdr>
        <w:top w:val="single" w:color="auto" w:sz="4" w:space="0"/>
        <w:left w:val="single" w:color="auto" w:sz="4" w:space="0"/>
        <w:bottom w:val="single" w:color="auto" w:sz="4" w:space="0"/>
        <w:right w:val="single" w:color="auto" w:sz="4" w:space="0"/>
      </w:pBdr>
      <w:shd w:val="clear" w:color="000000" w:fill="D8D8D8"/>
      <w:spacing w:before="100" w:beforeAutospacing="1" w:after="100" w:afterAutospacing="1" w:line="480" w:lineRule="auto"/>
      <w:jc w:val="center"/>
    </w:pPr>
    <w:rPr>
      <w:rFonts w:ascii="宋体" w:hAnsi="宋体" w:eastAsia="仿宋_GB2312" w:cs="宋体"/>
      <w:kern w:val="0"/>
      <w:sz w:val="24"/>
      <w:szCs w:val="24"/>
    </w:rPr>
  </w:style>
  <w:style w:type="paragraph" w:customStyle="1" w:styleId="211">
    <w:name w:val="xl77"/>
    <w:basedOn w:val="1"/>
    <w:qFormat/>
    <w:uiPriority w:val="0"/>
    <w:pPr>
      <w:widowControl/>
      <w:pBdr>
        <w:top w:val="single" w:color="auto" w:sz="4" w:space="0"/>
        <w:left w:val="single" w:color="auto" w:sz="4" w:space="0"/>
        <w:bottom w:val="single" w:color="auto" w:sz="4" w:space="0"/>
        <w:right w:val="single" w:color="auto" w:sz="4" w:space="0"/>
      </w:pBdr>
      <w:shd w:val="clear" w:color="000000" w:fill="D8D8D8"/>
      <w:spacing w:before="100" w:beforeAutospacing="1" w:after="100" w:afterAutospacing="1" w:line="480" w:lineRule="auto"/>
      <w:jc w:val="center"/>
    </w:pPr>
    <w:rPr>
      <w:rFonts w:ascii="宋体" w:hAnsi="宋体" w:eastAsia="仿宋_GB2312" w:cs="宋体"/>
      <w:kern w:val="0"/>
      <w:sz w:val="24"/>
      <w:szCs w:val="24"/>
    </w:rPr>
  </w:style>
  <w:style w:type="paragraph" w:customStyle="1" w:styleId="212">
    <w:name w:val="xl78"/>
    <w:basedOn w:val="1"/>
    <w:qFormat/>
    <w:uiPriority w:val="0"/>
    <w:pPr>
      <w:widowControl/>
      <w:pBdr>
        <w:top w:val="single" w:color="auto" w:sz="4" w:space="0"/>
        <w:left w:val="single" w:color="auto" w:sz="4" w:space="0"/>
        <w:bottom w:val="single" w:color="auto" w:sz="4" w:space="0"/>
        <w:right w:val="single" w:color="auto" w:sz="4" w:space="0"/>
      </w:pBdr>
      <w:shd w:val="clear" w:color="000000" w:fill="8DB4E3"/>
      <w:spacing w:before="100" w:beforeAutospacing="1" w:after="100" w:afterAutospacing="1" w:line="480" w:lineRule="auto"/>
      <w:jc w:val="center"/>
    </w:pPr>
    <w:rPr>
      <w:rFonts w:ascii="宋体" w:hAnsi="宋体" w:eastAsia="仿宋_GB2312" w:cs="宋体"/>
      <w:kern w:val="0"/>
      <w:sz w:val="24"/>
      <w:szCs w:val="24"/>
    </w:rPr>
  </w:style>
  <w:style w:type="paragraph" w:customStyle="1" w:styleId="213">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center"/>
    </w:pPr>
    <w:rPr>
      <w:rFonts w:ascii="宋体" w:hAnsi="宋体" w:eastAsia="仿宋_GB2312" w:cs="宋体"/>
      <w:kern w:val="0"/>
      <w:sz w:val="24"/>
      <w:szCs w:val="24"/>
    </w:rPr>
  </w:style>
  <w:style w:type="paragraph" w:customStyle="1" w:styleId="214">
    <w:name w:val="xl80"/>
    <w:basedOn w:val="1"/>
    <w:qFormat/>
    <w:uiPriority w:val="0"/>
    <w:pPr>
      <w:widowControl/>
      <w:spacing w:before="100" w:beforeAutospacing="1" w:after="100" w:afterAutospacing="1" w:line="480" w:lineRule="auto"/>
      <w:jc w:val="left"/>
    </w:pPr>
    <w:rPr>
      <w:rFonts w:eastAsia="仿宋_GB2312" w:cs="Times New Roman"/>
      <w:kern w:val="0"/>
      <w:sz w:val="24"/>
      <w:szCs w:val="24"/>
    </w:rPr>
  </w:style>
  <w:style w:type="paragraph" w:customStyle="1" w:styleId="215">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left"/>
    </w:pPr>
    <w:rPr>
      <w:rFonts w:eastAsia="仿宋_GB2312" w:cs="Times New Roman"/>
      <w:kern w:val="0"/>
      <w:sz w:val="24"/>
      <w:szCs w:val="24"/>
    </w:rPr>
  </w:style>
  <w:style w:type="paragraph" w:customStyle="1" w:styleId="216">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center"/>
    </w:pPr>
    <w:rPr>
      <w:rFonts w:ascii="宋体" w:hAnsi="宋体" w:eastAsia="仿宋_GB2312" w:cs="宋体"/>
      <w:kern w:val="0"/>
      <w:sz w:val="24"/>
      <w:szCs w:val="24"/>
    </w:rPr>
  </w:style>
  <w:style w:type="paragraph" w:customStyle="1" w:styleId="217">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CD5B4"/>
      <w:spacing w:before="100" w:beforeAutospacing="1" w:after="100" w:afterAutospacing="1" w:line="480" w:lineRule="auto"/>
      <w:jc w:val="left"/>
    </w:pPr>
    <w:rPr>
      <w:rFonts w:ascii="宋体" w:hAnsi="宋体" w:eastAsia="仿宋_GB2312" w:cs="宋体"/>
      <w:kern w:val="0"/>
      <w:sz w:val="24"/>
      <w:szCs w:val="24"/>
    </w:rPr>
  </w:style>
  <w:style w:type="paragraph" w:customStyle="1" w:styleId="218">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CD5B4"/>
      <w:spacing w:before="100" w:beforeAutospacing="1" w:after="100" w:afterAutospacing="1" w:line="480" w:lineRule="auto"/>
      <w:jc w:val="left"/>
    </w:pPr>
    <w:rPr>
      <w:rFonts w:eastAsia="仿宋_GB2312" w:cs="Times New Roman"/>
      <w:kern w:val="0"/>
      <w:sz w:val="24"/>
      <w:szCs w:val="24"/>
    </w:rPr>
  </w:style>
  <w:style w:type="paragraph" w:customStyle="1" w:styleId="219">
    <w:name w:val="xl85"/>
    <w:basedOn w:val="1"/>
    <w:qFormat/>
    <w:uiPriority w:val="0"/>
    <w:pPr>
      <w:widowControl/>
      <w:pBdr>
        <w:top w:val="single" w:color="auto" w:sz="4" w:space="0"/>
        <w:left w:val="single" w:color="auto" w:sz="4" w:space="0"/>
        <w:bottom w:val="single" w:color="auto" w:sz="4" w:space="0"/>
        <w:right w:val="single" w:color="auto" w:sz="4" w:space="0"/>
      </w:pBdr>
      <w:shd w:val="clear" w:color="000000" w:fill="FCD5B4"/>
      <w:spacing w:before="100" w:beforeAutospacing="1" w:after="100" w:afterAutospacing="1" w:line="480" w:lineRule="auto"/>
      <w:jc w:val="center"/>
    </w:pPr>
    <w:rPr>
      <w:rFonts w:eastAsia="仿宋_GB2312" w:cs="Times New Roman"/>
      <w:kern w:val="0"/>
      <w:sz w:val="24"/>
      <w:szCs w:val="24"/>
    </w:rPr>
  </w:style>
  <w:style w:type="paragraph" w:customStyle="1" w:styleId="220">
    <w:name w:val="xl86"/>
    <w:basedOn w:val="1"/>
    <w:qFormat/>
    <w:uiPriority w:val="0"/>
    <w:pPr>
      <w:widowControl/>
      <w:pBdr>
        <w:top w:val="single" w:color="auto" w:sz="4" w:space="0"/>
        <w:left w:val="single" w:color="auto" w:sz="4" w:space="0"/>
        <w:bottom w:val="single" w:color="auto" w:sz="4" w:space="0"/>
        <w:right w:val="single" w:color="auto" w:sz="4" w:space="0"/>
      </w:pBdr>
      <w:shd w:val="clear" w:color="000000" w:fill="C2D69A"/>
      <w:spacing w:before="100" w:beforeAutospacing="1" w:after="100" w:afterAutospacing="1" w:line="480" w:lineRule="auto"/>
      <w:jc w:val="left"/>
    </w:pPr>
    <w:rPr>
      <w:rFonts w:ascii="宋体" w:hAnsi="宋体" w:eastAsia="仿宋_GB2312" w:cs="宋体"/>
      <w:kern w:val="0"/>
      <w:sz w:val="24"/>
      <w:szCs w:val="24"/>
    </w:rPr>
  </w:style>
  <w:style w:type="paragraph" w:customStyle="1" w:styleId="221">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8DB4E3"/>
      <w:spacing w:before="100" w:beforeAutospacing="1" w:after="100" w:afterAutospacing="1" w:line="480" w:lineRule="auto"/>
      <w:jc w:val="left"/>
    </w:pPr>
    <w:rPr>
      <w:rFonts w:eastAsia="仿宋_GB2312" w:cs="Times New Roman"/>
      <w:kern w:val="0"/>
      <w:sz w:val="24"/>
      <w:szCs w:val="24"/>
    </w:rPr>
  </w:style>
  <w:style w:type="paragraph" w:customStyle="1" w:styleId="222">
    <w:name w:val="xl88"/>
    <w:basedOn w:val="1"/>
    <w:qFormat/>
    <w:uiPriority w:val="0"/>
    <w:pPr>
      <w:widowControl/>
      <w:pBdr>
        <w:top w:val="single" w:color="auto" w:sz="4" w:space="0"/>
        <w:left w:val="single" w:color="auto" w:sz="4" w:space="0"/>
        <w:bottom w:val="single" w:color="auto" w:sz="4" w:space="0"/>
        <w:right w:val="single" w:color="auto" w:sz="4" w:space="0"/>
      </w:pBdr>
      <w:shd w:val="clear" w:color="000000" w:fill="D8D8D8"/>
      <w:spacing w:before="100" w:beforeAutospacing="1" w:after="100" w:afterAutospacing="1" w:line="480" w:lineRule="auto"/>
      <w:jc w:val="left"/>
    </w:pPr>
    <w:rPr>
      <w:rFonts w:eastAsia="仿宋_GB2312" w:cs="Times New Roman"/>
      <w:kern w:val="0"/>
      <w:sz w:val="24"/>
      <w:szCs w:val="24"/>
    </w:rPr>
  </w:style>
  <w:style w:type="paragraph" w:customStyle="1" w:styleId="223">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left"/>
    </w:pPr>
    <w:rPr>
      <w:rFonts w:ascii="宋体" w:hAnsi="宋体" w:eastAsia="仿宋_GB2312" w:cs="宋体"/>
      <w:kern w:val="0"/>
      <w:sz w:val="24"/>
      <w:szCs w:val="24"/>
    </w:rPr>
  </w:style>
  <w:style w:type="paragraph" w:customStyle="1" w:styleId="224">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left"/>
    </w:pPr>
    <w:rPr>
      <w:rFonts w:eastAsia="仿宋_GB2312" w:cs="Times New Roman"/>
      <w:kern w:val="0"/>
      <w:sz w:val="24"/>
      <w:szCs w:val="24"/>
    </w:rPr>
  </w:style>
  <w:style w:type="paragraph" w:customStyle="1" w:styleId="225">
    <w:name w:val="xl91"/>
    <w:basedOn w:val="1"/>
    <w:qFormat/>
    <w:uiPriority w:val="0"/>
    <w:pPr>
      <w:widowControl/>
      <w:pBdr>
        <w:top w:val="single" w:color="auto" w:sz="4" w:space="0"/>
        <w:left w:val="single" w:color="auto" w:sz="4" w:space="0"/>
        <w:bottom w:val="single" w:color="auto" w:sz="4" w:space="0"/>
        <w:right w:val="single" w:color="auto" w:sz="4" w:space="0"/>
      </w:pBdr>
      <w:shd w:val="clear" w:color="000000" w:fill="D8D8D8"/>
      <w:spacing w:before="100" w:beforeAutospacing="1" w:after="100" w:afterAutospacing="1" w:line="480" w:lineRule="auto"/>
      <w:jc w:val="left"/>
    </w:pPr>
    <w:rPr>
      <w:rFonts w:ascii="宋体" w:hAnsi="宋体" w:eastAsia="仿宋_GB2312" w:cs="宋体"/>
      <w:kern w:val="0"/>
      <w:sz w:val="24"/>
      <w:szCs w:val="24"/>
    </w:rPr>
  </w:style>
  <w:style w:type="paragraph" w:customStyle="1" w:styleId="226">
    <w:name w:val="xl92"/>
    <w:basedOn w:val="1"/>
    <w:qFormat/>
    <w:uiPriority w:val="0"/>
    <w:pPr>
      <w:widowControl/>
      <w:pBdr>
        <w:top w:val="single" w:color="auto" w:sz="4" w:space="0"/>
        <w:left w:val="single" w:color="auto" w:sz="4" w:space="0"/>
        <w:bottom w:val="single" w:color="auto" w:sz="4" w:space="0"/>
        <w:right w:val="single" w:color="auto" w:sz="4" w:space="0"/>
      </w:pBdr>
      <w:shd w:val="clear" w:color="000000" w:fill="8DB4E3"/>
      <w:spacing w:before="100" w:beforeAutospacing="1" w:after="100" w:afterAutospacing="1" w:line="480" w:lineRule="auto"/>
      <w:jc w:val="left"/>
    </w:pPr>
    <w:rPr>
      <w:rFonts w:ascii="宋体" w:hAnsi="宋体" w:eastAsia="仿宋_GB2312" w:cs="宋体"/>
      <w:kern w:val="0"/>
      <w:sz w:val="24"/>
      <w:szCs w:val="24"/>
    </w:rPr>
  </w:style>
  <w:style w:type="paragraph" w:customStyle="1" w:styleId="227">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left"/>
    </w:pPr>
    <w:rPr>
      <w:rFonts w:eastAsia="仿宋_GB2312" w:cs="Times New Roman"/>
      <w:kern w:val="0"/>
      <w:sz w:val="24"/>
      <w:szCs w:val="24"/>
    </w:rPr>
  </w:style>
  <w:style w:type="paragraph" w:customStyle="1" w:styleId="228">
    <w:name w:val="xl94"/>
    <w:basedOn w:val="1"/>
    <w:qFormat/>
    <w:uiPriority w:val="0"/>
    <w:pPr>
      <w:widowControl/>
      <w:pBdr>
        <w:top w:val="single" w:color="auto" w:sz="4" w:space="0"/>
        <w:left w:val="single" w:color="auto" w:sz="4" w:space="0"/>
        <w:bottom w:val="single" w:color="auto" w:sz="4" w:space="0"/>
        <w:right w:val="single" w:color="auto" w:sz="4" w:space="0"/>
      </w:pBdr>
      <w:shd w:val="clear" w:color="000000" w:fill="D8D8D8"/>
      <w:spacing w:before="100" w:beforeAutospacing="1" w:after="100" w:afterAutospacing="1" w:line="480" w:lineRule="auto"/>
      <w:jc w:val="left"/>
    </w:pPr>
    <w:rPr>
      <w:rFonts w:eastAsia="仿宋_GB2312" w:cs="Times New Roman"/>
      <w:kern w:val="0"/>
      <w:sz w:val="24"/>
      <w:szCs w:val="24"/>
    </w:rPr>
  </w:style>
  <w:style w:type="paragraph" w:customStyle="1" w:styleId="229">
    <w:name w:val="xl95"/>
    <w:basedOn w:val="1"/>
    <w:qFormat/>
    <w:uiPriority w:val="99"/>
    <w:pPr>
      <w:widowControl/>
      <w:spacing w:before="100" w:beforeAutospacing="1" w:after="100" w:afterAutospacing="1" w:line="480" w:lineRule="auto"/>
      <w:jc w:val="left"/>
    </w:pPr>
    <w:rPr>
      <w:rFonts w:ascii="宋体" w:hAnsi="宋体" w:eastAsia="仿宋_GB2312" w:cs="宋体"/>
      <w:kern w:val="0"/>
      <w:sz w:val="24"/>
      <w:szCs w:val="24"/>
    </w:rPr>
  </w:style>
  <w:style w:type="paragraph" w:customStyle="1" w:styleId="230">
    <w:name w:val="xl96"/>
    <w:basedOn w:val="1"/>
    <w:qFormat/>
    <w:uiPriority w:val="99"/>
    <w:pPr>
      <w:widowControl/>
      <w:pBdr>
        <w:top w:val="single" w:color="auto" w:sz="4" w:space="0"/>
        <w:left w:val="single" w:color="auto" w:sz="4" w:space="0"/>
        <w:bottom w:val="single" w:color="auto" w:sz="4" w:space="0"/>
        <w:right w:val="single" w:color="auto" w:sz="4" w:space="0"/>
      </w:pBdr>
      <w:shd w:val="clear" w:color="000000" w:fill="D8D8D8"/>
      <w:spacing w:before="100" w:beforeAutospacing="1" w:after="100" w:afterAutospacing="1" w:line="480" w:lineRule="auto"/>
      <w:jc w:val="left"/>
    </w:pPr>
    <w:rPr>
      <w:rFonts w:eastAsia="仿宋_GB2312" w:cs="Times New Roman"/>
      <w:kern w:val="0"/>
      <w:sz w:val="24"/>
      <w:szCs w:val="24"/>
    </w:rPr>
  </w:style>
  <w:style w:type="paragraph" w:customStyle="1" w:styleId="231">
    <w:name w:val="xl9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left"/>
    </w:pPr>
    <w:rPr>
      <w:rFonts w:eastAsia="仿宋_GB2312" w:cs="Times New Roman"/>
      <w:kern w:val="0"/>
      <w:sz w:val="24"/>
      <w:szCs w:val="24"/>
    </w:rPr>
  </w:style>
  <w:style w:type="paragraph" w:customStyle="1" w:styleId="232">
    <w:name w:val="xl98"/>
    <w:basedOn w:val="1"/>
    <w:qFormat/>
    <w:uiPriority w:val="99"/>
    <w:pPr>
      <w:widowControl/>
      <w:pBdr>
        <w:top w:val="single" w:color="auto" w:sz="4" w:space="0"/>
        <w:left w:val="single" w:color="auto" w:sz="4" w:space="0"/>
        <w:bottom w:val="single" w:color="auto" w:sz="4" w:space="0"/>
        <w:right w:val="single" w:color="auto" w:sz="4" w:space="0"/>
      </w:pBdr>
      <w:shd w:val="clear" w:color="000000" w:fill="FCD5B4"/>
      <w:spacing w:before="100" w:beforeAutospacing="1" w:after="100" w:afterAutospacing="1" w:line="480" w:lineRule="auto"/>
      <w:jc w:val="left"/>
    </w:pPr>
    <w:rPr>
      <w:rFonts w:eastAsia="仿宋_GB2312" w:cs="Times New Roman"/>
      <w:kern w:val="0"/>
      <w:sz w:val="24"/>
      <w:szCs w:val="24"/>
    </w:rPr>
  </w:style>
  <w:style w:type="paragraph" w:customStyle="1" w:styleId="233">
    <w:name w:val="xl9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left"/>
    </w:pPr>
    <w:rPr>
      <w:rFonts w:ascii="宋体" w:hAnsi="宋体" w:eastAsia="仿宋_GB2312" w:cs="宋体"/>
      <w:kern w:val="0"/>
      <w:sz w:val="24"/>
      <w:szCs w:val="24"/>
    </w:rPr>
  </w:style>
  <w:style w:type="paragraph" w:customStyle="1" w:styleId="234">
    <w:name w:val="xl100"/>
    <w:basedOn w:val="1"/>
    <w:qFormat/>
    <w:uiPriority w:val="99"/>
    <w:pPr>
      <w:widowControl/>
      <w:pBdr>
        <w:top w:val="single" w:color="auto" w:sz="4" w:space="0"/>
        <w:left w:val="single" w:color="auto" w:sz="4" w:space="0"/>
        <w:bottom w:val="single" w:color="auto" w:sz="4" w:space="0"/>
        <w:right w:val="single" w:color="auto" w:sz="4" w:space="0"/>
      </w:pBdr>
      <w:shd w:val="clear" w:color="000000" w:fill="8DB4E3"/>
      <w:spacing w:before="100" w:beforeAutospacing="1" w:after="100" w:afterAutospacing="1" w:line="480" w:lineRule="auto"/>
      <w:jc w:val="left"/>
    </w:pPr>
    <w:rPr>
      <w:rFonts w:eastAsia="仿宋_GB2312" w:cs="Times New Roman"/>
      <w:kern w:val="0"/>
      <w:sz w:val="24"/>
      <w:szCs w:val="24"/>
    </w:rPr>
  </w:style>
  <w:style w:type="paragraph" w:customStyle="1" w:styleId="235">
    <w:name w:val="xl101"/>
    <w:basedOn w:val="1"/>
    <w:qFormat/>
    <w:uiPriority w:val="99"/>
    <w:pPr>
      <w:widowControl/>
      <w:pBdr>
        <w:top w:val="single" w:color="auto" w:sz="4" w:space="0"/>
        <w:left w:val="single" w:color="auto" w:sz="4" w:space="0"/>
        <w:bottom w:val="single" w:color="auto" w:sz="4" w:space="0"/>
        <w:right w:val="single" w:color="auto" w:sz="4" w:space="0"/>
      </w:pBdr>
      <w:shd w:val="clear" w:color="000000" w:fill="FCD5B4"/>
      <w:spacing w:before="100" w:beforeAutospacing="1" w:after="100" w:afterAutospacing="1" w:line="480" w:lineRule="auto"/>
      <w:jc w:val="left"/>
    </w:pPr>
    <w:rPr>
      <w:rFonts w:ascii="宋体" w:hAnsi="宋体" w:eastAsia="仿宋_GB2312" w:cs="宋体"/>
      <w:kern w:val="0"/>
      <w:sz w:val="24"/>
      <w:szCs w:val="24"/>
    </w:rPr>
  </w:style>
  <w:style w:type="paragraph" w:customStyle="1" w:styleId="236">
    <w:name w:val="xl102"/>
    <w:basedOn w:val="1"/>
    <w:qFormat/>
    <w:uiPriority w:val="99"/>
    <w:pPr>
      <w:widowControl/>
      <w:pBdr>
        <w:top w:val="single" w:color="auto" w:sz="4" w:space="0"/>
        <w:left w:val="single" w:color="auto" w:sz="4" w:space="0"/>
        <w:bottom w:val="single" w:color="auto" w:sz="4" w:space="0"/>
        <w:right w:val="single" w:color="auto" w:sz="4" w:space="0"/>
      </w:pBdr>
      <w:shd w:val="clear" w:color="000000" w:fill="FCD5B4"/>
      <w:spacing w:before="100" w:beforeAutospacing="1" w:after="100" w:afterAutospacing="1" w:line="480" w:lineRule="auto"/>
      <w:jc w:val="center"/>
    </w:pPr>
    <w:rPr>
      <w:rFonts w:ascii="宋体" w:hAnsi="宋体" w:eastAsia="仿宋_GB2312" w:cs="宋体"/>
      <w:kern w:val="0"/>
      <w:sz w:val="24"/>
      <w:szCs w:val="24"/>
    </w:rPr>
  </w:style>
  <w:style w:type="paragraph" w:customStyle="1" w:styleId="237">
    <w:name w:val="xl103"/>
    <w:basedOn w:val="1"/>
    <w:qFormat/>
    <w:uiPriority w:val="99"/>
    <w:pPr>
      <w:widowControl/>
      <w:spacing w:before="100" w:beforeAutospacing="1" w:after="100" w:afterAutospacing="1" w:line="480" w:lineRule="auto"/>
      <w:jc w:val="center"/>
    </w:pPr>
    <w:rPr>
      <w:rFonts w:ascii="宋体" w:hAnsi="宋体" w:eastAsia="仿宋_GB2312" w:cs="宋体"/>
      <w:kern w:val="0"/>
      <w:sz w:val="24"/>
      <w:szCs w:val="24"/>
    </w:rPr>
  </w:style>
  <w:style w:type="paragraph" w:customStyle="1" w:styleId="238">
    <w:name w:val="xl104"/>
    <w:basedOn w:val="1"/>
    <w:qFormat/>
    <w:uiPriority w:val="99"/>
    <w:pPr>
      <w:widowControl/>
      <w:pBdr>
        <w:top w:val="single" w:color="auto" w:sz="4" w:space="0"/>
        <w:left w:val="single" w:color="auto" w:sz="4" w:space="0"/>
        <w:bottom w:val="single" w:color="auto" w:sz="4" w:space="0"/>
        <w:right w:val="single" w:color="auto" w:sz="4" w:space="0"/>
      </w:pBdr>
      <w:shd w:val="clear" w:color="000000" w:fill="C2D69A"/>
      <w:spacing w:before="100" w:beforeAutospacing="1" w:after="100" w:afterAutospacing="1" w:line="480" w:lineRule="auto"/>
      <w:jc w:val="center"/>
    </w:pPr>
    <w:rPr>
      <w:rFonts w:ascii="宋体" w:hAnsi="宋体" w:eastAsia="仿宋_GB2312" w:cs="宋体"/>
      <w:kern w:val="0"/>
      <w:sz w:val="24"/>
      <w:szCs w:val="24"/>
    </w:rPr>
  </w:style>
  <w:style w:type="paragraph" w:customStyle="1" w:styleId="239">
    <w:name w:val="xl105"/>
    <w:basedOn w:val="1"/>
    <w:qFormat/>
    <w:uiPriority w:val="99"/>
    <w:pPr>
      <w:widowControl/>
      <w:pBdr>
        <w:top w:val="single" w:color="auto" w:sz="4" w:space="0"/>
        <w:left w:val="single" w:color="auto" w:sz="4" w:space="0"/>
        <w:bottom w:val="single" w:color="auto" w:sz="4" w:space="0"/>
        <w:right w:val="single" w:color="auto" w:sz="4" w:space="0"/>
      </w:pBdr>
      <w:shd w:val="clear" w:color="000000" w:fill="8DB4E3"/>
      <w:spacing w:before="100" w:beforeAutospacing="1" w:after="100" w:afterAutospacing="1" w:line="480" w:lineRule="auto"/>
      <w:jc w:val="center"/>
    </w:pPr>
    <w:rPr>
      <w:rFonts w:eastAsia="仿宋_GB2312" w:cs="Times New Roman"/>
      <w:kern w:val="0"/>
      <w:sz w:val="24"/>
      <w:szCs w:val="24"/>
    </w:rPr>
  </w:style>
  <w:style w:type="paragraph" w:customStyle="1" w:styleId="240">
    <w:name w:val="xl106"/>
    <w:basedOn w:val="1"/>
    <w:qFormat/>
    <w:uiPriority w:val="99"/>
    <w:pPr>
      <w:widowControl/>
      <w:pBdr>
        <w:top w:val="single" w:color="auto" w:sz="4" w:space="0"/>
        <w:left w:val="single" w:color="auto" w:sz="4" w:space="0"/>
        <w:bottom w:val="single" w:color="auto" w:sz="4" w:space="0"/>
        <w:right w:val="single" w:color="auto" w:sz="4" w:space="0"/>
      </w:pBdr>
      <w:shd w:val="clear" w:color="000000" w:fill="D8D8D8"/>
      <w:spacing w:before="100" w:beforeAutospacing="1" w:after="100" w:afterAutospacing="1" w:line="480" w:lineRule="auto"/>
      <w:jc w:val="center"/>
    </w:pPr>
    <w:rPr>
      <w:rFonts w:eastAsia="仿宋_GB2312" w:cs="Times New Roman"/>
      <w:kern w:val="0"/>
      <w:sz w:val="24"/>
      <w:szCs w:val="24"/>
    </w:rPr>
  </w:style>
  <w:style w:type="paragraph" w:customStyle="1" w:styleId="241">
    <w:name w:val="xl10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center"/>
    </w:pPr>
    <w:rPr>
      <w:rFonts w:ascii="宋体" w:hAnsi="宋体" w:eastAsia="仿宋_GB2312" w:cs="宋体"/>
      <w:kern w:val="0"/>
      <w:sz w:val="24"/>
      <w:szCs w:val="24"/>
    </w:rPr>
  </w:style>
  <w:style w:type="paragraph" w:customStyle="1" w:styleId="242">
    <w:name w:val="xl108"/>
    <w:basedOn w:val="1"/>
    <w:qFormat/>
    <w:uiPriority w:val="99"/>
    <w:pPr>
      <w:widowControl/>
      <w:pBdr>
        <w:top w:val="single" w:color="auto" w:sz="4" w:space="0"/>
        <w:left w:val="single" w:color="auto" w:sz="4" w:space="0"/>
        <w:bottom w:val="single" w:color="auto" w:sz="4" w:space="0"/>
        <w:right w:val="single" w:color="auto" w:sz="4" w:space="0"/>
      </w:pBdr>
      <w:shd w:val="clear" w:color="000000" w:fill="D8D8D8"/>
      <w:spacing w:before="100" w:beforeAutospacing="1" w:after="100" w:afterAutospacing="1" w:line="480" w:lineRule="auto"/>
      <w:jc w:val="center"/>
    </w:pPr>
    <w:rPr>
      <w:rFonts w:eastAsia="仿宋_GB2312" w:cs="Times New Roman"/>
      <w:kern w:val="0"/>
      <w:sz w:val="24"/>
      <w:szCs w:val="24"/>
    </w:rPr>
  </w:style>
  <w:style w:type="paragraph" w:customStyle="1" w:styleId="243">
    <w:name w:val="xl10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center"/>
    </w:pPr>
    <w:rPr>
      <w:rFonts w:eastAsia="仿宋_GB2312" w:cs="Times New Roman"/>
      <w:kern w:val="0"/>
      <w:sz w:val="24"/>
      <w:szCs w:val="24"/>
    </w:rPr>
  </w:style>
  <w:style w:type="paragraph" w:customStyle="1" w:styleId="244">
    <w:name w:val="xl11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center"/>
    </w:pPr>
    <w:rPr>
      <w:rFonts w:ascii="宋体" w:hAnsi="宋体" w:eastAsia="仿宋_GB2312" w:cs="宋体"/>
      <w:kern w:val="0"/>
      <w:sz w:val="24"/>
      <w:szCs w:val="24"/>
    </w:rPr>
  </w:style>
  <w:style w:type="paragraph" w:customStyle="1" w:styleId="245">
    <w:name w:val="xl111"/>
    <w:basedOn w:val="1"/>
    <w:qFormat/>
    <w:uiPriority w:val="99"/>
    <w:pPr>
      <w:widowControl/>
      <w:pBdr>
        <w:top w:val="single" w:color="auto" w:sz="4" w:space="0"/>
        <w:left w:val="single" w:color="auto" w:sz="4" w:space="0"/>
        <w:bottom w:val="single" w:color="auto" w:sz="4" w:space="0"/>
        <w:right w:val="single" w:color="auto" w:sz="4" w:space="0"/>
      </w:pBdr>
      <w:shd w:val="clear" w:color="000000" w:fill="8DB4E3"/>
      <w:spacing w:before="100" w:beforeAutospacing="1" w:after="100" w:afterAutospacing="1" w:line="480" w:lineRule="auto"/>
      <w:jc w:val="center"/>
    </w:pPr>
    <w:rPr>
      <w:rFonts w:ascii="宋体" w:hAnsi="宋体" w:eastAsia="仿宋_GB2312" w:cs="宋体"/>
      <w:kern w:val="0"/>
      <w:sz w:val="24"/>
      <w:szCs w:val="24"/>
    </w:rPr>
  </w:style>
  <w:style w:type="paragraph" w:customStyle="1" w:styleId="246">
    <w:name w:val="xl112"/>
    <w:basedOn w:val="1"/>
    <w:qFormat/>
    <w:uiPriority w:val="99"/>
    <w:pPr>
      <w:widowControl/>
      <w:pBdr>
        <w:top w:val="single" w:color="auto" w:sz="4" w:space="0"/>
        <w:left w:val="single" w:color="auto" w:sz="4" w:space="0"/>
        <w:bottom w:val="single" w:color="auto" w:sz="4" w:space="0"/>
        <w:right w:val="single" w:color="auto" w:sz="4" w:space="0"/>
      </w:pBdr>
      <w:shd w:val="clear" w:color="000000" w:fill="8DB4E3"/>
      <w:spacing w:before="100" w:beforeAutospacing="1" w:after="100" w:afterAutospacing="1" w:line="480" w:lineRule="auto"/>
      <w:jc w:val="center"/>
    </w:pPr>
    <w:rPr>
      <w:rFonts w:eastAsia="仿宋_GB2312" w:cs="Times New Roman"/>
      <w:kern w:val="0"/>
      <w:sz w:val="24"/>
      <w:szCs w:val="24"/>
    </w:rPr>
  </w:style>
  <w:style w:type="paragraph" w:customStyle="1" w:styleId="247">
    <w:name w:val="xl113"/>
    <w:basedOn w:val="1"/>
    <w:qFormat/>
    <w:uiPriority w:val="99"/>
    <w:pPr>
      <w:widowControl/>
      <w:pBdr>
        <w:top w:val="single" w:color="auto" w:sz="4" w:space="0"/>
        <w:left w:val="single" w:color="auto" w:sz="4" w:space="0"/>
        <w:bottom w:val="single" w:color="auto" w:sz="4" w:space="0"/>
        <w:right w:val="single" w:color="auto" w:sz="4" w:space="0"/>
      </w:pBdr>
      <w:shd w:val="clear" w:color="000000" w:fill="D8D8D8"/>
      <w:spacing w:before="100" w:beforeAutospacing="1" w:after="100" w:afterAutospacing="1" w:line="480" w:lineRule="auto"/>
      <w:jc w:val="center"/>
    </w:pPr>
    <w:rPr>
      <w:rFonts w:eastAsia="仿宋_GB2312" w:cs="Times New Roman"/>
      <w:kern w:val="0"/>
      <w:sz w:val="24"/>
      <w:szCs w:val="24"/>
    </w:rPr>
  </w:style>
  <w:style w:type="paragraph" w:customStyle="1" w:styleId="248">
    <w:name w:val="xl11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480" w:lineRule="auto"/>
      <w:jc w:val="center"/>
    </w:pPr>
    <w:rPr>
      <w:rFonts w:eastAsia="仿宋_GB2312" w:cs="Times New Roman"/>
      <w:kern w:val="0"/>
      <w:sz w:val="24"/>
      <w:szCs w:val="24"/>
    </w:rPr>
  </w:style>
  <w:style w:type="paragraph" w:customStyle="1" w:styleId="249">
    <w:name w:val="xl115"/>
    <w:basedOn w:val="1"/>
    <w:qFormat/>
    <w:uiPriority w:val="99"/>
    <w:pPr>
      <w:widowControl/>
      <w:pBdr>
        <w:top w:val="single" w:color="auto" w:sz="4" w:space="0"/>
        <w:left w:val="single" w:color="auto" w:sz="4" w:space="0"/>
        <w:bottom w:val="single" w:color="auto" w:sz="4" w:space="0"/>
        <w:right w:val="single" w:color="auto" w:sz="4" w:space="0"/>
      </w:pBdr>
      <w:shd w:val="clear" w:color="000000" w:fill="FCD5B4"/>
      <w:spacing w:before="100" w:beforeAutospacing="1" w:after="100" w:afterAutospacing="1" w:line="480" w:lineRule="auto"/>
      <w:jc w:val="center"/>
    </w:pPr>
    <w:rPr>
      <w:rFonts w:ascii="宋体" w:hAnsi="宋体" w:eastAsia="仿宋_GB2312" w:cs="宋体"/>
      <w:kern w:val="0"/>
      <w:sz w:val="24"/>
      <w:szCs w:val="24"/>
    </w:rPr>
  </w:style>
  <w:style w:type="paragraph" w:customStyle="1" w:styleId="250">
    <w:name w:val="xl116"/>
    <w:basedOn w:val="1"/>
    <w:qFormat/>
    <w:uiPriority w:val="99"/>
    <w:pPr>
      <w:widowControl/>
      <w:pBdr>
        <w:top w:val="single" w:color="auto" w:sz="4" w:space="0"/>
        <w:left w:val="single" w:color="auto" w:sz="4" w:space="0"/>
        <w:bottom w:val="single" w:color="auto" w:sz="4" w:space="0"/>
        <w:right w:val="single" w:color="auto" w:sz="4" w:space="0"/>
      </w:pBdr>
      <w:shd w:val="clear" w:color="000000" w:fill="FCD5B4"/>
      <w:spacing w:before="100" w:beforeAutospacing="1" w:after="100" w:afterAutospacing="1" w:line="480" w:lineRule="auto"/>
      <w:jc w:val="center"/>
    </w:pPr>
    <w:rPr>
      <w:rFonts w:eastAsia="仿宋_GB2312" w:cs="Times New Roman"/>
      <w:kern w:val="0"/>
      <w:sz w:val="24"/>
      <w:szCs w:val="24"/>
    </w:rPr>
  </w:style>
  <w:style w:type="paragraph" w:customStyle="1" w:styleId="251">
    <w:name w:val="xl117"/>
    <w:basedOn w:val="1"/>
    <w:qFormat/>
    <w:uiPriority w:val="99"/>
    <w:pPr>
      <w:widowControl/>
      <w:spacing w:before="100" w:beforeAutospacing="1" w:after="100" w:afterAutospacing="1" w:line="480" w:lineRule="auto"/>
      <w:jc w:val="center"/>
    </w:pPr>
    <w:rPr>
      <w:rFonts w:ascii="宋体" w:hAnsi="宋体" w:eastAsia="仿宋_GB2312" w:cs="宋体"/>
      <w:kern w:val="0"/>
      <w:sz w:val="24"/>
      <w:szCs w:val="24"/>
    </w:rPr>
  </w:style>
  <w:style w:type="character" w:customStyle="1" w:styleId="252">
    <w:name w:val="访问过的超链接1"/>
    <w:unhideWhenUsed/>
    <w:qFormat/>
    <w:uiPriority w:val="99"/>
    <w:rPr>
      <w:color w:val="800080"/>
      <w:u w:val="single"/>
    </w:rPr>
  </w:style>
  <w:style w:type="paragraph" w:customStyle="1" w:styleId="253">
    <w:name w:val="font10"/>
    <w:basedOn w:val="1"/>
    <w:qFormat/>
    <w:uiPriority w:val="99"/>
    <w:pPr>
      <w:widowControl/>
      <w:spacing w:before="100" w:beforeAutospacing="1" w:after="100" w:afterAutospacing="1" w:line="480" w:lineRule="auto"/>
      <w:jc w:val="left"/>
    </w:pPr>
    <w:rPr>
      <w:rFonts w:ascii="宋体" w:hAnsi="宋体" w:eastAsia="仿宋_GB2312" w:cs="宋体"/>
      <w:color w:val="000000"/>
      <w:kern w:val="0"/>
      <w:sz w:val="22"/>
    </w:rPr>
  </w:style>
  <w:style w:type="paragraph" w:customStyle="1" w:styleId="254">
    <w:name w:val="font11"/>
    <w:basedOn w:val="1"/>
    <w:qFormat/>
    <w:uiPriority w:val="99"/>
    <w:pPr>
      <w:widowControl/>
      <w:spacing w:before="100" w:beforeAutospacing="1" w:after="100" w:afterAutospacing="1" w:line="480" w:lineRule="auto"/>
      <w:jc w:val="left"/>
    </w:pPr>
    <w:rPr>
      <w:rFonts w:ascii="宋体" w:hAnsi="宋体" w:eastAsia="仿宋_GB2312" w:cs="宋体"/>
      <w:color w:val="FF0000"/>
      <w:kern w:val="0"/>
      <w:sz w:val="22"/>
    </w:rPr>
  </w:style>
  <w:style w:type="paragraph" w:customStyle="1" w:styleId="255">
    <w:name w:val="font12"/>
    <w:basedOn w:val="1"/>
    <w:qFormat/>
    <w:uiPriority w:val="99"/>
    <w:pPr>
      <w:widowControl/>
      <w:spacing w:before="100" w:beforeAutospacing="1" w:after="100" w:afterAutospacing="1" w:line="480" w:lineRule="auto"/>
      <w:jc w:val="left"/>
    </w:pPr>
    <w:rPr>
      <w:rFonts w:ascii="Arial Unicode MS" w:hAnsi="Arial Unicode MS" w:eastAsia="Arial Unicode MS" w:cs="Arial Unicode MS"/>
      <w:kern w:val="0"/>
      <w:sz w:val="22"/>
    </w:rPr>
  </w:style>
  <w:style w:type="character" w:customStyle="1" w:styleId="256">
    <w:name w:val="正文文本_"/>
    <w:link w:val="257"/>
    <w:qFormat/>
    <w:uiPriority w:val="0"/>
    <w:rPr>
      <w:rFonts w:ascii="宋体" w:hAnsi="宋体" w:cs="宋体"/>
      <w:shd w:val="clear" w:color="auto" w:fill="FFFFFF"/>
    </w:rPr>
  </w:style>
  <w:style w:type="paragraph" w:customStyle="1" w:styleId="257">
    <w:name w:val="正文文本2"/>
    <w:basedOn w:val="1"/>
    <w:link w:val="256"/>
    <w:qFormat/>
    <w:uiPriority w:val="0"/>
    <w:pPr>
      <w:widowControl/>
      <w:shd w:val="clear" w:color="auto" w:fill="FFFFFF"/>
      <w:spacing w:before="360" w:line="327" w:lineRule="exact"/>
      <w:jc w:val="distribute"/>
    </w:pPr>
    <w:rPr>
      <w:rFonts w:ascii="宋体" w:hAnsi="宋体" w:cs="宋体" w:eastAsiaTheme="minorEastAsia"/>
      <w:sz w:val="21"/>
      <w:szCs w:val="22"/>
    </w:rPr>
  </w:style>
  <w:style w:type="character" w:customStyle="1" w:styleId="258">
    <w:name w:val="已访问的超链接1"/>
    <w:unhideWhenUsed/>
    <w:qFormat/>
    <w:uiPriority w:val="99"/>
    <w:rPr>
      <w:color w:val="800080"/>
      <w:u w:val="single"/>
    </w:rPr>
  </w:style>
  <w:style w:type="paragraph" w:customStyle="1" w:styleId="259">
    <w:name w:val="正文加粗"/>
    <w:basedOn w:val="5"/>
    <w:link w:val="260"/>
    <w:qFormat/>
    <w:uiPriority w:val="0"/>
    <w:pPr>
      <w:widowControl/>
      <w:numPr>
        <w:ilvl w:val="0"/>
        <w:numId w:val="0"/>
      </w:numPr>
      <w:spacing w:before="240" w:after="120" w:line="240" w:lineRule="auto"/>
      <w:ind w:firstLine="562" w:firstLineChars="200"/>
      <w:jc w:val="both"/>
    </w:pPr>
    <w:rPr>
      <w:rFonts w:eastAsia="仿宋_GB2312" w:cs="Times New Roman"/>
      <w:kern w:val="28"/>
      <w:lang w:val="zh-CN"/>
    </w:rPr>
  </w:style>
  <w:style w:type="character" w:customStyle="1" w:styleId="260">
    <w:name w:val="正文加粗 Char"/>
    <w:link w:val="259"/>
    <w:qFormat/>
    <w:uiPriority w:val="0"/>
    <w:rPr>
      <w:rFonts w:ascii="Times New Roman" w:hAnsi="Times New Roman" w:eastAsia="仿宋_GB2312" w:cs="Times New Roman"/>
      <w:b/>
      <w:bCs/>
      <w:kern w:val="28"/>
      <w:sz w:val="28"/>
      <w:szCs w:val="28"/>
      <w:lang w:val="zh-CN" w:eastAsia="zh-CN"/>
    </w:rPr>
  </w:style>
  <w:style w:type="paragraph" w:customStyle="1" w:styleId="261">
    <w:name w:val="p0"/>
    <w:basedOn w:val="1"/>
    <w:qFormat/>
    <w:uiPriority w:val="99"/>
    <w:pPr>
      <w:widowControl/>
      <w:spacing w:line="480" w:lineRule="auto"/>
    </w:pPr>
    <w:rPr>
      <w:rFonts w:eastAsia="仿宋_GB2312" w:cs="Times New Roman"/>
      <w:kern w:val="0"/>
    </w:rPr>
  </w:style>
  <w:style w:type="character" w:customStyle="1" w:styleId="262">
    <w:name w:val="标题 1 Char1"/>
    <w:qFormat/>
    <w:uiPriority w:val="0"/>
  </w:style>
  <w:style w:type="character" w:customStyle="1" w:styleId="263">
    <w:name w:val="标题 3 Char1"/>
    <w:qFormat/>
    <w:uiPriority w:val="0"/>
    <w:rPr>
      <w:b/>
      <w:bCs/>
      <w:kern w:val="2"/>
      <w:sz w:val="32"/>
      <w:szCs w:val="32"/>
    </w:rPr>
  </w:style>
  <w:style w:type="paragraph" w:customStyle="1" w:styleId="264">
    <w:name w:val="表格样式1"/>
    <w:basedOn w:val="1"/>
    <w:qFormat/>
    <w:uiPriority w:val="99"/>
    <w:pPr>
      <w:widowControl/>
      <w:adjustRightInd w:val="0"/>
      <w:snapToGrid w:val="0"/>
      <w:spacing w:line="240" w:lineRule="auto"/>
      <w:ind w:firstLine="0" w:firstLineChars="0"/>
    </w:pPr>
    <w:rPr>
      <w:rFonts w:ascii="仿宋_GB2312" w:eastAsia="仿宋_GB2312" w:cs="Times New Roman"/>
      <w:sz w:val="24"/>
      <w:szCs w:val="24"/>
    </w:rPr>
  </w:style>
  <w:style w:type="character" w:customStyle="1" w:styleId="265">
    <w:name w:val="不明显强调1"/>
    <w:qFormat/>
    <w:uiPriority w:val="19"/>
    <w:rPr>
      <w:i/>
      <w:iCs/>
      <w:color w:val="808080"/>
    </w:rPr>
  </w:style>
  <w:style w:type="paragraph" w:customStyle="1" w:styleId="266">
    <w:name w:val="注释格式1"/>
    <w:basedOn w:val="1"/>
    <w:qFormat/>
    <w:uiPriority w:val="99"/>
    <w:pPr>
      <w:widowControl/>
      <w:ind w:firstLine="480"/>
    </w:pPr>
    <w:rPr>
      <w:rFonts w:ascii="仿宋_GB2312" w:eastAsia="仿宋_GB2312" w:cs="Times New Roman"/>
      <w:sz w:val="24"/>
      <w:szCs w:val="24"/>
    </w:rPr>
  </w:style>
  <w:style w:type="paragraph" w:customStyle="1" w:styleId="267">
    <w:name w:val="章节标题格式"/>
    <w:basedOn w:val="2"/>
    <w:link w:val="272"/>
    <w:qFormat/>
    <w:uiPriority w:val="0"/>
    <w:pPr>
      <w:pageBreakBefore w:val="0"/>
      <w:widowControl/>
      <w:numPr>
        <w:numId w:val="0"/>
      </w:numPr>
      <w:wordWrap w:val="0"/>
      <w:spacing w:line="240" w:lineRule="auto"/>
    </w:pPr>
    <w:rPr>
      <w:rFonts w:ascii="仿宋_GB2312" w:eastAsia="仿宋_GB2312" w:cs="Times New Roman"/>
      <w:sz w:val="36"/>
      <w:szCs w:val="36"/>
      <w:lang w:val="zh-CN"/>
    </w:rPr>
  </w:style>
  <w:style w:type="paragraph" w:customStyle="1" w:styleId="268">
    <w:name w:val="Char"/>
    <w:basedOn w:val="1"/>
    <w:qFormat/>
    <w:uiPriority w:val="99"/>
    <w:pPr>
      <w:keepNext/>
      <w:widowControl/>
      <w:tabs>
        <w:tab w:val="left" w:pos="425"/>
      </w:tabs>
      <w:autoSpaceDE w:val="0"/>
      <w:autoSpaceDN w:val="0"/>
      <w:adjustRightInd w:val="0"/>
      <w:spacing w:before="80" w:after="80" w:line="240" w:lineRule="auto"/>
      <w:ind w:hanging="425" w:firstLineChars="0"/>
    </w:pPr>
    <w:rPr>
      <w:rFonts w:ascii="Arial" w:hAnsi="Arial" w:eastAsia="宋体" w:cs="Arial"/>
      <w:sz w:val="20"/>
      <w:szCs w:val="20"/>
    </w:rPr>
  </w:style>
  <w:style w:type="paragraph" w:customStyle="1" w:styleId="269">
    <w:name w:val="二级标题"/>
    <w:basedOn w:val="106"/>
    <w:link w:val="273"/>
    <w:qFormat/>
    <w:uiPriority w:val="99"/>
    <w:pPr>
      <w:numPr>
        <w:ilvl w:val="1"/>
        <w:numId w:val="4"/>
      </w:numPr>
      <w:spacing w:line="480" w:lineRule="auto"/>
      <w:ind w:firstLine="0" w:firstLineChars="0"/>
      <w:outlineLvl w:val="1"/>
    </w:pPr>
    <w:rPr>
      <w:rFonts w:ascii="仿宋_GB2312" w:eastAsia="仿宋_GB2312" w:cs="Times New Roman"/>
      <w:b/>
      <w:sz w:val="32"/>
      <w:lang w:val="zh-CN"/>
    </w:rPr>
  </w:style>
  <w:style w:type="paragraph" w:customStyle="1" w:styleId="270">
    <w:name w:val="一级标题"/>
    <w:basedOn w:val="1"/>
    <w:link w:val="271"/>
    <w:qFormat/>
    <w:uiPriority w:val="0"/>
    <w:pPr>
      <w:keepNext/>
      <w:keepLines/>
      <w:adjustRightInd w:val="0"/>
      <w:snapToGrid w:val="0"/>
      <w:spacing w:line="480" w:lineRule="auto"/>
      <w:ind w:left="992" w:hanging="567" w:firstLineChars="0"/>
      <w:jc w:val="left"/>
      <w:outlineLvl w:val="1"/>
    </w:pPr>
    <w:rPr>
      <w:rFonts w:ascii="仿宋_GB2312" w:eastAsia="仿宋_GB2312" w:cs="Times New Roman"/>
      <w:b/>
      <w:bCs/>
      <w:kern w:val="44"/>
      <w:sz w:val="32"/>
      <w:szCs w:val="36"/>
      <w:lang w:val="zh-CN"/>
    </w:rPr>
  </w:style>
  <w:style w:type="character" w:customStyle="1" w:styleId="271">
    <w:name w:val="一级标题 Char"/>
    <w:link w:val="270"/>
    <w:qFormat/>
    <w:uiPriority w:val="0"/>
    <w:rPr>
      <w:rFonts w:ascii="仿宋_GB2312" w:hAnsi="Times New Roman" w:eastAsia="仿宋_GB2312" w:cs="Times New Roman"/>
      <w:b/>
      <w:bCs/>
      <w:kern w:val="44"/>
      <w:sz w:val="32"/>
      <w:szCs w:val="36"/>
      <w:lang w:val="zh-CN" w:eastAsia="zh-CN"/>
    </w:rPr>
  </w:style>
  <w:style w:type="character" w:customStyle="1" w:styleId="272">
    <w:name w:val="章节标题格式 Char"/>
    <w:link w:val="267"/>
    <w:qFormat/>
    <w:uiPriority w:val="0"/>
    <w:rPr>
      <w:rFonts w:ascii="仿宋_GB2312" w:hAnsi="Times New Roman" w:eastAsia="仿宋_GB2312" w:cs="Times New Roman"/>
      <w:b/>
      <w:bCs/>
      <w:kern w:val="44"/>
      <w:sz w:val="36"/>
      <w:szCs w:val="36"/>
      <w:lang w:val="zh-CN" w:eastAsia="zh-CN"/>
    </w:rPr>
  </w:style>
  <w:style w:type="character" w:customStyle="1" w:styleId="273">
    <w:name w:val="二级标题 Char"/>
    <w:link w:val="269"/>
    <w:qFormat/>
    <w:uiPriority w:val="99"/>
    <w:rPr>
      <w:rFonts w:ascii="仿宋_GB2312" w:eastAsia="仿宋_GB2312"/>
      <w:b/>
      <w:kern w:val="2"/>
      <w:sz w:val="32"/>
      <w:szCs w:val="28"/>
      <w:lang w:val="zh-CN"/>
    </w:rPr>
  </w:style>
  <w:style w:type="paragraph" w:customStyle="1" w:styleId="274">
    <w:name w:val="封面"/>
    <w:basedOn w:val="1"/>
    <w:qFormat/>
    <w:uiPriority w:val="99"/>
    <w:pPr>
      <w:overflowPunct w:val="0"/>
      <w:autoSpaceDE w:val="0"/>
      <w:autoSpaceDN w:val="0"/>
      <w:spacing w:line="720" w:lineRule="auto"/>
      <w:ind w:firstLine="0" w:firstLineChars="0"/>
      <w:jc w:val="center"/>
    </w:pPr>
    <w:rPr>
      <w:rFonts w:ascii="仿宋_GB2312" w:hAnsi="宋体" w:eastAsia="仿宋_GB2312" w:cs="Times New Roman"/>
      <w:b/>
      <w:sz w:val="48"/>
      <w:szCs w:val="48"/>
    </w:rPr>
  </w:style>
  <w:style w:type="paragraph" w:customStyle="1" w:styleId="275">
    <w:name w:val="样式 样式 首行缩进:  2 字符 + 首行缩进:  2 字符"/>
    <w:basedOn w:val="1"/>
    <w:qFormat/>
    <w:uiPriority w:val="99"/>
    <w:pPr>
      <w:ind w:firstLine="480"/>
    </w:pPr>
    <w:rPr>
      <w:rFonts w:ascii="华文细黑" w:hAnsi="华文细黑" w:eastAsia="华文细黑" w:cs="宋体"/>
      <w:sz w:val="24"/>
      <w:szCs w:val="20"/>
    </w:rPr>
  </w:style>
  <w:style w:type="paragraph" w:customStyle="1" w:styleId="276">
    <w:name w:val="样式 正文缩进 + 首行缩进:  2 字符1"/>
    <w:basedOn w:val="18"/>
    <w:qFormat/>
    <w:uiPriority w:val="99"/>
    <w:pPr>
      <w:spacing w:line="360" w:lineRule="auto"/>
      <w:ind w:firstLine="560" w:firstLineChars="200"/>
    </w:pPr>
    <w:rPr>
      <w:rFonts w:ascii="Times New Roman" w:hAnsi="Times New Roman" w:eastAsia="宋体" w:cs="宋体"/>
      <w:sz w:val="24"/>
      <w:szCs w:val="20"/>
    </w:rPr>
  </w:style>
  <w:style w:type="character" w:customStyle="1" w:styleId="277">
    <w:name w:val="脚注文本 字符"/>
    <w:basedOn w:val="80"/>
    <w:link w:val="57"/>
    <w:qFormat/>
    <w:uiPriority w:val="99"/>
    <w:rPr>
      <w:rFonts w:ascii="Calibri" w:hAnsi="Calibri" w:eastAsia="宋体" w:cs="Times New Roman"/>
      <w:sz w:val="18"/>
      <w:szCs w:val="18"/>
    </w:rPr>
  </w:style>
  <w:style w:type="paragraph" w:customStyle="1" w:styleId="278">
    <w:name w:val="MTDisplayEquation"/>
    <w:basedOn w:val="1"/>
    <w:next w:val="1"/>
    <w:link w:val="279"/>
    <w:qFormat/>
    <w:uiPriority w:val="0"/>
    <w:pPr>
      <w:tabs>
        <w:tab w:val="center" w:pos="4160"/>
        <w:tab w:val="right" w:pos="8300"/>
      </w:tabs>
      <w:snapToGrid w:val="0"/>
      <w:ind w:firstLine="0" w:firstLineChars="0"/>
    </w:pPr>
    <w:rPr>
      <w:rFonts w:ascii="仿宋" w:hAnsi="仿宋" w:cs="Times New Roman"/>
    </w:rPr>
  </w:style>
  <w:style w:type="character" w:customStyle="1" w:styleId="279">
    <w:name w:val="MTDisplayEquation Char"/>
    <w:link w:val="278"/>
    <w:qFormat/>
    <w:uiPriority w:val="0"/>
    <w:rPr>
      <w:rFonts w:ascii="仿宋" w:hAnsi="仿宋" w:eastAsia="仿宋" w:cs="Times New Roman"/>
      <w:sz w:val="28"/>
      <w:szCs w:val="28"/>
    </w:rPr>
  </w:style>
  <w:style w:type="paragraph" w:customStyle="1" w:styleId="280">
    <w:name w:val="ou-4正文"/>
    <w:basedOn w:val="1"/>
    <w:qFormat/>
    <w:uiPriority w:val="99"/>
    <w:pPr>
      <w:ind w:firstLine="480"/>
    </w:pPr>
    <w:rPr>
      <w:rFonts w:eastAsia="宋体" w:cs="Times New Roman"/>
      <w:sz w:val="24"/>
    </w:rPr>
  </w:style>
  <w:style w:type="paragraph" w:customStyle="1" w:styleId="281">
    <w:name w:val="ou-5表文字（待做）"/>
    <w:basedOn w:val="280"/>
    <w:qFormat/>
    <w:uiPriority w:val="99"/>
    <w:pPr>
      <w:spacing w:line="240" w:lineRule="auto"/>
      <w:ind w:firstLine="0" w:firstLineChars="0"/>
      <w:jc w:val="center"/>
    </w:pPr>
    <w:rPr>
      <w:sz w:val="18"/>
    </w:rPr>
  </w:style>
  <w:style w:type="paragraph" w:customStyle="1" w:styleId="282">
    <w:name w:val="附录图标号"/>
    <w:basedOn w:val="1"/>
    <w:qFormat/>
    <w:uiPriority w:val="99"/>
    <w:pPr>
      <w:keepNext/>
      <w:pageBreakBefore/>
      <w:widowControl/>
      <w:numPr>
        <w:ilvl w:val="0"/>
        <w:numId w:val="5"/>
      </w:numPr>
      <w:spacing w:line="14" w:lineRule="exact"/>
      <w:ind w:left="0" w:firstLine="363" w:firstLineChars="0"/>
      <w:jc w:val="center"/>
      <w:outlineLvl w:val="0"/>
    </w:pPr>
    <w:rPr>
      <w:rFonts w:eastAsia="宋体" w:cs="Times New Roman"/>
      <w:color w:val="FFFFFF"/>
      <w:sz w:val="21"/>
      <w:szCs w:val="24"/>
    </w:rPr>
  </w:style>
  <w:style w:type="paragraph" w:customStyle="1" w:styleId="283">
    <w:name w:val="附录图标题"/>
    <w:basedOn w:val="1"/>
    <w:next w:val="151"/>
    <w:qFormat/>
    <w:uiPriority w:val="99"/>
    <w:pPr>
      <w:numPr>
        <w:ilvl w:val="1"/>
        <w:numId w:val="5"/>
      </w:numPr>
      <w:spacing w:before="50" w:beforeLines="50" w:after="50" w:afterLines="50" w:line="240" w:lineRule="auto"/>
      <w:ind w:firstLine="0" w:firstLineChars="0"/>
      <w:jc w:val="center"/>
    </w:pPr>
    <w:rPr>
      <w:rFonts w:ascii="黑体" w:eastAsia="黑体" w:cs="Times New Roman"/>
      <w:sz w:val="21"/>
    </w:rPr>
  </w:style>
  <w:style w:type="paragraph" w:customStyle="1" w:styleId="284">
    <w:name w:val="列出段落1"/>
    <w:basedOn w:val="1"/>
    <w:qFormat/>
    <w:uiPriority w:val="99"/>
    <w:pPr>
      <w:ind w:firstLine="420"/>
    </w:pPr>
    <w:rPr>
      <w:rFonts w:cs="黑体"/>
      <w:sz w:val="24"/>
    </w:rPr>
  </w:style>
  <w:style w:type="paragraph" w:customStyle="1" w:styleId="285">
    <w:name w:val="普通(网站)1"/>
    <w:basedOn w:val="1"/>
    <w:qFormat/>
    <w:uiPriority w:val="99"/>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character" w:customStyle="1" w:styleId="286">
    <w:name w:val="apple-converted-space"/>
    <w:basedOn w:val="80"/>
    <w:qFormat/>
    <w:uiPriority w:val="0"/>
  </w:style>
  <w:style w:type="character" w:customStyle="1" w:styleId="287">
    <w:name w:val="msoplaceholdertext"/>
    <w:basedOn w:val="80"/>
    <w:qFormat/>
    <w:uiPriority w:val="0"/>
    <w:rPr>
      <w:color w:val="808080"/>
    </w:rPr>
  </w:style>
  <w:style w:type="character" w:customStyle="1" w:styleId="288">
    <w:name w:val="msosubtleemphasis"/>
    <w:basedOn w:val="80"/>
    <w:qFormat/>
    <w:uiPriority w:val="0"/>
    <w:rPr>
      <w:i/>
      <w:color w:val="808080"/>
    </w:rPr>
  </w:style>
  <w:style w:type="character" w:customStyle="1" w:styleId="289">
    <w:name w:val="页眉 Char1"/>
    <w:basedOn w:val="80"/>
    <w:qFormat/>
    <w:uiPriority w:val="0"/>
    <w:rPr>
      <w:rFonts w:ascii="Calibri" w:hAnsi="Calibri"/>
      <w:kern w:val="2"/>
      <w:sz w:val="18"/>
      <w:szCs w:val="18"/>
    </w:rPr>
  </w:style>
  <w:style w:type="character" w:customStyle="1" w:styleId="290">
    <w:name w:val="页脚 Char1"/>
    <w:basedOn w:val="80"/>
    <w:qFormat/>
    <w:uiPriority w:val="0"/>
    <w:rPr>
      <w:rFonts w:ascii="Calibri" w:hAnsi="Calibri"/>
      <w:kern w:val="2"/>
      <w:sz w:val="18"/>
      <w:szCs w:val="18"/>
    </w:rPr>
  </w:style>
  <w:style w:type="paragraph" w:customStyle="1" w:styleId="291">
    <w:name w:val="修订1"/>
    <w:hidden/>
    <w:semiHidden/>
    <w:qFormat/>
    <w:uiPriority w:val="99"/>
    <w:rPr>
      <w:rFonts w:ascii="Times New Roman" w:hAnsi="Times New Roman" w:eastAsia="仿宋" w:cstheme="minorBidi"/>
      <w:kern w:val="2"/>
      <w:sz w:val="24"/>
      <w:szCs w:val="21"/>
      <w:lang w:val="en-US" w:eastAsia="zh-CN" w:bidi="ar-SA"/>
    </w:rPr>
  </w:style>
  <w:style w:type="character" w:customStyle="1" w:styleId="292">
    <w:name w:val="未处理的提及1"/>
    <w:basedOn w:val="80"/>
    <w:semiHidden/>
    <w:unhideWhenUsed/>
    <w:qFormat/>
    <w:uiPriority w:val="99"/>
    <w:rPr>
      <w:color w:val="808080"/>
      <w:shd w:val="clear" w:color="auto" w:fill="E6E6E6"/>
    </w:rPr>
  </w:style>
  <w:style w:type="character" w:customStyle="1" w:styleId="293">
    <w:name w:val="批注引用1"/>
    <w:qFormat/>
    <w:uiPriority w:val="0"/>
    <w:rPr>
      <w:sz w:val="21"/>
    </w:rPr>
  </w:style>
  <w:style w:type="character" w:customStyle="1" w:styleId="294">
    <w:name w:val="Char Char Char1"/>
    <w:qFormat/>
    <w:uiPriority w:val="0"/>
    <w:rPr>
      <w:rFonts w:eastAsia="宋体"/>
      <w:b/>
      <w:kern w:val="44"/>
      <w:sz w:val="44"/>
      <w:lang w:val="en-US" w:eastAsia="zh-CN"/>
    </w:rPr>
  </w:style>
  <w:style w:type="character" w:customStyle="1" w:styleId="295">
    <w:name w:val="正文标准 Char"/>
    <w:qFormat/>
    <w:uiPriority w:val="0"/>
    <w:rPr>
      <w:rFonts w:ascii="华文细黑" w:hAnsi="华文细黑" w:eastAsia="华文细黑"/>
      <w:sz w:val="24"/>
      <w:szCs w:val="24"/>
    </w:rPr>
  </w:style>
  <w:style w:type="character" w:customStyle="1" w:styleId="296">
    <w:name w:val="批注框文本 Char1"/>
    <w:semiHidden/>
    <w:qFormat/>
    <w:uiPriority w:val="99"/>
    <w:rPr>
      <w:kern w:val="2"/>
      <w:sz w:val="18"/>
      <w:szCs w:val="18"/>
    </w:rPr>
  </w:style>
  <w:style w:type="character" w:customStyle="1" w:styleId="297">
    <w:name w:val="表格文字 Char1"/>
    <w:link w:val="298"/>
    <w:qFormat/>
    <w:uiPriority w:val="0"/>
    <w:rPr>
      <w:rFonts w:ascii="Times New Roman" w:hAnsi="Times New Roman" w:eastAsia="仿宋" w:cs="宋体"/>
    </w:rPr>
  </w:style>
  <w:style w:type="paragraph" w:customStyle="1" w:styleId="298">
    <w:name w:val="表格文字"/>
    <w:basedOn w:val="1"/>
    <w:link w:val="297"/>
    <w:qFormat/>
    <w:uiPriority w:val="0"/>
    <w:pPr>
      <w:widowControl/>
      <w:adjustRightInd w:val="0"/>
      <w:snapToGrid w:val="0"/>
      <w:spacing w:line="240" w:lineRule="auto"/>
      <w:ind w:firstLine="0" w:firstLineChars="0"/>
      <w:jc w:val="center"/>
    </w:pPr>
    <w:rPr>
      <w:rFonts w:cs="宋体"/>
      <w:sz w:val="21"/>
      <w:szCs w:val="22"/>
    </w:rPr>
  </w:style>
  <w:style w:type="character" w:customStyle="1" w:styleId="299">
    <w:name w:val="正文文本缩进 3 字符"/>
    <w:link w:val="60"/>
    <w:qFormat/>
    <w:uiPriority w:val="99"/>
    <w:rPr>
      <w:sz w:val="16"/>
    </w:rPr>
  </w:style>
  <w:style w:type="character" w:customStyle="1" w:styleId="300">
    <w:name w:val="个人撰写风格"/>
    <w:qFormat/>
    <w:uiPriority w:val="0"/>
    <w:rPr>
      <w:rFonts w:ascii="Arial" w:hAnsi="Arial" w:eastAsia="宋体"/>
      <w:color w:val="auto"/>
      <w:sz w:val="20"/>
    </w:rPr>
  </w:style>
  <w:style w:type="character" w:customStyle="1" w:styleId="301">
    <w:name w:val="HTML 地址 字符"/>
    <w:link w:val="35"/>
    <w:qFormat/>
    <w:uiPriority w:val="0"/>
    <w:rPr>
      <w:i/>
    </w:rPr>
  </w:style>
  <w:style w:type="character" w:customStyle="1" w:styleId="302">
    <w:name w:val="尾注文本 字符"/>
    <w:link w:val="44"/>
    <w:qFormat/>
    <w:uiPriority w:val="99"/>
    <w:rPr>
      <w:szCs w:val="24"/>
    </w:rPr>
  </w:style>
  <w:style w:type="character" w:customStyle="1" w:styleId="303">
    <w:name w:val="脚注文本 Char1"/>
    <w:semiHidden/>
    <w:qFormat/>
    <w:uiPriority w:val="99"/>
    <w:rPr>
      <w:kern w:val="2"/>
      <w:sz w:val="18"/>
      <w:szCs w:val="18"/>
    </w:rPr>
  </w:style>
  <w:style w:type="character" w:customStyle="1" w:styleId="304">
    <w:name w:val="Char Char Char"/>
    <w:qFormat/>
    <w:uiPriority w:val="0"/>
    <w:rPr>
      <w:rFonts w:eastAsia="宋体"/>
      <w:b/>
      <w:kern w:val="44"/>
      <w:sz w:val="44"/>
      <w:lang w:val="en-US" w:eastAsia="zh-CN"/>
    </w:rPr>
  </w:style>
  <w:style w:type="character" w:customStyle="1" w:styleId="305">
    <w:name w:val="纯文本 字符"/>
    <w:link w:val="38"/>
    <w:qFormat/>
    <w:uiPriority w:val="99"/>
    <w:rPr>
      <w:rFonts w:ascii="宋体" w:hAnsi="Courier New"/>
    </w:rPr>
  </w:style>
  <w:style w:type="character" w:customStyle="1" w:styleId="306">
    <w:name w:val="正文缩2 Char"/>
    <w:link w:val="307"/>
    <w:qFormat/>
    <w:uiPriority w:val="0"/>
    <w:rPr>
      <w:sz w:val="24"/>
      <w:szCs w:val="24"/>
    </w:rPr>
  </w:style>
  <w:style w:type="paragraph" w:customStyle="1" w:styleId="307">
    <w:name w:val="正文缩2"/>
    <w:basedOn w:val="1"/>
    <w:link w:val="306"/>
    <w:qFormat/>
    <w:uiPriority w:val="0"/>
    <w:rPr>
      <w:rFonts w:asciiTheme="minorHAnsi" w:hAnsiTheme="minorHAnsi" w:eastAsiaTheme="minorEastAsia"/>
      <w:sz w:val="24"/>
      <w:szCs w:val="24"/>
    </w:rPr>
  </w:style>
  <w:style w:type="character" w:customStyle="1" w:styleId="308">
    <w:name w:val="批注文字 Char1"/>
    <w:semiHidden/>
    <w:qFormat/>
    <w:uiPriority w:val="99"/>
    <w:rPr>
      <w:kern w:val="2"/>
      <w:sz w:val="21"/>
    </w:rPr>
  </w:style>
  <w:style w:type="character" w:customStyle="1" w:styleId="309">
    <w:name w:val="发布"/>
    <w:qFormat/>
    <w:uiPriority w:val="0"/>
    <w:rPr>
      <w:rFonts w:ascii="黑体" w:eastAsia="黑体"/>
      <w:spacing w:val="22"/>
      <w:w w:val="100"/>
      <w:position w:val="3"/>
      <w:sz w:val="28"/>
    </w:rPr>
  </w:style>
  <w:style w:type="character" w:customStyle="1" w:styleId="310">
    <w:name w:val="Plain Text Char Char Char Char Char"/>
    <w:qFormat/>
    <w:uiPriority w:val="0"/>
    <w:rPr>
      <w:rFonts w:ascii="宋体" w:hAnsi="Courier New" w:eastAsia="宋体"/>
      <w:kern w:val="2"/>
      <w:sz w:val="21"/>
      <w:lang w:val="en-US" w:eastAsia="zh-CN"/>
    </w:rPr>
  </w:style>
  <w:style w:type="character" w:customStyle="1" w:styleId="311">
    <w:name w:val="个人答复风格"/>
    <w:qFormat/>
    <w:uiPriority w:val="0"/>
    <w:rPr>
      <w:rFonts w:ascii="Arial" w:hAnsi="Arial" w:eastAsia="宋体"/>
      <w:color w:val="auto"/>
      <w:sz w:val="20"/>
    </w:rPr>
  </w:style>
  <w:style w:type="character" w:customStyle="1" w:styleId="312">
    <w:name w:val="正文文本缩进 2 字符"/>
    <w:link w:val="43"/>
    <w:qFormat/>
    <w:uiPriority w:val="99"/>
    <w:rPr>
      <w:rFonts w:ascii="宋体" w:hAnsi="宋体"/>
    </w:rPr>
  </w:style>
  <w:style w:type="character" w:customStyle="1" w:styleId="313">
    <w:name w:val="HTML 预设格式 字符"/>
    <w:link w:val="69"/>
    <w:qFormat/>
    <w:uiPriority w:val="0"/>
    <w:rPr>
      <w:rFonts w:ascii="Courier New" w:hAnsi="Courier New"/>
    </w:rPr>
  </w:style>
  <w:style w:type="paragraph" w:customStyle="1" w:styleId="314">
    <w:name w:val="批注文字1"/>
    <w:basedOn w:val="1"/>
    <w:qFormat/>
    <w:uiPriority w:val="99"/>
    <w:pPr>
      <w:spacing w:line="240" w:lineRule="auto"/>
      <w:ind w:firstLine="0" w:firstLineChars="0"/>
      <w:jc w:val="left"/>
    </w:pPr>
    <w:rPr>
      <w:rFonts w:eastAsia="宋体" w:cs="Times New Roman"/>
      <w:kern w:val="0"/>
      <w:sz w:val="20"/>
      <w:szCs w:val="20"/>
    </w:rPr>
  </w:style>
  <w:style w:type="paragraph" w:customStyle="1" w:styleId="315">
    <w:name w:val="封面标准文稿编辑信息"/>
    <w:qFormat/>
    <w:uiPriority w:val="99"/>
    <w:pPr>
      <w:spacing w:before="180" w:line="180" w:lineRule="exact"/>
      <w:jc w:val="center"/>
    </w:pPr>
    <w:rPr>
      <w:rFonts w:ascii="宋体" w:hAnsi="Times New Roman" w:eastAsia="宋体" w:cs="Times New Roman"/>
      <w:kern w:val="2"/>
      <w:sz w:val="21"/>
      <w:szCs w:val="22"/>
      <w:lang w:val="en-US" w:eastAsia="zh-CN" w:bidi="ar-SA"/>
    </w:rPr>
  </w:style>
  <w:style w:type="paragraph" w:customStyle="1" w:styleId="316">
    <w:name w:val="标准书脚_奇数页"/>
    <w:qFormat/>
    <w:uiPriority w:val="99"/>
    <w:pPr>
      <w:spacing w:before="120"/>
      <w:jc w:val="right"/>
    </w:pPr>
    <w:rPr>
      <w:rFonts w:ascii="Times New Roman" w:hAnsi="Times New Roman" w:eastAsia="宋体" w:cs="Times New Roman"/>
      <w:kern w:val="2"/>
      <w:sz w:val="18"/>
      <w:szCs w:val="22"/>
      <w:lang w:val="en-US" w:eastAsia="zh-CN" w:bidi="ar-SA"/>
    </w:rPr>
  </w:style>
  <w:style w:type="paragraph" w:customStyle="1" w:styleId="317">
    <w:name w:val="参考文献、索引标题"/>
    <w:basedOn w:val="318"/>
    <w:next w:val="1"/>
    <w:qFormat/>
    <w:uiPriority w:val="0"/>
    <w:pPr>
      <w:spacing w:after="200"/>
    </w:pPr>
    <w:rPr>
      <w:sz w:val="21"/>
    </w:rPr>
  </w:style>
  <w:style w:type="paragraph" w:customStyle="1" w:styleId="318">
    <w:name w:val="前言、引言标题"/>
    <w:next w:val="1"/>
    <w:qFormat/>
    <w:uiPriority w:val="99"/>
    <w:pPr>
      <w:shd w:val="clear" w:color="FFFFFF" w:fill="FFFFFF"/>
      <w:spacing w:before="640" w:after="560"/>
      <w:jc w:val="center"/>
      <w:outlineLvl w:val="0"/>
    </w:pPr>
    <w:rPr>
      <w:rFonts w:ascii="黑体" w:hAnsi="Times New Roman" w:eastAsia="黑体" w:cs="Times New Roman"/>
      <w:kern w:val="2"/>
      <w:sz w:val="32"/>
      <w:szCs w:val="22"/>
      <w:lang w:val="en-US" w:eastAsia="zh-CN" w:bidi="ar-SA"/>
    </w:rPr>
  </w:style>
  <w:style w:type="paragraph" w:customStyle="1" w:styleId="319">
    <w:name w:val="附录表标题"/>
    <w:next w:val="151"/>
    <w:qFormat/>
    <w:uiPriority w:val="99"/>
    <w:pPr>
      <w:jc w:val="center"/>
      <w:textAlignment w:val="baseline"/>
    </w:pPr>
    <w:rPr>
      <w:rFonts w:ascii="黑体" w:hAnsi="Times New Roman" w:eastAsia="黑体" w:cs="Times New Roman"/>
      <w:kern w:val="21"/>
      <w:sz w:val="21"/>
      <w:szCs w:val="22"/>
      <w:lang w:val="en-US" w:eastAsia="zh-CN" w:bidi="ar-SA"/>
    </w:rPr>
  </w:style>
  <w:style w:type="paragraph" w:customStyle="1" w:styleId="320">
    <w:name w:val="图形标注"/>
    <w:basedOn w:val="18"/>
    <w:next w:val="18"/>
    <w:qFormat/>
    <w:uiPriority w:val="99"/>
    <w:pPr>
      <w:numPr>
        <w:ilvl w:val="8"/>
        <w:numId w:val="6"/>
      </w:numPr>
      <w:tabs>
        <w:tab w:val="left" w:pos="360"/>
      </w:tabs>
      <w:snapToGrid w:val="0"/>
      <w:spacing w:line="500" w:lineRule="exact"/>
      <w:ind w:left="0" w:firstLine="0"/>
      <w:jc w:val="center"/>
      <w:outlineLvl w:val="5"/>
    </w:pPr>
    <w:rPr>
      <w:rFonts w:ascii="Times New Roman" w:hAnsi="Times New Roman" w:eastAsia="宋体" w:cs="Times New Roman"/>
      <w:kern w:val="0"/>
      <w:sz w:val="21"/>
      <w:szCs w:val="24"/>
    </w:rPr>
  </w:style>
  <w:style w:type="paragraph" w:customStyle="1" w:styleId="321">
    <w:name w:val="标准书眉一"/>
    <w:qFormat/>
    <w:uiPriority w:val="99"/>
    <w:pPr>
      <w:jc w:val="both"/>
    </w:pPr>
    <w:rPr>
      <w:rFonts w:ascii="Times New Roman" w:hAnsi="Times New Roman" w:eastAsia="宋体" w:cs="Times New Roman"/>
      <w:kern w:val="2"/>
      <w:sz w:val="21"/>
      <w:szCs w:val="22"/>
      <w:lang w:val="en-US" w:eastAsia="zh-CN" w:bidi="ar-SA"/>
    </w:rPr>
  </w:style>
  <w:style w:type="paragraph" w:customStyle="1" w:styleId="322">
    <w:name w:val="二级无标题条"/>
    <w:basedOn w:val="1"/>
    <w:qFormat/>
    <w:uiPriority w:val="99"/>
    <w:pPr>
      <w:tabs>
        <w:tab w:val="left" w:pos="864"/>
      </w:tabs>
      <w:spacing w:line="240" w:lineRule="auto"/>
      <w:ind w:left="864" w:hanging="864" w:firstLineChars="0"/>
    </w:pPr>
    <w:rPr>
      <w:rFonts w:eastAsia="宋体" w:cs="Times New Roman"/>
      <w:sz w:val="21"/>
      <w:szCs w:val="20"/>
    </w:rPr>
  </w:style>
  <w:style w:type="paragraph" w:customStyle="1" w:styleId="323">
    <w:name w:val="批注框文本1"/>
    <w:basedOn w:val="1"/>
    <w:qFormat/>
    <w:uiPriority w:val="99"/>
    <w:pPr>
      <w:spacing w:line="240" w:lineRule="auto"/>
      <w:ind w:firstLine="0" w:firstLineChars="0"/>
    </w:pPr>
    <w:rPr>
      <w:rFonts w:eastAsia="宋体" w:cs="Times New Roman"/>
      <w:kern w:val="0"/>
      <w:sz w:val="18"/>
      <w:szCs w:val="20"/>
    </w:rPr>
  </w:style>
  <w:style w:type="paragraph" w:customStyle="1" w:styleId="324">
    <w:name w:val="图说a"/>
    <w:basedOn w:val="1"/>
    <w:qFormat/>
    <w:uiPriority w:val="99"/>
    <w:pPr>
      <w:topLinePunct/>
      <w:adjustRightInd w:val="0"/>
      <w:spacing w:before="60" w:after="160" w:line="312" w:lineRule="exact"/>
      <w:ind w:firstLine="420" w:firstLineChars="0"/>
      <w:jc w:val="center"/>
    </w:pPr>
    <w:rPr>
      <w:rFonts w:eastAsia="黑体" w:cs="Times New Roman"/>
      <w:sz w:val="21"/>
      <w:szCs w:val="20"/>
    </w:rPr>
  </w:style>
  <w:style w:type="character" w:customStyle="1" w:styleId="325">
    <w:name w:val="日期 字符1"/>
    <w:basedOn w:val="80"/>
    <w:semiHidden/>
    <w:qFormat/>
    <w:uiPriority w:val="99"/>
    <w:rPr>
      <w:kern w:val="2"/>
      <w:sz w:val="21"/>
      <w:szCs w:val="24"/>
    </w:rPr>
  </w:style>
  <w:style w:type="paragraph" w:customStyle="1" w:styleId="326">
    <w:name w:val="xl216"/>
    <w:basedOn w:val="1"/>
    <w:qFormat/>
    <w:uiPriority w:val="99"/>
    <w:pPr>
      <w:widowControl/>
      <w:spacing w:before="100" w:beforeAutospacing="1" w:after="100" w:afterAutospacing="1" w:line="240" w:lineRule="auto"/>
      <w:ind w:firstLine="0" w:firstLineChars="0"/>
      <w:jc w:val="left"/>
    </w:pPr>
    <w:rPr>
      <w:rFonts w:ascii="宋体" w:hAnsi="宋体" w:eastAsia="宋体" w:cs="宋体"/>
      <w:kern w:val="0"/>
      <w:sz w:val="21"/>
    </w:rPr>
  </w:style>
  <w:style w:type="paragraph" w:customStyle="1" w:styleId="327">
    <w:name w:val="封面一致性程度标识"/>
    <w:qFormat/>
    <w:uiPriority w:val="99"/>
    <w:pPr>
      <w:spacing w:before="440" w:line="400" w:lineRule="exact"/>
      <w:jc w:val="center"/>
    </w:pPr>
    <w:rPr>
      <w:rFonts w:ascii="宋体" w:hAnsi="Times New Roman" w:eastAsia="宋体" w:cs="Times New Roman"/>
      <w:kern w:val="2"/>
      <w:sz w:val="28"/>
      <w:szCs w:val="22"/>
      <w:lang w:val="en-US" w:eastAsia="zh-CN" w:bidi="ar-SA"/>
    </w:rPr>
  </w:style>
  <w:style w:type="character" w:customStyle="1" w:styleId="328">
    <w:name w:val="批注文字 字符1"/>
    <w:basedOn w:val="80"/>
    <w:semiHidden/>
    <w:qFormat/>
    <w:uiPriority w:val="99"/>
    <w:rPr>
      <w:kern w:val="2"/>
      <w:sz w:val="21"/>
      <w:szCs w:val="24"/>
    </w:rPr>
  </w:style>
  <w:style w:type="character" w:customStyle="1" w:styleId="329">
    <w:name w:val="批注主题 字符1"/>
    <w:basedOn w:val="328"/>
    <w:semiHidden/>
    <w:qFormat/>
    <w:uiPriority w:val="99"/>
    <w:rPr>
      <w:b/>
      <w:bCs/>
      <w:kern w:val="2"/>
      <w:sz w:val="21"/>
      <w:szCs w:val="24"/>
    </w:rPr>
  </w:style>
  <w:style w:type="character" w:customStyle="1" w:styleId="330">
    <w:name w:val="正文文本 字符1"/>
    <w:basedOn w:val="80"/>
    <w:semiHidden/>
    <w:qFormat/>
    <w:uiPriority w:val="99"/>
    <w:rPr>
      <w:kern w:val="2"/>
      <w:sz w:val="21"/>
      <w:szCs w:val="24"/>
    </w:rPr>
  </w:style>
  <w:style w:type="paragraph" w:customStyle="1" w:styleId="331">
    <w:name w:val="列项·"/>
    <w:qFormat/>
    <w:uiPriority w:val="99"/>
    <w:pPr>
      <w:tabs>
        <w:tab w:val="left" w:pos="840"/>
        <w:tab w:val="left" w:pos="1140"/>
      </w:tabs>
      <w:jc w:val="both"/>
    </w:pPr>
    <w:rPr>
      <w:rFonts w:ascii="宋体" w:hAnsi="Times New Roman" w:eastAsia="宋体" w:cs="Times New Roman"/>
      <w:kern w:val="2"/>
      <w:sz w:val="21"/>
      <w:szCs w:val="22"/>
      <w:lang w:val="en-US" w:eastAsia="zh-CN" w:bidi="ar-SA"/>
    </w:rPr>
  </w:style>
  <w:style w:type="paragraph" w:customStyle="1" w:styleId="332">
    <w:name w:val="示例"/>
    <w:next w:val="151"/>
    <w:qFormat/>
    <w:uiPriority w:val="99"/>
    <w:pPr>
      <w:tabs>
        <w:tab w:val="left" w:pos="1120"/>
      </w:tabs>
      <w:ind w:firstLine="400"/>
      <w:jc w:val="both"/>
    </w:pPr>
    <w:rPr>
      <w:rFonts w:ascii="宋体" w:hAnsi="Times New Roman" w:eastAsia="宋体" w:cs="Times New Roman"/>
      <w:kern w:val="2"/>
      <w:sz w:val="18"/>
      <w:szCs w:val="22"/>
      <w:lang w:val="en-US" w:eastAsia="zh-CN" w:bidi="ar-SA"/>
    </w:rPr>
  </w:style>
  <w:style w:type="paragraph" w:customStyle="1" w:styleId="333">
    <w:name w:val="xl33"/>
    <w:basedOn w:val="1"/>
    <w:qFormat/>
    <w:uiPriority w:val="99"/>
    <w:pPr>
      <w:widowControl/>
      <w:numPr>
        <w:ilvl w:val="3"/>
        <w:numId w:val="7"/>
      </w:numPr>
      <w:pBdr>
        <w:left w:val="single" w:color="auto" w:sz="4" w:space="0"/>
        <w:bottom w:val="single" w:color="auto" w:sz="4" w:space="0"/>
        <w:right w:val="single" w:color="auto" w:sz="4" w:space="0"/>
      </w:pBdr>
      <w:spacing w:before="100" w:beforeAutospacing="1" w:after="100" w:afterAutospacing="1" w:line="240" w:lineRule="auto"/>
      <w:ind w:left="0" w:firstLine="0" w:firstLineChars="0"/>
      <w:jc w:val="center"/>
    </w:pPr>
    <w:rPr>
      <w:rFonts w:eastAsia="Arial Unicode MS" w:cs="Times New Roman"/>
      <w:color w:val="000000"/>
      <w:kern w:val="0"/>
      <w:sz w:val="24"/>
      <w:szCs w:val="24"/>
    </w:rPr>
  </w:style>
  <w:style w:type="paragraph" w:customStyle="1" w:styleId="334">
    <w:name w:val="xl21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仿宋_GB2312" w:hAnsi="宋体" w:eastAsia="仿宋_GB2312" w:cs="宋体"/>
      <w:color w:val="000000"/>
      <w:kern w:val="0"/>
      <w:sz w:val="21"/>
    </w:rPr>
  </w:style>
  <w:style w:type="paragraph" w:customStyle="1" w:styleId="335">
    <w:name w:val="Char Char Char Char Char Char Char Char Char Char Char Char1"/>
    <w:basedOn w:val="1"/>
    <w:qFormat/>
    <w:uiPriority w:val="99"/>
    <w:pPr>
      <w:spacing w:line="240" w:lineRule="atLeast"/>
      <w:ind w:left="420" w:firstLine="420" w:firstLineChars="0"/>
    </w:pPr>
    <w:rPr>
      <w:rFonts w:eastAsia="宋体" w:cs="Times New Roman"/>
      <w:kern w:val="0"/>
      <w:sz w:val="21"/>
      <w:szCs w:val="20"/>
    </w:rPr>
  </w:style>
  <w:style w:type="paragraph" w:customStyle="1" w:styleId="336">
    <w:name w:val="标准书脚_偶数页"/>
    <w:qFormat/>
    <w:uiPriority w:val="99"/>
    <w:pPr>
      <w:spacing w:before="120"/>
    </w:pPr>
    <w:rPr>
      <w:rFonts w:ascii="Times New Roman" w:hAnsi="Times New Roman" w:eastAsia="宋体" w:cs="Times New Roman"/>
      <w:kern w:val="2"/>
      <w:sz w:val="18"/>
      <w:szCs w:val="22"/>
      <w:lang w:val="en-US" w:eastAsia="zh-CN" w:bidi="ar-SA"/>
    </w:rPr>
  </w:style>
  <w:style w:type="paragraph" w:customStyle="1" w:styleId="337">
    <w:name w:val="封面正文"/>
    <w:qFormat/>
    <w:uiPriority w:val="99"/>
    <w:pPr>
      <w:jc w:val="both"/>
    </w:pPr>
    <w:rPr>
      <w:rFonts w:ascii="Times New Roman" w:hAnsi="Times New Roman" w:eastAsia="宋体" w:cs="Times New Roman"/>
      <w:kern w:val="2"/>
      <w:sz w:val="21"/>
      <w:szCs w:val="22"/>
      <w:lang w:val="en-US" w:eastAsia="zh-CN" w:bidi="ar-SA"/>
    </w:rPr>
  </w:style>
  <w:style w:type="character" w:customStyle="1" w:styleId="338">
    <w:name w:val="纯文本 字符1"/>
    <w:basedOn w:val="80"/>
    <w:semiHidden/>
    <w:qFormat/>
    <w:uiPriority w:val="0"/>
    <w:rPr>
      <w:rFonts w:hAnsi="Courier New" w:cs="Courier New" w:asciiTheme="minorEastAsia"/>
      <w:sz w:val="28"/>
      <w:szCs w:val="21"/>
    </w:rPr>
  </w:style>
  <w:style w:type="character" w:customStyle="1" w:styleId="339">
    <w:name w:val="文档结构图 字符1"/>
    <w:basedOn w:val="80"/>
    <w:semiHidden/>
    <w:qFormat/>
    <w:uiPriority w:val="99"/>
    <w:rPr>
      <w:rFonts w:ascii="Microsoft YaHei UI" w:eastAsia="Microsoft YaHei UI"/>
      <w:kern w:val="2"/>
      <w:sz w:val="18"/>
      <w:szCs w:val="18"/>
    </w:rPr>
  </w:style>
  <w:style w:type="paragraph" w:customStyle="1" w:styleId="340">
    <w:name w:val="样式 标题 3条标题1.1.1h33rd level3Head 3sect1.2.3H3level_3PIM ..."/>
    <w:basedOn w:val="4"/>
    <w:qFormat/>
    <w:uiPriority w:val="99"/>
    <w:pPr>
      <w:numPr>
        <w:numId w:val="0"/>
      </w:numPr>
      <w:tabs>
        <w:tab w:val="left" w:pos="709"/>
      </w:tabs>
      <w:spacing w:before="312" w:beforeLines="100" w:after="312" w:afterLines="100" w:line="240" w:lineRule="auto"/>
      <w:ind w:left="709" w:hanging="709"/>
    </w:pPr>
    <w:rPr>
      <w:rFonts w:ascii="宋体" w:hAnsi="宋体"/>
      <w:b w:val="0"/>
      <w:bCs/>
      <w:kern w:val="28"/>
    </w:rPr>
  </w:style>
  <w:style w:type="paragraph" w:customStyle="1" w:styleId="341">
    <w:name w:val="CM6"/>
    <w:basedOn w:val="1"/>
    <w:next w:val="1"/>
    <w:qFormat/>
    <w:uiPriority w:val="99"/>
    <w:pPr>
      <w:autoSpaceDE w:val="0"/>
      <w:autoSpaceDN w:val="0"/>
      <w:adjustRightInd w:val="0"/>
      <w:spacing w:line="313" w:lineRule="atLeast"/>
      <w:ind w:firstLine="0" w:firstLineChars="0"/>
      <w:jc w:val="left"/>
    </w:pPr>
    <w:rPr>
      <w:rFonts w:eastAsia="宋体" w:cs="Times New Roman"/>
      <w:kern w:val="0"/>
      <w:sz w:val="24"/>
      <w:szCs w:val="20"/>
    </w:rPr>
  </w:style>
  <w:style w:type="paragraph" w:customStyle="1" w:styleId="342">
    <w:name w:val="发布部门"/>
    <w:next w:val="151"/>
    <w:qFormat/>
    <w:uiPriority w:val="99"/>
    <w:pPr>
      <w:jc w:val="center"/>
    </w:pPr>
    <w:rPr>
      <w:rFonts w:ascii="宋体" w:hAnsi="Times New Roman" w:eastAsia="宋体" w:cs="Times New Roman"/>
      <w:b/>
      <w:spacing w:val="20"/>
      <w:w w:val="135"/>
      <w:kern w:val="2"/>
      <w:sz w:val="36"/>
      <w:szCs w:val="22"/>
      <w:lang w:val="en-US" w:eastAsia="zh-CN" w:bidi="ar-SA"/>
    </w:rPr>
  </w:style>
  <w:style w:type="paragraph" w:customStyle="1" w:styleId="343">
    <w:name w:val="样式 章标题 + 段前: 0.5 行 段后: 0.5 行"/>
    <w:basedOn w:val="147"/>
    <w:qFormat/>
    <w:uiPriority w:val="99"/>
    <w:pPr>
      <w:numPr>
        <w:ilvl w:val="0"/>
        <w:numId w:val="0"/>
      </w:numPr>
      <w:tabs>
        <w:tab w:val="left" w:pos="432"/>
      </w:tabs>
      <w:spacing w:before="156" w:beforeLines="50" w:after="156" w:afterLines="50"/>
      <w:ind w:left="432" w:hanging="432"/>
    </w:pPr>
    <w:rPr>
      <w:kern w:val="2"/>
      <w:szCs w:val="22"/>
    </w:rPr>
  </w:style>
  <w:style w:type="paragraph" w:customStyle="1" w:styleId="344">
    <w:name w:val="xl43"/>
    <w:basedOn w:val="1"/>
    <w:qFormat/>
    <w:uiPriority w:val="99"/>
    <w:pPr>
      <w:widowControl/>
      <w:spacing w:before="100" w:beforeAutospacing="1" w:after="100" w:afterAutospacing="1" w:line="240" w:lineRule="auto"/>
      <w:ind w:firstLine="0" w:firstLineChars="0"/>
      <w:jc w:val="center"/>
    </w:pPr>
    <w:rPr>
      <w:rFonts w:ascii="宋体" w:hAnsi="宋体" w:eastAsia="宋体" w:cs="Times New Roman"/>
      <w:kern w:val="0"/>
      <w:sz w:val="24"/>
      <w:szCs w:val="24"/>
    </w:rPr>
  </w:style>
  <w:style w:type="paragraph" w:customStyle="1" w:styleId="345">
    <w:name w:val="标准书眉_奇数页"/>
    <w:next w:val="1"/>
    <w:qFormat/>
    <w:uiPriority w:val="99"/>
    <w:pPr>
      <w:tabs>
        <w:tab w:val="center" w:pos="4154"/>
        <w:tab w:val="right" w:pos="8306"/>
      </w:tabs>
      <w:spacing w:after="120"/>
      <w:jc w:val="right"/>
    </w:pPr>
    <w:rPr>
      <w:rFonts w:ascii="Times New Roman" w:hAnsi="Times New Roman" w:eastAsia="宋体" w:cs="Times New Roman"/>
      <w:kern w:val="2"/>
      <w:sz w:val="21"/>
      <w:szCs w:val="22"/>
      <w:lang w:val="en-US" w:eastAsia="zh-CN" w:bidi="ar-SA"/>
    </w:rPr>
  </w:style>
  <w:style w:type="character" w:customStyle="1" w:styleId="346">
    <w:name w:val="HTML 地址 字符1"/>
    <w:basedOn w:val="80"/>
    <w:semiHidden/>
    <w:qFormat/>
    <w:uiPriority w:val="0"/>
    <w:rPr>
      <w:rFonts w:ascii="Times New Roman" w:hAnsi="Times New Roman" w:eastAsia="仿宋"/>
      <w:i/>
      <w:iCs/>
      <w:sz w:val="28"/>
      <w:szCs w:val="21"/>
    </w:rPr>
  </w:style>
  <w:style w:type="paragraph" w:customStyle="1" w:styleId="347">
    <w:name w:val="标准标志"/>
    <w:next w:val="1"/>
    <w:qFormat/>
    <w:uiPriority w:val="99"/>
    <w:pPr>
      <w:shd w:val="solid" w:color="FFFFFF" w:fill="FFFFFF"/>
      <w:spacing w:line="0" w:lineRule="atLeast"/>
      <w:jc w:val="right"/>
    </w:pPr>
    <w:rPr>
      <w:rFonts w:ascii="Times New Roman" w:hAnsi="Times New Roman" w:eastAsia="宋体" w:cs="Times New Roman"/>
      <w:b/>
      <w:w w:val="130"/>
      <w:kern w:val="2"/>
      <w:sz w:val="96"/>
      <w:szCs w:val="22"/>
      <w:lang w:val="en-US" w:eastAsia="zh-CN" w:bidi="ar-SA"/>
    </w:rPr>
  </w:style>
  <w:style w:type="character" w:customStyle="1" w:styleId="348">
    <w:name w:val="正文文本缩进 字符1"/>
    <w:basedOn w:val="80"/>
    <w:semiHidden/>
    <w:qFormat/>
    <w:uiPriority w:val="0"/>
    <w:rPr>
      <w:kern w:val="2"/>
      <w:sz w:val="21"/>
      <w:szCs w:val="24"/>
    </w:rPr>
  </w:style>
  <w:style w:type="paragraph" w:customStyle="1" w:styleId="349">
    <w:name w:val="缩进"/>
    <w:basedOn w:val="1"/>
    <w:qFormat/>
    <w:uiPriority w:val="99"/>
    <w:pPr>
      <w:adjustRightInd w:val="0"/>
      <w:spacing w:line="640" w:lineRule="atLeast"/>
    </w:pPr>
    <w:rPr>
      <w:rFonts w:hint="eastAsia" w:ascii="宋体" w:eastAsia="宋体" w:cs="Times New Roman"/>
      <w:kern w:val="0"/>
      <w:sz w:val="32"/>
    </w:rPr>
  </w:style>
  <w:style w:type="character" w:customStyle="1" w:styleId="350">
    <w:name w:val="正文文本首行缩进 2 字符"/>
    <w:basedOn w:val="116"/>
    <w:link w:val="75"/>
    <w:qFormat/>
    <w:uiPriority w:val="99"/>
    <w:rPr>
      <w:rFonts w:ascii="Times New Roman" w:hAnsi="Times New Roman" w:eastAsia="宋体" w:cs="Times New Roman"/>
      <w:sz w:val="28"/>
      <w:szCs w:val="20"/>
      <w:lang w:val="zh-CN" w:eastAsia="zh-CN"/>
    </w:rPr>
  </w:style>
  <w:style w:type="paragraph" w:customStyle="1" w:styleId="351">
    <w:name w:val="三级条标题"/>
    <w:basedOn w:val="148"/>
    <w:next w:val="1"/>
    <w:link w:val="460"/>
    <w:qFormat/>
    <w:uiPriority w:val="0"/>
    <w:pPr>
      <w:numPr>
        <w:ilvl w:val="0"/>
        <w:numId w:val="0"/>
      </w:numPr>
      <w:spacing w:before="0" w:beforeLines="0" w:after="0" w:afterLines="0"/>
      <w:jc w:val="both"/>
      <w:outlineLvl w:val="4"/>
    </w:pPr>
    <w:rPr>
      <w:kern w:val="2"/>
      <w:szCs w:val="22"/>
    </w:rPr>
  </w:style>
  <w:style w:type="character" w:customStyle="1" w:styleId="352">
    <w:name w:val="正文文本缩进 2 字符1"/>
    <w:basedOn w:val="80"/>
    <w:semiHidden/>
    <w:qFormat/>
    <w:uiPriority w:val="0"/>
    <w:rPr>
      <w:rFonts w:ascii="Times New Roman" w:hAnsi="Times New Roman" w:eastAsia="仿宋"/>
      <w:sz w:val="28"/>
      <w:szCs w:val="21"/>
    </w:rPr>
  </w:style>
  <w:style w:type="character" w:customStyle="1" w:styleId="353">
    <w:name w:val="脚注文本 字符1"/>
    <w:basedOn w:val="80"/>
    <w:semiHidden/>
    <w:qFormat/>
    <w:uiPriority w:val="99"/>
    <w:rPr>
      <w:kern w:val="2"/>
      <w:sz w:val="18"/>
      <w:szCs w:val="18"/>
    </w:rPr>
  </w:style>
  <w:style w:type="character" w:customStyle="1" w:styleId="354">
    <w:name w:val="正文文本缩进 3 字符1"/>
    <w:basedOn w:val="80"/>
    <w:semiHidden/>
    <w:qFormat/>
    <w:uiPriority w:val="0"/>
    <w:rPr>
      <w:rFonts w:ascii="Times New Roman" w:hAnsi="Times New Roman" w:eastAsia="仿宋"/>
      <w:sz w:val="16"/>
      <w:szCs w:val="16"/>
    </w:rPr>
  </w:style>
  <w:style w:type="character" w:customStyle="1" w:styleId="355">
    <w:name w:val="批注框文本 字符1"/>
    <w:basedOn w:val="80"/>
    <w:semiHidden/>
    <w:qFormat/>
    <w:uiPriority w:val="99"/>
    <w:rPr>
      <w:kern w:val="2"/>
      <w:sz w:val="18"/>
      <w:szCs w:val="18"/>
    </w:rPr>
  </w:style>
  <w:style w:type="character" w:customStyle="1" w:styleId="356">
    <w:name w:val="尾注文本 字符1"/>
    <w:basedOn w:val="80"/>
    <w:semiHidden/>
    <w:qFormat/>
    <w:uiPriority w:val="0"/>
    <w:rPr>
      <w:rFonts w:ascii="Times New Roman" w:hAnsi="Times New Roman" w:eastAsia="仿宋"/>
      <w:sz w:val="28"/>
      <w:szCs w:val="21"/>
    </w:rPr>
  </w:style>
  <w:style w:type="character" w:customStyle="1" w:styleId="357">
    <w:name w:val="页脚 字符1"/>
    <w:basedOn w:val="80"/>
    <w:semiHidden/>
    <w:qFormat/>
    <w:uiPriority w:val="99"/>
    <w:rPr>
      <w:kern w:val="2"/>
      <w:sz w:val="18"/>
      <w:szCs w:val="18"/>
    </w:rPr>
  </w:style>
  <w:style w:type="paragraph" w:customStyle="1" w:styleId="358">
    <w:name w:val="Char Char Char Char"/>
    <w:basedOn w:val="1"/>
    <w:qFormat/>
    <w:uiPriority w:val="99"/>
    <w:pPr>
      <w:spacing w:line="240" w:lineRule="auto"/>
      <w:ind w:firstLine="0" w:firstLineChars="0"/>
    </w:pPr>
    <w:rPr>
      <w:rFonts w:eastAsia="方正仿宋_GBK" w:cs="Times New Roman"/>
      <w:sz w:val="32"/>
      <w:szCs w:val="24"/>
    </w:rPr>
  </w:style>
  <w:style w:type="character" w:customStyle="1" w:styleId="359">
    <w:name w:val="页眉 字符1"/>
    <w:basedOn w:val="80"/>
    <w:semiHidden/>
    <w:qFormat/>
    <w:uiPriority w:val="99"/>
    <w:rPr>
      <w:kern w:val="2"/>
      <w:sz w:val="18"/>
      <w:szCs w:val="18"/>
    </w:rPr>
  </w:style>
  <w:style w:type="paragraph" w:customStyle="1" w:styleId="360">
    <w:name w:val="封面标准号1"/>
    <w:qFormat/>
    <w:uiPriority w:val="99"/>
    <w:pPr>
      <w:widowControl w:val="0"/>
      <w:kinsoku w:val="0"/>
      <w:overflowPunct w:val="0"/>
      <w:autoSpaceDE w:val="0"/>
      <w:autoSpaceDN w:val="0"/>
      <w:spacing w:before="308"/>
      <w:jc w:val="right"/>
      <w:textAlignment w:val="center"/>
    </w:pPr>
    <w:rPr>
      <w:rFonts w:ascii="Times New Roman" w:hAnsi="Times New Roman" w:eastAsia="宋体" w:cs="Times New Roman"/>
      <w:kern w:val="2"/>
      <w:sz w:val="28"/>
      <w:szCs w:val="22"/>
      <w:lang w:val="en-US" w:eastAsia="zh-CN" w:bidi="ar-SA"/>
    </w:rPr>
  </w:style>
  <w:style w:type="character" w:customStyle="1" w:styleId="361">
    <w:name w:val="标题 字符1"/>
    <w:basedOn w:val="80"/>
    <w:qFormat/>
    <w:uiPriority w:val="10"/>
    <w:rPr>
      <w:rFonts w:asciiTheme="majorHAnsi" w:hAnsiTheme="majorHAnsi" w:eastAsiaTheme="majorEastAsia" w:cstheme="majorBidi"/>
      <w:b/>
      <w:bCs/>
      <w:kern w:val="2"/>
      <w:sz w:val="32"/>
      <w:szCs w:val="32"/>
    </w:rPr>
  </w:style>
  <w:style w:type="paragraph" w:customStyle="1" w:styleId="362">
    <w:name w:val="附录一级条标题"/>
    <w:basedOn w:val="363"/>
    <w:next w:val="151"/>
    <w:qFormat/>
    <w:uiPriority w:val="0"/>
    <w:pPr>
      <w:tabs>
        <w:tab w:val="left" w:pos="1820"/>
      </w:tabs>
      <w:autoSpaceDN w:val="0"/>
      <w:spacing w:before="0" w:beforeLines="0" w:after="0" w:afterLines="0"/>
      <w:ind w:left="1820" w:hanging="420"/>
      <w:outlineLvl w:val="2"/>
    </w:pPr>
  </w:style>
  <w:style w:type="paragraph" w:customStyle="1" w:styleId="363">
    <w:name w:val="附录章标题"/>
    <w:next w:val="151"/>
    <w:qFormat/>
    <w:uiPriority w:val="99"/>
    <w:pPr>
      <w:wordWrap w:val="0"/>
      <w:overflowPunct w:val="0"/>
      <w:autoSpaceDE w:val="0"/>
      <w:spacing w:before="156" w:beforeLines="50" w:after="156" w:afterLines="50"/>
      <w:jc w:val="center"/>
      <w:textAlignment w:val="baseline"/>
      <w:outlineLvl w:val="1"/>
    </w:pPr>
    <w:rPr>
      <w:rFonts w:ascii="黑体" w:hAnsi="Times New Roman" w:eastAsia="黑体" w:cs="Times New Roman"/>
      <w:kern w:val="21"/>
      <w:sz w:val="21"/>
      <w:szCs w:val="22"/>
      <w:lang w:val="en-US" w:eastAsia="zh-CN" w:bidi="ar-SA"/>
    </w:rPr>
  </w:style>
  <w:style w:type="paragraph" w:customStyle="1" w:styleId="364">
    <w:name w:val="样式 标题 1h11st levelSection Headl1章标题 1featurehead标题 1，宋体，三..."/>
    <w:basedOn w:val="3"/>
    <w:qFormat/>
    <w:uiPriority w:val="99"/>
    <w:pPr>
      <w:numPr>
        <w:ilvl w:val="0"/>
        <w:numId w:val="0"/>
      </w:numPr>
      <w:tabs>
        <w:tab w:val="left" w:pos="567"/>
      </w:tabs>
      <w:spacing w:before="300"/>
      <w:ind w:left="567" w:hanging="567"/>
      <w:jc w:val="both"/>
    </w:pPr>
    <w:rPr>
      <w:rFonts w:ascii="华文细黑" w:hAnsi="华文细黑" w:eastAsia="华文细黑" w:cs="宋体"/>
      <w:szCs w:val="20"/>
    </w:rPr>
  </w:style>
  <w:style w:type="paragraph" w:customStyle="1" w:styleId="365">
    <w:name w:val="附录四级条标题"/>
    <w:basedOn w:val="366"/>
    <w:next w:val="151"/>
    <w:qFormat/>
    <w:uiPriority w:val="0"/>
    <w:pPr>
      <w:tabs>
        <w:tab w:val="left" w:pos="2240"/>
        <w:tab w:val="left" w:pos="2660"/>
        <w:tab w:val="left" w:pos="3080"/>
      </w:tabs>
      <w:ind w:left="3080"/>
      <w:outlineLvl w:val="5"/>
    </w:pPr>
  </w:style>
  <w:style w:type="paragraph" w:customStyle="1" w:styleId="366">
    <w:name w:val="附录三级条标题"/>
    <w:basedOn w:val="367"/>
    <w:next w:val="151"/>
    <w:qFormat/>
    <w:uiPriority w:val="0"/>
    <w:pPr>
      <w:tabs>
        <w:tab w:val="left" w:pos="2240"/>
        <w:tab w:val="left" w:pos="2660"/>
      </w:tabs>
      <w:ind w:left="2660"/>
      <w:outlineLvl w:val="4"/>
    </w:pPr>
  </w:style>
  <w:style w:type="paragraph" w:customStyle="1" w:styleId="367">
    <w:name w:val="附录二级条标题"/>
    <w:basedOn w:val="362"/>
    <w:next w:val="151"/>
    <w:qFormat/>
    <w:uiPriority w:val="0"/>
    <w:pPr>
      <w:tabs>
        <w:tab w:val="left" w:pos="2240"/>
        <w:tab w:val="clear" w:pos="1820"/>
      </w:tabs>
      <w:ind w:left="2240"/>
      <w:outlineLvl w:val="3"/>
    </w:pPr>
  </w:style>
  <w:style w:type="paragraph" w:customStyle="1" w:styleId="368">
    <w:name w:val="Char Char Char3 Char Char Char Char"/>
    <w:basedOn w:val="1"/>
    <w:qFormat/>
    <w:uiPriority w:val="99"/>
    <w:pPr>
      <w:ind w:firstLine="0" w:firstLineChars="0"/>
    </w:pPr>
    <w:rPr>
      <w:rFonts w:eastAsia="宋体" w:cs="Times New Roman"/>
      <w:sz w:val="24"/>
      <w:szCs w:val="24"/>
    </w:rPr>
  </w:style>
  <w:style w:type="paragraph" w:customStyle="1" w:styleId="369">
    <w:name w:val="样式 首行缩进:  2 字符"/>
    <w:basedOn w:val="1"/>
    <w:link w:val="558"/>
    <w:qFormat/>
    <w:uiPriority w:val="0"/>
    <w:pPr>
      <w:ind w:firstLine="560"/>
    </w:pPr>
    <w:rPr>
      <w:rFonts w:eastAsia="仿宋_GB2312" w:cs="宋体"/>
    </w:rPr>
  </w:style>
  <w:style w:type="character" w:customStyle="1" w:styleId="370">
    <w:name w:val="HTML 预设格式 字符1"/>
    <w:basedOn w:val="80"/>
    <w:semiHidden/>
    <w:qFormat/>
    <w:uiPriority w:val="0"/>
    <w:rPr>
      <w:rFonts w:ascii="Courier New" w:hAnsi="Courier New" w:eastAsia="仿宋" w:cs="Courier New"/>
      <w:sz w:val="20"/>
      <w:szCs w:val="20"/>
    </w:rPr>
  </w:style>
  <w:style w:type="paragraph" w:customStyle="1" w:styleId="371">
    <w:name w:val="封面标准号2"/>
    <w:basedOn w:val="360"/>
    <w:qFormat/>
    <w:uiPriority w:val="99"/>
    <w:pPr>
      <w:adjustRightInd w:val="0"/>
      <w:spacing w:before="357" w:line="280" w:lineRule="exact"/>
    </w:pPr>
  </w:style>
  <w:style w:type="paragraph" w:customStyle="1" w:styleId="372">
    <w:name w:val="font0"/>
    <w:basedOn w:val="1"/>
    <w:qFormat/>
    <w:uiPriority w:val="99"/>
    <w:pPr>
      <w:widowControl/>
      <w:spacing w:before="100" w:beforeAutospacing="1" w:after="100" w:afterAutospacing="1" w:line="240" w:lineRule="auto"/>
      <w:ind w:firstLine="0" w:firstLineChars="0"/>
      <w:jc w:val="left"/>
    </w:pPr>
    <w:rPr>
      <w:rFonts w:hint="eastAsia" w:ascii="宋体" w:hAnsi="宋体" w:eastAsia="宋体" w:cs="Times New Roman"/>
      <w:kern w:val="0"/>
      <w:sz w:val="24"/>
      <w:szCs w:val="24"/>
    </w:rPr>
  </w:style>
  <w:style w:type="paragraph" w:customStyle="1" w:styleId="373">
    <w:name w:val="表格内容"/>
    <w:basedOn w:val="1"/>
    <w:link w:val="462"/>
    <w:qFormat/>
    <w:uiPriority w:val="0"/>
    <w:pPr>
      <w:spacing w:line="240" w:lineRule="auto"/>
      <w:ind w:firstLine="0" w:firstLineChars="0"/>
      <w:jc w:val="center"/>
    </w:pPr>
    <w:rPr>
      <w:rFonts w:eastAsia="宋体" w:cs="Times New Roman"/>
      <w:sz w:val="24"/>
      <w:szCs w:val="20"/>
    </w:rPr>
  </w:style>
  <w:style w:type="paragraph" w:customStyle="1" w:styleId="374">
    <w:name w:val="标题1"/>
    <w:qFormat/>
    <w:uiPriority w:val="99"/>
    <w:pPr>
      <w:numPr>
        <w:ilvl w:val="1"/>
        <w:numId w:val="8"/>
      </w:numPr>
      <w:spacing w:before="240" w:after="240" w:line="360" w:lineRule="auto"/>
      <w:ind w:left="425" w:hanging="425"/>
      <w:outlineLvl w:val="0"/>
    </w:pPr>
    <w:rPr>
      <w:rFonts w:ascii="黑体" w:hAnsi="Times New Roman" w:eastAsia="黑体" w:cs="Times New Roman"/>
      <w:bCs/>
      <w:kern w:val="44"/>
      <w:sz w:val="30"/>
      <w:szCs w:val="30"/>
      <w:lang w:val="en-US" w:eastAsia="zh-CN" w:bidi="ar-SA"/>
    </w:rPr>
  </w:style>
  <w:style w:type="paragraph" w:customStyle="1" w:styleId="375">
    <w:name w:val="其他标准称谓"/>
    <w:qFormat/>
    <w:uiPriority w:val="99"/>
    <w:pPr>
      <w:spacing w:line="0" w:lineRule="atLeast"/>
      <w:jc w:val="distribute"/>
    </w:pPr>
    <w:rPr>
      <w:rFonts w:ascii="黑体" w:hAnsi="宋体" w:eastAsia="黑体" w:cs="Times New Roman"/>
      <w:kern w:val="2"/>
      <w:sz w:val="52"/>
      <w:szCs w:val="22"/>
      <w:lang w:val="en-US" w:eastAsia="zh-CN" w:bidi="ar-SA"/>
    </w:rPr>
  </w:style>
  <w:style w:type="paragraph" w:customStyle="1" w:styleId="376">
    <w:name w:val="列项——"/>
    <w:qFormat/>
    <w:uiPriority w:val="99"/>
    <w:pPr>
      <w:widowControl w:val="0"/>
      <w:tabs>
        <w:tab w:val="left" w:pos="1140"/>
      </w:tabs>
      <w:ind w:left="425" w:hanging="425"/>
      <w:jc w:val="both"/>
    </w:pPr>
    <w:rPr>
      <w:rFonts w:ascii="宋体" w:hAnsi="Times New Roman" w:eastAsia="宋体" w:cs="Times New Roman"/>
      <w:kern w:val="2"/>
      <w:sz w:val="21"/>
      <w:szCs w:val="22"/>
      <w:lang w:val="en-US" w:eastAsia="zh-CN" w:bidi="ar-SA"/>
    </w:rPr>
  </w:style>
  <w:style w:type="paragraph" w:customStyle="1" w:styleId="377">
    <w:name w:val="图片a"/>
    <w:basedOn w:val="1"/>
    <w:qFormat/>
    <w:uiPriority w:val="99"/>
    <w:pPr>
      <w:topLinePunct/>
      <w:adjustRightInd w:val="0"/>
      <w:snapToGrid w:val="0"/>
      <w:spacing w:before="160" w:after="60" w:line="240" w:lineRule="auto"/>
      <w:ind w:firstLine="0" w:firstLineChars="0"/>
      <w:jc w:val="center"/>
    </w:pPr>
    <w:rPr>
      <w:rFonts w:eastAsia="宋体" w:cs="Times New Roman"/>
      <w:sz w:val="21"/>
      <w:szCs w:val="20"/>
    </w:rPr>
  </w:style>
  <w:style w:type="paragraph" w:customStyle="1" w:styleId="378">
    <w:name w:val="附录标识"/>
    <w:basedOn w:val="318"/>
    <w:qFormat/>
    <w:uiPriority w:val="99"/>
    <w:pPr>
      <w:tabs>
        <w:tab w:val="left" w:pos="6405"/>
      </w:tabs>
      <w:spacing w:after="200"/>
    </w:pPr>
    <w:rPr>
      <w:sz w:val="21"/>
    </w:rPr>
  </w:style>
  <w:style w:type="paragraph" w:customStyle="1" w:styleId="379">
    <w:name w:val="封面标准文稿类别"/>
    <w:qFormat/>
    <w:uiPriority w:val="99"/>
    <w:pPr>
      <w:spacing w:before="440" w:line="400" w:lineRule="exact"/>
      <w:jc w:val="center"/>
    </w:pPr>
    <w:rPr>
      <w:rFonts w:ascii="宋体" w:hAnsi="Times New Roman" w:eastAsia="宋体" w:cs="Times New Roman"/>
      <w:kern w:val="2"/>
      <w:sz w:val="24"/>
      <w:szCs w:val="22"/>
      <w:lang w:val="en-US" w:eastAsia="zh-CN" w:bidi="ar-SA"/>
    </w:rPr>
  </w:style>
  <w:style w:type="paragraph" w:customStyle="1" w:styleId="380">
    <w:name w:val="一级无标题条"/>
    <w:basedOn w:val="1"/>
    <w:qFormat/>
    <w:uiPriority w:val="99"/>
    <w:pPr>
      <w:tabs>
        <w:tab w:val="left" w:pos="0"/>
      </w:tabs>
      <w:spacing w:line="240" w:lineRule="auto"/>
      <w:ind w:firstLine="0" w:firstLineChars="0"/>
    </w:pPr>
    <w:rPr>
      <w:rFonts w:eastAsia="宋体" w:cs="Times New Roman"/>
      <w:sz w:val="21"/>
      <w:szCs w:val="20"/>
    </w:rPr>
  </w:style>
  <w:style w:type="paragraph" w:customStyle="1" w:styleId="381">
    <w:name w:val="Char Char Char Char Char Char Char Char Char Char Char Char"/>
    <w:basedOn w:val="1"/>
    <w:qFormat/>
    <w:uiPriority w:val="99"/>
    <w:pPr>
      <w:spacing w:line="240" w:lineRule="atLeast"/>
      <w:ind w:left="420" w:firstLine="420" w:firstLineChars="0"/>
    </w:pPr>
    <w:rPr>
      <w:rFonts w:eastAsia="宋体" w:cs="Times New Roman"/>
      <w:kern w:val="0"/>
      <w:sz w:val="21"/>
      <w:szCs w:val="20"/>
    </w:rPr>
  </w:style>
  <w:style w:type="paragraph" w:customStyle="1" w:styleId="382">
    <w:name w:val="封面标准代替信息"/>
    <w:basedOn w:val="371"/>
    <w:qFormat/>
    <w:uiPriority w:val="99"/>
    <w:pPr>
      <w:spacing w:before="57"/>
    </w:pPr>
    <w:rPr>
      <w:rFonts w:ascii="宋体"/>
      <w:sz w:val="21"/>
    </w:rPr>
  </w:style>
  <w:style w:type="paragraph" w:customStyle="1" w:styleId="383">
    <w:name w:val="注×："/>
    <w:qFormat/>
    <w:uiPriority w:val="99"/>
    <w:pPr>
      <w:widowControl w:val="0"/>
      <w:tabs>
        <w:tab w:val="left" w:pos="630"/>
        <w:tab w:val="left" w:pos="900"/>
      </w:tabs>
      <w:autoSpaceDE w:val="0"/>
      <w:autoSpaceDN w:val="0"/>
      <w:ind w:left="900" w:hanging="500"/>
      <w:jc w:val="both"/>
    </w:pPr>
    <w:rPr>
      <w:rFonts w:ascii="宋体" w:hAnsi="Times New Roman" w:eastAsia="宋体" w:cs="Times New Roman"/>
      <w:kern w:val="2"/>
      <w:sz w:val="18"/>
      <w:szCs w:val="22"/>
      <w:lang w:val="en-US" w:eastAsia="zh-CN" w:bidi="ar-SA"/>
    </w:rPr>
  </w:style>
  <w:style w:type="paragraph" w:customStyle="1" w:styleId="384">
    <w:name w:val="五级无标题条"/>
    <w:basedOn w:val="1"/>
    <w:qFormat/>
    <w:uiPriority w:val="99"/>
    <w:pPr>
      <w:tabs>
        <w:tab w:val="left" w:pos="1296"/>
      </w:tabs>
      <w:spacing w:line="240" w:lineRule="auto"/>
      <w:ind w:left="1296" w:hanging="1296" w:firstLineChars="0"/>
    </w:pPr>
    <w:rPr>
      <w:rFonts w:eastAsia="宋体" w:cs="Times New Roman"/>
      <w:sz w:val="21"/>
      <w:szCs w:val="20"/>
    </w:rPr>
  </w:style>
  <w:style w:type="paragraph" w:customStyle="1" w:styleId="385">
    <w:name w:val="正文表标题"/>
    <w:next w:val="151"/>
    <w:qFormat/>
    <w:uiPriority w:val="99"/>
    <w:pPr>
      <w:jc w:val="center"/>
    </w:pPr>
    <w:rPr>
      <w:rFonts w:ascii="黑体" w:hAnsi="Times New Roman" w:eastAsia="黑体" w:cs="Times New Roman"/>
      <w:kern w:val="2"/>
      <w:sz w:val="21"/>
      <w:szCs w:val="22"/>
      <w:lang w:val="en-US" w:eastAsia="zh-CN" w:bidi="ar-SA"/>
    </w:rPr>
  </w:style>
  <w:style w:type="paragraph" w:customStyle="1" w:styleId="386">
    <w:name w:val="文献分类号"/>
    <w:qFormat/>
    <w:uiPriority w:val="99"/>
    <w:pPr>
      <w:widowControl w:val="0"/>
      <w:textAlignment w:val="center"/>
    </w:pPr>
    <w:rPr>
      <w:rFonts w:ascii="Times New Roman" w:hAnsi="Times New Roman" w:eastAsia="黑体" w:cs="Times New Roman"/>
      <w:kern w:val="2"/>
      <w:sz w:val="21"/>
      <w:szCs w:val="22"/>
      <w:lang w:val="en-US" w:eastAsia="zh-CN" w:bidi="ar-SA"/>
    </w:rPr>
  </w:style>
  <w:style w:type="paragraph" w:customStyle="1" w:styleId="387">
    <w:name w:val="实施日期"/>
    <w:basedOn w:val="388"/>
    <w:qFormat/>
    <w:uiPriority w:val="0"/>
    <w:pPr>
      <w:jc w:val="right"/>
    </w:pPr>
  </w:style>
  <w:style w:type="paragraph" w:customStyle="1" w:styleId="388">
    <w:name w:val="发布日期"/>
    <w:qFormat/>
    <w:uiPriority w:val="99"/>
    <w:rPr>
      <w:rFonts w:ascii="Times New Roman" w:hAnsi="Times New Roman" w:eastAsia="黑体" w:cs="Times New Roman"/>
      <w:kern w:val="2"/>
      <w:sz w:val="28"/>
      <w:szCs w:val="22"/>
      <w:lang w:val="en-US" w:eastAsia="zh-CN" w:bidi="ar-SA"/>
    </w:rPr>
  </w:style>
  <w:style w:type="paragraph" w:customStyle="1" w:styleId="389">
    <w:name w:val="数字编号列项（二级）"/>
    <w:qFormat/>
    <w:uiPriority w:val="99"/>
    <w:pPr>
      <w:ind w:left="1260" w:leftChars="400" w:hanging="420" w:hangingChars="200"/>
      <w:jc w:val="both"/>
    </w:pPr>
    <w:rPr>
      <w:rFonts w:ascii="宋体" w:hAnsi="Times New Roman" w:eastAsia="宋体" w:cs="Times New Roman"/>
      <w:kern w:val="2"/>
      <w:sz w:val="21"/>
      <w:szCs w:val="22"/>
      <w:lang w:val="en-US" w:eastAsia="zh-CN" w:bidi="ar-SA"/>
    </w:rPr>
  </w:style>
  <w:style w:type="paragraph" w:customStyle="1" w:styleId="390">
    <w:name w:val="字母编号列项（一级）"/>
    <w:qFormat/>
    <w:uiPriority w:val="99"/>
    <w:pPr>
      <w:ind w:left="840" w:leftChars="200" w:hanging="420" w:hangingChars="200"/>
      <w:jc w:val="both"/>
    </w:pPr>
    <w:rPr>
      <w:rFonts w:ascii="宋体" w:hAnsi="Times New Roman" w:eastAsia="宋体" w:cs="Times New Roman"/>
      <w:kern w:val="2"/>
      <w:sz w:val="21"/>
      <w:szCs w:val="22"/>
      <w:lang w:val="en-US" w:eastAsia="zh-CN" w:bidi="ar-SA"/>
    </w:rPr>
  </w:style>
  <w:style w:type="paragraph" w:customStyle="1" w:styleId="391">
    <w:name w:val="目次、标准名称标题"/>
    <w:basedOn w:val="318"/>
    <w:next w:val="151"/>
    <w:qFormat/>
    <w:uiPriority w:val="99"/>
    <w:pPr>
      <w:spacing w:line="460" w:lineRule="exact"/>
    </w:pPr>
  </w:style>
  <w:style w:type="paragraph" w:customStyle="1" w:styleId="392">
    <w:name w:val="正文图标题"/>
    <w:next w:val="151"/>
    <w:qFormat/>
    <w:uiPriority w:val="99"/>
    <w:pPr>
      <w:jc w:val="center"/>
    </w:pPr>
    <w:rPr>
      <w:rFonts w:ascii="黑体" w:hAnsi="Times New Roman" w:eastAsia="黑体" w:cs="Times New Roman"/>
      <w:kern w:val="2"/>
      <w:sz w:val="21"/>
      <w:szCs w:val="22"/>
      <w:lang w:val="en-US" w:eastAsia="zh-CN" w:bidi="ar-SA"/>
    </w:rPr>
  </w:style>
  <w:style w:type="paragraph" w:customStyle="1" w:styleId="393">
    <w:name w:val="目次、索引正文"/>
    <w:qFormat/>
    <w:uiPriority w:val="99"/>
    <w:pPr>
      <w:spacing w:line="320" w:lineRule="exact"/>
      <w:jc w:val="both"/>
    </w:pPr>
    <w:rPr>
      <w:rFonts w:ascii="宋体" w:hAnsi="Times New Roman" w:eastAsia="宋体" w:cs="Times New Roman"/>
      <w:kern w:val="2"/>
      <w:sz w:val="21"/>
      <w:szCs w:val="22"/>
      <w:lang w:val="en-US" w:eastAsia="zh-CN" w:bidi="ar-SA"/>
    </w:rPr>
  </w:style>
  <w:style w:type="paragraph" w:customStyle="1" w:styleId="394">
    <w:name w:val="附录五级条标题"/>
    <w:basedOn w:val="365"/>
    <w:next w:val="151"/>
    <w:qFormat/>
    <w:uiPriority w:val="0"/>
    <w:pPr>
      <w:outlineLvl w:val="6"/>
    </w:pPr>
  </w:style>
  <w:style w:type="paragraph" w:customStyle="1" w:styleId="395">
    <w:name w:val="标准书眉_偶数页"/>
    <w:basedOn w:val="345"/>
    <w:next w:val="1"/>
    <w:qFormat/>
    <w:uiPriority w:val="99"/>
    <w:pPr>
      <w:jc w:val="left"/>
    </w:pPr>
  </w:style>
  <w:style w:type="paragraph" w:customStyle="1" w:styleId="396">
    <w:name w:val="封面标准名称"/>
    <w:qFormat/>
    <w:uiPriority w:val="99"/>
    <w:pPr>
      <w:widowControl w:val="0"/>
      <w:spacing w:line="680" w:lineRule="exact"/>
      <w:jc w:val="center"/>
      <w:textAlignment w:val="center"/>
    </w:pPr>
    <w:rPr>
      <w:rFonts w:ascii="黑体" w:hAnsi="Times New Roman" w:eastAsia="黑体" w:cs="Times New Roman"/>
      <w:kern w:val="2"/>
      <w:sz w:val="52"/>
      <w:szCs w:val="22"/>
      <w:lang w:val="en-US" w:eastAsia="zh-CN" w:bidi="ar-SA"/>
    </w:rPr>
  </w:style>
  <w:style w:type="paragraph" w:customStyle="1" w:styleId="397">
    <w:name w:val="四级无标题条"/>
    <w:basedOn w:val="1"/>
    <w:qFormat/>
    <w:uiPriority w:val="99"/>
    <w:pPr>
      <w:tabs>
        <w:tab w:val="left" w:pos="1152"/>
      </w:tabs>
      <w:spacing w:line="240" w:lineRule="auto"/>
      <w:ind w:left="1152" w:hanging="1152" w:firstLineChars="0"/>
    </w:pPr>
    <w:rPr>
      <w:rFonts w:eastAsia="宋体" w:cs="Times New Roman"/>
      <w:sz w:val="21"/>
      <w:szCs w:val="20"/>
    </w:rPr>
  </w:style>
  <w:style w:type="paragraph" w:customStyle="1" w:styleId="398">
    <w:name w:val="Char2 Char Char Char Char Char Char1"/>
    <w:basedOn w:val="1"/>
    <w:qFormat/>
    <w:uiPriority w:val="99"/>
    <w:pPr>
      <w:spacing w:line="240" w:lineRule="atLeast"/>
      <w:ind w:left="420" w:firstLine="420" w:firstLineChars="0"/>
    </w:pPr>
    <w:rPr>
      <w:rFonts w:eastAsia="宋体" w:cs="Times New Roman"/>
      <w:sz w:val="21"/>
      <w:szCs w:val="20"/>
    </w:rPr>
  </w:style>
  <w:style w:type="paragraph" w:customStyle="1" w:styleId="399">
    <w:name w:val="三级无标题条"/>
    <w:basedOn w:val="1"/>
    <w:qFormat/>
    <w:uiPriority w:val="99"/>
    <w:pPr>
      <w:tabs>
        <w:tab w:val="left" w:pos="1008"/>
      </w:tabs>
      <w:spacing w:line="240" w:lineRule="auto"/>
      <w:ind w:left="1008" w:hanging="1008" w:firstLineChars="0"/>
    </w:pPr>
    <w:rPr>
      <w:rFonts w:eastAsia="宋体" w:cs="Times New Roman"/>
      <w:sz w:val="21"/>
      <w:szCs w:val="20"/>
    </w:rPr>
  </w:style>
  <w:style w:type="paragraph" w:customStyle="1" w:styleId="400">
    <w:name w:val="xl21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仿宋_GB2312" w:hAnsi="宋体" w:eastAsia="仿宋_GB2312" w:cs="宋体"/>
      <w:kern w:val="0"/>
      <w:sz w:val="21"/>
    </w:rPr>
  </w:style>
  <w:style w:type="paragraph" w:customStyle="1" w:styleId="401">
    <w:name w:val="_Style 97"/>
    <w:basedOn w:val="1"/>
    <w:qFormat/>
    <w:uiPriority w:val="99"/>
    <w:pPr>
      <w:spacing w:line="240" w:lineRule="auto"/>
      <w:ind w:firstLine="0" w:firstLineChars="0"/>
    </w:pPr>
    <w:rPr>
      <w:rFonts w:eastAsia="宋体" w:cs="Times New Roman"/>
      <w:sz w:val="21"/>
      <w:szCs w:val="20"/>
    </w:rPr>
  </w:style>
  <w:style w:type="paragraph" w:customStyle="1" w:styleId="402">
    <w:name w:val="注："/>
    <w:next w:val="151"/>
    <w:qFormat/>
    <w:uiPriority w:val="99"/>
    <w:pPr>
      <w:widowControl w:val="0"/>
      <w:tabs>
        <w:tab w:val="left" w:pos="1140"/>
      </w:tabs>
      <w:autoSpaceDE w:val="0"/>
      <w:autoSpaceDN w:val="0"/>
      <w:ind w:left="840" w:hanging="420"/>
      <w:jc w:val="both"/>
    </w:pPr>
    <w:rPr>
      <w:rFonts w:ascii="宋体" w:hAnsi="Times New Roman" w:eastAsia="宋体" w:cs="Times New Roman"/>
      <w:kern w:val="2"/>
      <w:sz w:val="18"/>
      <w:szCs w:val="22"/>
      <w:lang w:val="en-US" w:eastAsia="zh-CN" w:bidi="ar-SA"/>
    </w:rPr>
  </w:style>
  <w:style w:type="paragraph" w:customStyle="1" w:styleId="403">
    <w:name w:val="图表脚注"/>
    <w:next w:val="151"/>
    <w:qFormat/>
    <w:uiPriority w:val="99"/>
    <w:pPr>
      <w:ind w:left="300" w:leftChars="200" w:hanging="100" w:hangingChars="100"/>
      <w:jc w:val="both"/>
    </w:pPr>
    <w:rPr>
      <w:rFonts w:ascii="宋体" w:hAnsi="Times New Roman" w:eastAsia="宋体" w:cs="Times New Roman"/>
      <w:kern w:val="2"/>
      <w:sz w:val="18"/>
      <w:szCs w:val="22"/>
      <w:lang w:val="en-US" w:eastAsia="zh-CN" w:bidi="ar-SA"/>
    </w:rPr>
  </w:style>
  <w:style w:type="paragraph" w:customStyle="1" w:styleId="404">
    <w:name w:val="其他发布部门"/>
    <w:basedOn w:val="1"/>
    <w:qFormat/>
    <w:uiPriority w:val="99"/>
    <w:pPr>
      <w:widowControl/>
      <w:spacing w:line="0" w:lineRule="atLeast"/>
      <w:ind w:firstLine="0" w:firstLineChars="0"/>
      <w:jc w:val="center"/>
    </w:pPr>
    <w:rPr>
      <w:rFonts w:ascii="黑体" w:eastAsia="黑体" w:cs="Times New Roman"/>
      <w:spacing w:val="20"/>
      <w:w w:val="135"/>
      <w:kern w:val="0"/>
      <w:sz w:val="36"/>
      <w:szCs w:val="20"/>
    </w:rPr>
  </w:style>
  <w:style w:type="paragraph" w:customStyle="1" w:styleId="405">
    <w:name w:val="无标题条"/>
    <w:next w:val="151"/>
    <w:qFormat/>
    <w:uiPriority w:val="99"/>
    <w:pPr>
      <w:jc w:val="both"/>
    </w:pPr>
    <w:rPr>
      <w:rFonts w:ascii="Times New Roman" w:hAnsi="Times New Roman" w:eastAsia="宋体" w:cs="Times New Roman"/>
      <w:kern w:val="2"/>
      <w:sz w:val="21"/>
      <w:szCs w:val="22"/>
      <w:lang w:val="en-US" w:eastAsia="zh-CN" w:bidi="ar-SA"/>
    </w:rPr>
  </w:style>
  <w:style w:type="paragraph" w:customStyle="1" w:styleId="406">
    <w:name w:val="封面标准英文名称"/>
    <w:qFormat/>
    <w:uiPriority w:val="99"/>
    <w:pPr>
      <w:widowControl w:val="0"/>
      <w:spacing w:before="370" w:line="400" w:lineRule="exact"/>
      <w:jc w:val="center"/>
    </w:pPr>
    <w:rPr>
      <w:rFonts w:ascii="Times New Roman" w:hAnsi="Times New Roman" w:eastAsia="宋体" w:cs="Times New Roman"/>
      <w:kern w:val="2"/>
      <w:sz w:val="28"/>
      <w:szCs w:val="22"/>
      <w:lang w:val="en-US" w:eastAsia="zh-CN" w:bidi="ar-SA"/>
    </w:rPr>
  </w:style>
  <w:style w:type="paragraph" w:customStyle="1" w:styleId="407">
    <w:name w:val="标准称谓"/>
    <w:next w:val="1"/>
    <w:qFormat/>
    <w:uiPriority w:val="99"/>
    <w:pPr>
      <w:widowControl w:val="0"/>
      <w:kinsoku w:val="0"/>
      <w:overflowPunct w:val="0"/>
      <w:autoSpaceDE w:val="0"/>
      <w:autoSpaceDN w:val="0"/>
      <w:spacing w:line="0" w:lineRule="atLeast"/>
      <w:jc w:val="distribute"/>
    </w:pPr>
    <w:rPr>
      <w:rFonts w:ascii="宋体" w:hAnsi="Times New Roman" w:eastAsia="宋体" w:cs="Times New Roman"/>
      <w:b/>
      <w:spacing w:val="20"/>
      <w:w w:val="148"/>
      <w:kern w:val="2"/>
      <w:sz w:val="52"/>
      <w:szCs w:val="22"/>
      <w:lang w:val="en-US" w:eastAsia="zh-CN" w:bidi="ar-SA"/>
    </w:rPr>
  </w:style>
  <w:style w:type="paragraph" w:customStyle="1" w:styleId="408">
    <w:name w:val="条文脚注"/>
    <w:basedOn w:val="57"/>
    <w:qFormat/>
    <w:uiPriority w:val="99"/>
    <w:pPr>
      <w:ind w:left="780" w:leftChars="200" w:hanging="360" w:hangingChars="200"/>
      <w:jc w:val="both"/>
    </w:pPr>
    <w:rPr>
      <w:rFonts w:ascii="宋体" w:hAnsi="Times New Roman"/>
      <w:kern w:val="0"/>
      <w:szCs w:val="20"/>
    </w:rPr>
  </w:style>
  <w:style w:type="paragraph" w:customStyle="1" w:styleId="409">
    <w:name w:val="Char Char Char3 Char Char Char Char1"/>
    <w:basedOn w:val="1"/>
    <w:qFormat/>
    <w:uiPriority w:val="99"/>
    <w:pPr>
      <w:ind w:firstLine="0" w:firstLineChars="0"/>
    </w:pPr>
    <w:rPr>
      <w:rFonts w:eastAsia="宋体" w:cs="Times New Roman"/>
      <w:sz w:val="24"/>
      <w:szCs w:val="24"/>
    </w:rPr>
  </w:style>
  <w:style w:type="paragraph" w:customStyle="1" w:styleId="410">
    <w:name w:val="font1"/>
    <w:basedOn w:val="1"/>
    <w:qFormat/>
    <w:uiPriority w:val="99"/>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411">
    <w:name w:val="Char1"/>
    <w:basedOn w:val="1"/>
    <w:qFormat/>
    <w:uiPriority w:val="99"/>
    <w:pPr>
      <w:spacing w:line="240" w:lineRule="auto"/>
      <w:ind w:firstLine="0" w:firstLineChars="0"/>
    </w:pPr>
    <w:rPr>
      <w:rFonts w:eastAsia="宋体" w:cs="Times New Roman"/>
      <w:sz w:val="21"/>
      <w:szCs w:val="24"/>
    </w:rPr>
  </w:style>
  <w:style w:type="paragraph" w:customStyle="1" w:styleId="412">
    <w:name w:val="xl21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仿宋_GB2312" w:hAnsi="宋体" w:eastAsia="仿宋_GB2312" w:cs="宋体"/>
      <w:kern w:val="0"/>
      <w:sz w:val="21"/>
    </w:rPr>
  </w:style>
  <w:style w:type="paragraph" w:customStyle="1" w:styleId="413">
    <w:name w:val="样式 标题 1章标题 1-*+h11st levelSection Headl1b1featurehead标题..."/>
    <w:basedOn w:val="2"/>
    <w:qFormat/>
    <w:uiPriority w:val="99"/>
    <w:pPr>
      <w:pageBreakBefore w:val="0"/>
      <w:numPr>
        <w:numId w:val="7"/>
      </w:numPr>
      <w:tabs>
        <w:tab w:val="left" w:pos="567"/>
      </w:tabs>
      <w:spacing w:before="120" w:after="120"/>
      <w:ind w:firstLine="2835"/>
    </w:pPr>
    <w:rPr>
      <w:rFonts w:eastAsia="黑体" w:cs="Times New Roman"/>
      <w:b w:val="0"/>
      <w:bCs w:val="0"/>
      <w:kern w:val="2"/>
      <w:szCs w:val="20"/>
    </w:rPr>
  </w:style>
  <w:style w:type="character" w:customStyle="1" w:styleId="414">
    <w:name w:val="正文缩进 Char2"/>
    <w:qFormat/>
    <w:uiPriority w:val="0"/>
    <w:rPr>
      <w:kern w:val="2"/>
      <w:sz w:val="28"/>
    </w:rPr>
  </w:style>
  <w:style w:type="table" w:customStyle="1" w:styleId="415">
    <w:name w:val="中等深浅列表 2 - 着色 11"/>
    <w:basedOn w:val="76"/>
    <w:qFormat/>
    <w:uiPriority w:val="66"/>
    <w:rPr>
      <w:rFonts w:ascii="Calibri Light" w:hAnsi="Calibri Light"/>
      <w:color w:val="000000"/>
      <w:sz w:val="22"/>
    </w:rPr>
    <w:tblPr>
      <w:tblBorders>
        <w:top w:val="single" w:color="5B9BD5" w:sz="8" w:space="0"/>
        <w:left w:val="single" w:color="5B9BD5" w:sz="8" w:space="0"/>
        <w:bottom w:val="single" w:color="5B9BD5" w:sz="8" w:space="0"/>
        <w:right w:val="single" w:color="5B9BD5" w:sz="8" w:space="0"/>
      </w:tblBorders>
    </w:tblPr>
    <w:tblStylePr w:type="firstRow">
      <w:rPr>
        <w:sz w:val="24"/>
        <w:szCs w:val="24"/>
      </w:rPr>
      <w:tcPr>
        <w:tcBorders>
          <w:top w:val="nil"/>
          <w:left w:val="nil"/>
          <w:bottom w:val="single" w:color="5B9BD5" w:sz="24" w:space="0"/>
          <w:right w:val="nil"/>
          <w:insideH w:val="nil"/>
          <w:insideV w:val="nil"/>
        </w:tcBorders>
        <w:shd w:val="clear" w:color="auto" w:fill="FFFFFF"/>
      </w:tcPr>
    </w:tblStylePr>
    <w:tblStylePr w:type="lastRow">
      <w:tcPr>
        <w:tcBorders>
          <w:top w:val="single" w:color="5B9BD5" w:sz="8" w:space="0"/>
          <w:left w:val="nil"/>
          <w:bottom w:val="nil"/>
          <w:right w:val="nil"/>
          <w:insideH w:val="nil"/>
          <w:insideV w:val="nil"/>
        </w:tcBorders>
        <w:shd w:val="clear" w:color="auto" w:fill="FFFFFF"/>
      </w:tcPr>
    </w:tblStylePr>
    <w:tblStylePr w:type="firstCol">
      <w:tcPr>
        <w:tcBorders>
          <w:top w:val="nil"/>
          <w:left w:val="nil"/>
          <w:bottom w:val="nil"/>
          <w:right w:val="single" w:color="5B9BD5" w:sz="8" w:space="0"/>
          <w:insideH w:val="nil"/>
          <w:insideV w:val="nil"/>
        </w:tcBorders>
        <w:shd w:val="clear" w:color="auto" w:fill="FFFFFF"/>
      </w:tcPr>
    </w:tblStylePr>
    <w:tblStylePr w:type="lastCol">
      <w:tcPr>
        <w:tcBorders>
          <w:top w:val="nil"/>
          <w:left w:val="single" w:color="5B9BD5" w:sz="8" w:space="0"/>
          <w:bottom w:val="nil"/>
          <w:right w:val="nil"/>
          <w:insideH w:val="nil"/>
          <w:insideV w:val="nil"/>
        </w:tcBorders>
        <w:shd w:val="clear" w:color="auto" w:fill="FFFFFF"/>
      </w:tcPr>
    </w:tblStylePr>
    <w:tblStylePr w:type="band1Vert">
      <w:tcPr>
        <w:tcBorders>
          <w:left w:val="nil"/>
          <w:right w:val="nil"/>
          <w:insideH w:val="nil"/>
          <w:insideV w:val="nil"/>
        </w:tcBorders>
        <w:shd w:val="clear" w:color="auto" w:fill="D6E6F4"/>
      </w:tcPr>
    </w:tblStylePr>
    <w:tblStylePr w:type="band1Horz">
      <w:tcPr>
        <w:tcBorders>
          <w:top w:val="nil"/>
          <w:bottom w:val="nil"/>
          <w:insideH w:val="nil"/>
          <w:insideV w:val="nil"/>
        </w:tcBorders>
        <w:shd w:val="clear" w:color="auto" w:fill="D6E6F4"/>
      </w:tcPr>
    </w:tblStylePr>
    <w:tblStylePr w:type="nwCell">
      <w:tcPr>
        <w:shd w:val="clear" w:color="auto" w:fill="FFFFFF"/>
      </w:tcPr>
    </w:tblStylePr>
    <w:tblStylePr w:type="swCell">
      <w:tcPr>
        <w:tcBorders>
          <w:top w:val="nil"/>
        </w:tcBorders>
      </w:tcPr>
    </w:tblStylePr>
  </w:style>
  <w:style w:type="character" w:customStyle="1" w:styleId="416">
    <w:name w:val="realname6"/>
    <w:qFormat/>
    <w:uiPriority w:val="0"/>
    <w:rPr>
      <w:rFonts w:hint="eastAsia" w:ascii="微软雅黑" w:hAnsi="微软雅黑" w:eastAsia="微软雅黑"/>
      <w:b/>
      <w:bCs/>
      <w:color w:val="159AD2"/>
      <w:sz w:val="18"/>
      <w:szCs w:val="18"/>
    </w:rPr>
  </w:style>
  <w:style w:type="character" w:customStyle="1" w:styleId="417">
    <w:name w:val="time10"/>
    <w:qFormat/>
    <w:uiPriority w:val="0"/>
    <w:rPr>
      <w:rFonts w:hint="eastAsia" w:ascii="微软雅黑" w:hAnsi="微软雅黑" w:eastAsia="微软雅黑"/>
      <w:color w:val="AFAFAF"/>
      <w:sz w:val="18"/>
      <w:szCs w:val="18"/>
    </w:rPr>
  </w:style>
  <w:style w:type="character" w:customStyle="1" w:styleId="418">
    <w:name w:val="realname8"/>
    <w:qFormat/>
    <w:uiPriority w:val="0"/>
    <w:rPr>
      <w:rFonts w:hint="eastAsia" w:ascii="微软雅黑" w:hAnsi="微软雅黑" w:eastAsia="微软雅黑"/>
      <w:b/>
      <w:bCs/>
      <w:color w:val="51C802"/>
      <w:sz w:val="18"/>
      <w:szCs w:val="18"/>
    </w:rPr>
  </w:style>
  <w:style w:type="character" w:customStyle="1" w:styleId="419">
    <w:name w:val="time13"/>
    <w:qFormat/>
    <w:uiPriority w:val="0"/>
    <w:rPr>
      <w:rFonts w:hint="eastAsia" w:ascii="微软雅黑" w:hAnsi="微软雅黑" w:eastAsia="微软雅黑"/>
      <w:color w:val="AFAFAF"/>
      <w:sz w:val="18"/>
      <w:szCs w:val="18"/>
    </w:rPr>
  </w:style>
  <w:style w:type="character" w:customStyle="1" w:styleId="420">
    <w:name w:val="font21"/>
    <w:qFormat/>
    <w:uiPriority w:val="0"/>
    <w:rPr>
      <w:rFonts w:ascii="Arial" w:hAnsi="Arial" w:cs="Arial"/>
      <w:b/>
      <w:color w:val="000000"/>
      <w:sz w:val="20"/>
      <w:szCs w:val="20"/>
    </w:rPr>
  </w:style>
  <w:style w:type="character" w:customStyle="1" w:styleId="421">
    <w:name w:val="font01"/>
    <w:qFormat/>
    <w:uiPriority w:val="0"/>
    <w:rPr>
      <w:rFonts w:hint="eastAsia" w:ascii="宋体" w:hAnsi="宋体" w:eastAsia="宋体" w:cs="宋体"/>
      <w:b/>
      <w:color w:val="000000"/>
      <w:sz w:val="20"/>
      <w:szCs w:val="20"/>
    </w:rPr>
  </w:style>
  <w:style w:type="character" w:customStyle="1" w:styleId="422">
    <w:name w:val="font41"/>
    <w:qFormat/>
    <w:uiPriority w:val="0"/>
    <w:rPr>
      <w:rFonts w:ascii="Arial" w:hAnsi="Arial" w:cs="Arial"/>
      <w:b/>
      <w:color w:val="000000"/>
      <w:sz w:val="22"/>
      <w:szCs w:val="22"/>
    </w:rPr>
  </w:style>
  <w:style w:type="character" w:customStyle="1" w:styleId="423">
    <w:name w:val="font31"/>
    <w:qFormat/>
    <w:uiPriority w:val="0"/>
    <w:rPr>
      <w:rFonts w:hint="eastAsia" w:ascii="仿宋_GB2312" w:eastAsia="仿宋_GB2312" w:cs="仿宋_GB2312"/>
      <w:b/>
      <w:color w:val="000000"/>
      <w:sz w:val="21"/>
      <w:szCs w:val="21"/>
    </w:rPr>
  </w:style>
  <w:style w:type="paragraph" w:customStyle="1" w:styleId="424">
    <w:name w:val="规划正文"/>
    <w:basedOn w:val="1"/>
    <w:qFormat/>
    <w:uiPriority w:val="99"/>
    <w:pPr>
      <w:adjustRightInd w:val="0"/>
      <w:snapToGrid w:val="0"/>
      <w:ind w:firstLine="560"/>
    </w:pPr>
    <w:rPr>
      <w:rFonts w:eastAsia="仿宋_GB2312" w:cs="Times New Roman"/>
    </w:rPr>
  </w:style>
  <w:style w:type="character" w:customStyle="1" w:styleId="425">
    <w:name w:val="批注引用2"/>
    <w:qFormat/>
    <w:uiPriority w:val="0"/>
    <w:rPr>
      <w:sz w:val="21"/>
    </w:rPr>
  </w:style>
  <w:style w:type="paragraph" w:customStyle="1" w:styleId="426">
    <w:name w:val="批注文字2"/>
    <w:basedOn w:val="1"/>
    <w:qFormat/>
    <w:uiPriority w:val="99"/>
    <w:pPr>
      <w:spacing w:line="240" w:lineRule="auto"/>
      <w:ind w:firstLine="0" w:firstLineChars="0"/>
      <w:jc w:val="left"/>
    </w:pPr>
    <w:rPr>
      <w:rFonts w:eastAsia="宋体" w:cs="Times New Roman"/>
      <w:kern w:val="0"/>
      <w:sz w:val="20"/>
      <w:szCs w:val="20"/>
    </w:rPr>
  </w:style>
  <w:style w:type="paragraph" w:customStyle="1" w:styleId="427">
    <w:name w:val="批注框文本2"/>
    <w:basedOn w:val="1"/>
    <w:qFormat/>
    <w:uiPriority w:val="99"/>
    <w:pPr>
      <w:spacing w:line="240" w:lineRule="auto"/>
      <w:ind w:firstLine="0" w:firstLineChars="0"/>
    </w:pPr>
    <w:rPr>
      <w:rFonts w:eastAsia="宋体" w:cs="Times New Roman"/>
      <w:kern w:val="0"/>
      <w:sz w:val="18"/>
      <w:szCs w:val="20"/>
    </w:rPr>
  </w:style>
  <w:style w:type="paragraph" w:customStyle="1" w:styleId="428">
    <w:name w:val="列出段落2"/>
    <w:basedOn w:val="1"/>
    <w:qFormat/>
    <w:uiPriority w:val="99"/>
    <w:pPr>
      <w:spacing w:line="240" w:lineRule="auto"/>
      <w:ind w:firstLine="420"/>
    </w:pPr>
    <w:rPr>
      <w:rFonts w:ascii="Calibri" w:hAnsi="Calibri" w:eastAsia="宋体" w:cs="Times New Roman"/>
      <w:sz w:val="21"/>
      <w:szCs w:val="20"/>
    </w:rPr>
  </w:style>
  <w:style w:type="paragraph" w:customStyle="1" w:styleId="429">
    <w:name w:val="新表格样式"/>
    <w:basedOn w:val="1"/>
    <w:qFormat/>
    <w:uiPriority w:val="99"/>
    <w:pPr>
      <w:widowControl/>
      <w:spacing w:line="240" w:lineRule="auto"/>
      <w:ind w:firstLine="0" w:firstLineChars="0"/>
      <w:jc w:val="center"/>
    </w:pPr>
    <w:rPr>
      <w:rFonts w:ascii="华文细黑" w:hAnsi="华文细黑" w:eastAsia="华文细黑" w:cs="Times New Roman"/>
      <w:color w:val="000000"/>
      <w:kern w:val="0"/>
      <w:sz w:val="21"/>
    </w:rPr>
  </w:style>
  <w:style w:type="character" w:customStyle="1" w:styleId="430">
    <w:name w:val="批注引用3"/>
    <w:qFormat/>
    <w:uiPriority w:val="0"/>
    <w:rPr>
      <w:sz w:val="21"/>
    </w:rPr>
  </w:style>
  <w:style w:type="paragraph" w:customStyle="1" w:styleId="431">
    <w:name w:val="批注文字3"/>
    <w:basedOn w:val="1"/>
    <w:qFormat/>
    <w:uiPriority w:val="99"/>
    <w:pPr>
      <w:spacing w:line="240" w:lineRule="auto"/>
      <w:ind w:firstLine="0" w:firstLineChars="0"/>
      <w:jc w:val="left"/>
    </w:pPr>
    <w:rPr>
      <w:rFonts w:eastAsia="宋体" w:cs="Times New Roman"/>
      <w:kern w:val="0"/>
      <w:sz w:val="20"/>
      <w:szCs w:val="20"/>
    </w:rPr>
  </w:style>
  <w:style w:type="paragraph" w:customStyle="1" w:styleId="432">
    <w:name w:val="批注框文本3"/>
    <w:basedOn w:val="1"/>
    <w:qFormat/>
    <w:uiPriority w:val="99"/>
    <w:pPr>
      <w:spacing w:line="240" w:lineRule="auto"/>
      <w:ind w:firstLine="0" w:firstLineChars="0"/>
    </w:pPr>
    <w:rPr>
      <w:rFonts w:eastAsia="宋体" w:cs="Times New Roman"/>
      <w:kern w:val="0"/>
      <w:sz w:val="18"/>
      <w:szCs w:val="20"/>
    </w:rPr>
  </w:style>
  <w:style w:type="paragraph" w:customStyle="1" w:styleId="433">
    <w:name w:val="列出段落3"/>
    <w:basedOn w:val="1"/>
    <w:qFormat/>
    <w:uiPriority w:val="99"/>
    <w:pPr>
      <w:spacing w:line="240" w:lineRule="auto"/>
      <w:ind w:firstLine="420"/>
    </w:pPr>
    <w:rPr>
      <w:rFonts w:ascii="Calibri" w:hAnsi="Calibri" w:eastAsia="宋体" w:cs="Times New Roman"/>
      <w:sz w:val="21"/>
      <w:szCs w:val="20"/>
    </w:rPr>
  </w:style>
  <w:style w:type="character" w:customStyle="1" w:styleId="434">
    <w:name w:val="未处理的提及2"/>
    <w:basedOn w:val="80"/>
    <w:semiHidden/>
    <w:unhideWhenUsed/>
    <w:qFormat/>
    <w:uiPriority w:val="99"/>
    <w:rPr>
      <w:color w:val="605E5C"/>
      <w:shd w:val="clear" w:color="auto" w:fill="E1DFDD"/>
    </w:rPr>
  </w:style>
  <w:style w:type="character" w:customStyle="1" w:styleId="435">
    <w:name w:val="页脚 Char"/>
    <w:link w:val="436"/>
    <w:qFormat/>
    <w:uiPriority w:val="99"/>
    <w:rPr>
      <w:sz w:val="18"/>
    </w:rPr>
  </w:style>
  <w:style w:type="paragraph" w:customStyle="1" w:styleId="436">
    <w:name w:val="页脚1"/>
    <w:basedOn w:val="1"/>
    <w:link w:val="435"/>
    <w:qFormat/>
    <w:uiPriority w:val="99"/>
    <w:pPr>
      <w:tabs>
        <w:tab w:val="center" w:pos="4153"/>
        <w:tab w:val="right" w:pos="8306"/>
      </w:tabs>
      <w:snapToGrid w:val="0"/>
      <w:spacing w:line="240" w:lineRule="auto"/>
      <w:ind w:firstLine="0" w:firstLineChars="0"/>
      <w:jc w:val="left"/>
    </w:pPr>
    <w:rPr>
      <w:rFonts w:asciiTheme="minorHAnsi" w:hAnsiTheme="minorHAnsi" w:eastAsiaTheme="minorEastAsia"/>
      <w:sz w:val="18"/>
      <w:szCs w:val="22"/>
    </w:rPr>
  </w:style>
  <w:style w:type="character" w:customStyle="1" w:styleId="437">
    <w:name w:val="页眉 Char"/>
    <w:link w:val="438"/>
    <w:qFormat/>
    <w:uiPriority w:val="99"/>
    <w:rPr>
      <w:sz w:val="18"/>
    </w:rPr>
  </w:style>
  <w:style w:type="paragraph" w:customStyle="1" w:styleId="438">
    <w:name w:val="页眉1"/>
    <w:basedOn w:val="1"/>
    <w:link w:val="437"/>
    <w:qFormat/>
    <w:uiPriority w:val="99"/>
    <w:pPr>
      <w:pBdr>
        <w:bottom w:val="single" w:color="auto" w:sz="6" w:space="1"/>
      </w:pBdr>
      <w:tabs>
        <w:tab w:val="center" w:pos="4153"/>
        <w:tab w:val="right" w:pos="8306"/>
      </w:tabs>
      <w:snapToGrid w:val="0"/>
      <w:spacing w:line="240" w:lineRule="auto"/>
      <w:ind w:firstLine="0" w:firstLineChars="0"/>
      <w:jc w:val="center"/>
    </w:pPr>
    <w:rPr>
      <w:rFonts w:asciiTheme="minorHAnsi" w:hAnsiTheme="minorHAnsi" w:eastAsiaTheme="minorEastAsia"/>
      <w:sz w:val="18"/>
      <w:szCs w:val="22"/>
    </w:rPr>
  </w:style>
  <w:style w:type="character" w:customStyle="1" w:styleId="439">
    <w:name w:val="页码1"/>
    <w:basedOn w:val="80"/>
    <w:qFormat/>
    <w:uiPriority w:val="0"/>
  </w:style>
  <w:style w:type="character" w:customStyle="1" w:styleId="440">
    <w:name w:val="font351"/>
    <w:basedOn w:val="80"/>
    <w:qFormat/>
    <w:uiPriority w:val="0"/>
    <w:rPr>
      <w:rFonts w:hint="eastAsia" w:ascii="宋体" w:hAnsi="宋体" w:eastAsia="宋体"/>
      <w:color w:val="000000"/>
      <w:sz w:val="18"/>
      <w:szCs w:val="18"/>
      <w:u w:val="none"/>
    </w:rPr>
  </w:style>
  <w:style w:type="character" w:customStyle="1" w:styleId="441">
    <w:name w:val="font371"/>
    <w:basedOn w:val="80"/>
    <w:qFormat/>
    <w:uiPriority w:val="0"/>
    <w:rPr>
      <w:rFonts w:hint="default" w:ascii="Times New Roman Italic" w:hAnsi="Times New Roman Italic"/>
      <w:color w:val="000000"/>
      <w:sz w:val="14"/>
      <w:szCs w:val="14"/>
      <w:u w:val="none"/>
    </w:rPr>
  </w:style>
  <w:style w:type="character" w:customStyle="1" w:styleId="442">
    <w:name w:val="font381"/>
    <w:basedOn w:val="80"/>
    <w:qFormat/>
    <w:uiPriority w:val="0"/>
    <w:rPr>
      <w:rFonts w:hint="eastAsia" w:ascii="ABCDEE+宋体" w:eastAsia="ABCDEE+宋体"/>
      <w:color w:val="000000"/>
      <w:sz w:val="22"/>
      <w:szCs w:val="22"/>
      <w:u w:val="none"/>
    </w:rPr>
  </w:style>
  <w:style w:type="character" w:customStyle="1" w:styleId="443">
    <w:name w:val="font361"/>
    <w:basedOn w:val="80"/>
    <w:qFormat/>
    <w:uiPriority w:val="0"/>
    <w:rPr>
      <w:rFonts w:hint="default" w:ascii="Times New Roman Italic" w:hAnsi="Times New Roman Italic"/>
      <w:color w:val="000000"/>
      <w:sz w:val="22"/>
      <w:szCs w:val="22"/>
      <w:u w:val="none"/>
    </w:rPr>
  </w:style>
  <w:style w:type="paragraph" w:customStyle="1" w:styleId="444">
    <w:name w:val="图表-居中"/>
    <w:basedOn w:val="1"/>
    <w:qFormat/>
    <w:uiPriority w:val="99"/>
    <w:pPr>
      <w:adjustRightInd w:val="0"/>
      <w:snapToGrid w:val="0"/>
      <w:spacing w:after="50" w:afterLines="50" w:line="240" w:lineRule="auto"/>
      <w:ind w:firstLine="0" w:firstLineChars="0"/>
      <w:jc w:val="center"/>
      <w:textAlignment w:val="center"/>
    </w:pPr>
    <w:rPr>
      <w:rFonts w:ascii="仿宋_GB2312" w:eastAsia="仿宋_GB2312"/>
      <w:sz w:val="24"/>
      <w:szCs w:val="22"/>
    </w:rPr>
  </w:style>
  <w:style w:type="paragraph" w:customStyle="1" w:styleId="445">
    <w:name w:val="正文--正文"/>
    <w:basedOn w:val="1"/>
    <w:qFormat/>
    <w:uiPriority w:val="99"/>
    <w:rPr>
      <w:rFonts w:ascii="华文细黑" w:hAnsi="华文细黑" w:eastAsia="华文细黑"/>
      <w:sz w:val="24"/>
      <w:szCs w:val="44"/>
    </w:rPr>
  </w:style>
  <w:style w:type="paragraph" w:customStyle="1" w:styleId="446">
    <w:name w:val="图表-内容"/>
    <w:basedOn w:val="1"/>
    <w:qFormat/>
    <w:uiPriority w:val="99"/>
    <w:pPr>
      <w:adjustRightInd w:val="0"/>
      <w:snapToGrid w:val="0"/>
      <w:spacing w:line="240" w:lineRule="auto"/>
      <w:ind w:firstLine="0" w:firstLineChars="0"/>
      <w:jc w:val="center"/>
      <w:textAlignment w:val="center"/>
    </w:pPr>
    <w:rPr>
      <w:sz w:val="21"/>
      <w:szCs w:val="22"/>
    </w:rPr>
  </w:style>
  <w:style w:type="table" w:customStyle="1" w:styleId="447">
    <w:name w:val="三线表"/>
    <w:basedOn w:val="76"/>
    <w:qFormat/>
    <w:uiPriority w:val="99"/>
    <w:pPr>
      <w:jc w:val="center"/>
    </w:pPr>
    <w:tblPr>
      <w:tblBorders>
        <w:top w:val="single" w:color="auto" w:sz="12" w:space="0"/>
        <w:bottom w:val="single" w:color="auto" w:sz="12" w:space="0"/>
      </w:tblBorders>
    </w:tblPr>
    <w:tcPr>
      <w:vAlign w:val="center"/>
    </w:tcPr>
  </w:style>
  <w:style w:type="paragraph" w:customStyle="1" w:styleId="448">
    <w:name w:val="样式 图片居中"/>
    <w:basedOn w:val="1"/>
    <w:qFormat/>
    <w:uiPriority w:val="99"/>
    <w:pPr>
      <w:ind w:firstLine="0" w:firstLineChars="0"/>
      <w:jc w:val="center"/>
    </w:pPr>
    <w:rPr>
      <w:rFonts w:eastAsiaTheme="minorEastAsia"/>
      <w:sz w:val="24"/>
      <w:szCs w:val="24"/>
    </w:rPr>
  </w:style>
  <w:style w:type="paragraph" w:customStyle="1" w:styleId="449">
    <w:name w:val="样式 小四 左 行距: 1.5 倍行距 首行缩进:  2 字符"/>
    <w:basedOn w:val="1"/>
    <w:qFormat/>
    <w:uiPriority w:val="99"/>
    <w:pPr>
      <w:ind w:firstLine="480"/>
      <w:jc w:val="left"/>
    </w:pPr>
    <w:rPr>
      <w:rFonts w:cs="宋体"/>
      <w:szCs w:val="20"/>
    </w:rPr>
  </w:style>
  <w:style w:type="paragraph" w:customStyle="1" w:styleId="450">
    <w:name w:val="msonormal"/>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character" w:customStyle="1" w:styleId="451">
    <w:name w:val="未处理的提及21"/>
    <w:basedOn w:val="80"/>
    <w:semiHidden/>
    <w:unhideWhenUsed/>
    <w:qFormat/>
    <w:uiPriority w:val="99"/>
    <w:rPr>
      <w:color w:val="605E5C"/>
      <w:shd w:val="clear" w:color="auto" w:fill="E1DFDD"/>
    </w:rPr>
  </w:style>
  <w:style w:type="paragraph" w:customStyle="1" w:styleId="452">
    <w:name w:val="List Paragraph2"/>
    <w:basedOn w:val="1"/>
    <w:qFormat/>
    <w:uiPriority w:val="99"/>
    <w:pPr>
      <w:widowControl/>
      <w:ind w:left="720" w:firstLine="274" w:firstLineChars="0"/>
      <w:contextualSpacing/>
      <w:jc w:val="left"/>
    </w:pPr>
    <w:rPr>
      <w:rFonts w:ascii="Calibri" w:hAnsi="Calibri" w:eastAsia="宋体" w:cs="Times New Roman"/>
      <w:kern w:val="0"/>
      <w:sz w:val="22"/>
      <w:szCs w:val="22"/>
    </w:rPr>
  </w:style>
  <w:style w:type="character" w:customStyle="1" w:styleId="453">
    <w:name w:val="未处理的提及3"/>
    <w:basedOn w:val="80"/>
    <w:semiHidden/>
    <w:unhideWhenUsed/>
    <w:qFormat/>
    <w:uiPriority w:val="99"/>
    <w:rPr>
      <w:color w:val="605E5C"/>
      <w:shd w:val="clear" w:color="auto" w:fill="E1DFDD"/>
    </w:rPr>
  </w:style>
  <w:style w:type="paragraph" w:customStyle="1" w:styleId="454">
    <w:name w:val="正文样式"/>
    <w:basedOn w:val="1"/>
    <w:link w:val="455"/>
    <w:qFormat/>
    <w:uiPriority w:val="0"/>
    <w:pPr>
      <w:spacing w:before="120" w:after="120"/>
    </w:pPr>
    <w:rPr>
      <w:rFonts w:ascii="仿宋_GB2312" w:eastAsia="仿宋_GB2312" w:cs="Times New Roman"/>
      <w:sz w:val="30"/>
      <w:szCs w:val="30"/>
    </w:rPr>
  </w:style>
  <w:style w:type="character" w:customStyle="1" w:styleId="455">
    <w:name w:val="正文样式 Char"/>
    <w:link w:val="454"/>
    <w:qFormat/>
    <w:uiPriority w:val="0"/>
    <w:rPr>
      <w:rFonts w:ascii="仿宋_GB2312" w:hAnsi="Times New Roman" w:eastAsia="仿宋_GB2312" w:cs="Times New Roman"/>
      <w:sz w:val="30"/>
      <w:szCs w:val="30"/>
    </w:rPr>
  </w:style>
  <w:style w:type="character" w:customStyle="1" w:styleId="456">
    <w:name w:val="shadow31"/>
    <w:qFormat/>
    <w:uiPriority w:val="0"/>
    <w:rPr>
      <w:rFonts w:eastAsia="仿宋_GB2312" w:cs="Arial"/>
      <w:kern w:val="2"/>
      <w:sz w:val="21"/>
      <w:szCs w:val="72"/>
      <w:lang w:val="en-US" w:eastAsia="zh-CN" w:bidi="ar-SA"/>
    </w:rPr>
  </w:style>
  <w:style w:type="character" w:customStyle="1" w:styleId="457">
    <w:name w:val="一级条标题 Char1"/>
    <w:link w:val="146"/>
    <w:qFormat/>
    <w:uiPriority w:val="99"/>
    <w:rPr>
      <w:rFonts w:ascii="黑体" w:eastAsia="黑体"/>
      <w:sz w:val="21"/>
      <w:szCs w:val="21"/>
    </w:rPr>
  </w:style>
  <w:style w:type="character" w:customStyle="1" w:styleId="458">
    <w:name w:val="14black11"/>
    <w:qFormat/>
    <w:uiPriority w:val="0"/>
    <w:rPr>
      <w:rFonts w:eastAsia="仿宋_GB2312" w:cs="Arial"/>
      <w:color w:val="000000"/>
      <w:kern w:val="2"/>
      <w:sz w:val="21"/>
      <w:szCs w:val="21"/>
      <w:u w:val="none"/>
      <w:lang w:val="en-US" w:eastAsia="zh-CN" w:bidi="ar-SA"/>
    </w:rPr>
  </w:style>
  <w:style w:type="character" w:customStyle="1" w:styleId="459">
    <w:name w:val="Char Char3"/>
    <w:qFormat/>
    <w:uiPriority w:val="0"/>
    <w:rPr>
      <w:rFonts w:hAnsi="宋体" w:eastAsia="仿宋_GB2312" w:cs="Arial"/>
      <w:color w:val="000000"/>
      <w:spacing w:val="4"/>
      <w:kern w:val="2"/>
      <w:sz w:val="24"/>
      <w:szCs w:val="24"/>
      <w:lang w:val="en-US" w:eastAsia="zh-CN" w:bidi="ar-SA"/>
    </w:rPr>
  </w:style>
  <w:style w:type="character" w:customStyle="1" w:styleId="460">
    <w:name w:val="三级条标题 Char1"/>
    <w:link w:val="351"/>
    <w:qFormat/>
    <w:uiPriority w:val="0"/>
    <w:rPr>
      <w:rFonts w:ascii="黑体" w:hAnsi="Times New Roman" w:eastAsia="黑体" w:cs="Times New Roman"/>
    </w:rPr>
  </w:style>
  <w:style w:type="character" w:customStyle="1" w:styleId="461">
    <w:name w:val="二级条标题 Char1"/>
    <w:link w:val="148"/>
    <w:qFormat/>
    <w:uiPriority w:val="99"/>
    <w:rPr>
      <w:rFonts w:ascii="黑体" w:eastAsia="黑体"/>
      <w:sz w:val="21"/>
      <w:szCs w:val="21"/>
    </w:rPr>
  </w:style>
  <w:style w:type="character" w:customStyle="1" w:styleId="462">
    <w:name w:val="表格内容 Char"/>
    <w:link w:val="373"/>
    <w:qFormat/>
    <w:uiPriority w:val="0"/>
    <w:rPr>
      <w:rFonts w:ascii="Times New Roman" w:hAnsi="Times New Roman" w:eastAsia="宋体" w:cs="Times New Roman"/>
      <w:sz w:val="24"/>
      <w:szCs w:val="20"/>
    </w:rPr>
  </w:style>
  <w:style w:type="character" w:customStyle="1" w:styleId="463">
    <w:name w:val="正文文本 Char1"/>
    <w:basedOn w:val="80"/>
    <w:semiHidden/>
    <w:qFormat/>
    <w:uiPriority w:val="99"/>
  </w:style>
  <w:style w:type="character" w:customStyle="1" w:styleId="464">
    <w:name w:val="表头标题 Char"/>
    <w:link w:val="465"/>
    <w:qFormat/>
    <w:uiPriority w:val="0"/>
    <w:rPr>
      <w:rFonts w:ascii="仿宋_GB2312" w:hAnsi="仿宋_GB2312" w:eastAsia="仿宋_GB2312" w:cs="Arial"/>
      <w:b/>
    </w:rPr>
  </w:style>
  <w:style w:type="paragraph" w:customStyle="1" w:styleId="465">
    <w:name w:val="表头标题"/>
    <w:basedOn w:val="1"/>
    <w:link w:val="464"/>
    <w:qFormat/>
    <w:uiPriority w:val="0"/>
    <w:pPr>
      <w:snapToGrid w:val="0"/>
      <w:spacing w:line="400" w:lineRule="exact"/>
      <w:ind w:firstLine="0" w:firstLineChars="0"/>
      <w:jc w:val="center"/>
    </w:pPr>
    <w:rPr>
      <w:rFonts w:ascii="仿宋_GB2312" w:hAnsi="仿宋_GB2312" w:eastAsia="仿宋_GB2312" w:cs="Arial"/>
      <w:b/>
      <w:sz w:val="21"/>
      <w:szCs w:val="22"/>
    </w:rPr>
  </w:style>
  <w:style w:type="character" w:customStyle="1" w:styleId="466">
    <w:name w:val="图形 Char"/>
    <w:link w:val="467"/>
    <w:qFormat/>
    <w:uiPriority w:val="0"/>
    <w:rPr>
      <w:rFonts w:eastAsia="宋体"/>
      <w:sz w:val="28"/>
      <w:szCs w:val="28"/>
    </w:rPr>
  </w:style>
  <w:style w:type="paragraph" w:customStyle="1" w:styleId="467">
    <w:name w:val="图形"/>
    <w:basedOn w:val="1"/>
    <w:next w:val="1"/>
    <w:link w:val="466"/>
    <w:qFormat/>
    <w:uiPriority w:val="0"/>
    <w:pPr>
      <w:ind w:firstLine="0" w:firstLineChars="0"/>
      <w:jc w:val="center"/>
    </w:pPr>
    <w:rPr>
      <w:rFonts w:eastAsia="宋体" w:asciiTheme="minorHAnsi" w:hAnsiTheme="minorHAnsi"/>
    </w:rPr>
  </w:style>
  <w:style w:type="character" w:customStyle="1" w:styleId="468">
    <w:name w:val="正文格式 Char"/>
    <w:link w:val="469"/>
    <w:qFormat/>
    <w:uiPriority w:val="0"/>
    <w:rPr>
      <w:rFonts w:ascii="仿宋_GB2312" w:hAnsi="仿宋_GB2312" w:eastAsia="仿宋_GB2312" w:cs="Arial"/>
      <w:bCs/>
      <w:sz w:val="28"/>
      <w:szCs w:val="72"/>
    </w:rPr>
  </w:style>
  <w:style w:type="paragraph" w:customStyle="1" w:styleId="469">
    <w:name w:val="正文格式"/>
    <w:basedOn w:val="1"/>
    <w:link w:val="468"/>
    <w:qFormat/>
    <w:uiPriority w:val="0"/>
    <w:rPr>
      <w:rFonts w:ascii="仿宋_GB2312" w:hAnsi="仿宋_GB2312" w:eastAsia="仿宋_GB2312" w:cs="Arial"/>
      <w:bCs/>
      <w:szCs w:val="72"/>
    </w:rPr>
  </w:style>
  <w:style w:type="character" w:customStyle="1" w:styleId="470">
    <w:name w:val="MTEquationSection"/>
    <w:qFormat/>
    <w:uiPriority w:val="0"/>
    <w:rPr>
      <w:rFonts w:ascii="黑体" w:eastAsia="黑体" w:cs="Arial"/>
      <w:b/>
      <w:vanish/>
      <w:color w:val="FF0000"/>
      <w:kern w:val="2"/>
      <w:sz w:val="36"/>
      <w:szCs w:val="36"/>
      <w:lang w:val="en-US" w:eastAsia="zh-CN" w:bidi="ar-SA"/>
    </w:rPr>
  </w:style>
  <w:style w:type="character" w:customStyle="1" w:styleId="471">
    <w:name w:val="Char Char19"/>
    <w:qFormat/>
    <w:uiPriority w:val="0"/>
    <w:rPr>
      <w:rFonts w:eastAsia="宋体" w:cs="Arial"/>
      <w:b/>
      <w:kern w:val="44"/>
      <w:sz w:val="44"/>
      <w:szCs w:val="72"/>
      <w:lang w:val="en-US" w:eastAsia="zh-CN" w:bidi="ar-SA"/>
    </w:rPr>
  </w:style>
  <w:style w:type="character" w:customStyle="1" w:styleId="472">
    <w:name w:val="Char Char6"/>
    <w:qFormat/>
    <w:uiPriority w:val="0"/>
    <w:rPr>
      <w:rFonts w:hAnsi="宋体" w:eastAsia="仿宋_GB2312" w:cs="Arial"/>
      <w:b/>
      <w:color w:val="000000"/>
      <w:kern w:val="2"/>
      <w:sz w:val="28"/>
      <w:szCs w:val="32"/>
      <w:lang w:val="en-US" w:eastAsia="zh-CN" w:bidi="ar-SA"/>
    </w:rPr>
  </w:style>
  <w:style w:type="character" w:customStyle="1" w:styleId="473">
    <w:name w:val="标题 3 Char Char"/>
    <w:qFormat/>
    <w:uiPriority w:val="0"/>
    <w:rPr>
      <w:rFonts w:ascii="仿宋_GB2312" w:hAnsi="仿宋_GB2312" w:eastAsia="仿宋_GB2312" w:cs="Arial"/>
      <w:kern w:val="2"/>
      <w:sz w:val="28"/>
      <w:szCs w:val="72"/>
      <w:lang w:val="en-US" w:eastAsia="zh-CN" w:bidi="ar-SA"/>
    </w:rPr>
  </w:style>
  <w:style w:type="paragraph" w:customStyle="1" w:styleId="474">
    <w:name w:val="正文四号"/>
    <w:basedOn w:val="1"/>
    <w:qFormat/>
    <w:uiPriority w:val="99"/>
    <w:pPr>
      <w:ind w:firstLine="560"/>
    </w:pPr>
    <w:rPr>
      <w:rFonts w:ascii="仿宋_GB2312" w:hAnsi="宋体" w:eastAsia="仿宋_GB2312" w:cs="Times New Roman"/>
      <w:szCs w:val="20"/>
    </w:rPr>
  </w:style>
  <w:style w:type="paragraph" w:customStyle="1" w:styleId="475">
    <w:name w:val="正文 + 仿宋_GB2312"/>
    <w:basedOn w:val="1"/>
    <w:qFormat/>
    <w:uiPriority w:val="99"/>
    <w:pPr>
      <w:spacing w:line="480" w:lineRule="exact"/>
      <w:jc w:val="left"/>
    </w:pPr>
    <w:rPr>
      <w:rFonts w:ascii="仿宋_GB2312" w:hAnsi="仿宋_GB2312" w:eastAsia="仿宋_GB2312" w:cs="Times New Roman"/>
      <w:color w:val="000000"/>
      <w:kern w:val="0"/>
      <w:sz w:val="24"/>
      <w:szCs w:val="20"/>
    </w:rPr>
  </w:style>
  <w:style w:type="paragraph" w:customStyle="1" w:styleId="476">
    <w:name w:val="xl11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pPr>
    <w:rPr>
      <w:rFonts w:ascii="宋体" w:hAnsi="宋体" w:eastAsia="宋体" w:cs="宋体"/>
      <w:kern w:val="0"/>
      <w:sz w:val="20"/>
      <w:szCs w:val="20"/>
    </w:rPr>
  </w:style>
  <w:style w:type="paragraph" w:customStyle="1" w:styleId="477">
    <w:name w:val="xl12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pPr>
    <w:rPr>
      <w:rFonts w:ascii="宋体" w:hAnsi="宋体" w:eastAsia="宋体" w:cs="宋体"/>
      <w:kern w:val="0"/>
      <w:sz w:val="24"/>
      <w:szCs w:val="24"/>
    </w:rPr>
  </w:style>
  <w:style w:type="paragraph" w:customStyle="1" w:styleId="478">
    <w:name w:val="表哥"/>
    <w:basedOn w:val="1"/>
    <w:qFormat/>
    <w:uiPriority w:val="99"/>
    <w:pPr>
      <w:widowControl/>
      <w:tabs>
        <w:tab w:val="left" w:pos="735"/>
      </w:tabs>
      <w:adjustRightInd w:val="0"/>
      <w:snapToGrid w:val="0"/>
      <w:ind w:firstLine="0" w:firstLineChars="0"/>
      <w:jc w:val="center"/>
    </w:pPr>
    <w:rPr>
      <w:rFonts w:eastAsia="华文细黑" w:cs="Times New Roman"/>
      <w:b/>
      <w:kern w:val="0"/>
      <w:sz w:val="18"/>
      <w:szCs w:val="18"/>
    </w:rPr>
  </w:style>
  <w:style w:type="character" w:customStyle="1" w:styleId="479">
    <w:name w:val="正文文本 2 字符"/>
    <w:basedOn w:val="80"/>
    <w:link w:val="65"/>
    <w:qFormat/>
    <w:uiPriority w:val="99"/>
    <w:rPr>
      <w:rFonts w:ascii="Times New Roman" w:hAnsi="Times New Roman" w:eastAsia="华文细黑" w:cs="Times New Roman"/>
      <w:sz w:val="24"/>
      <w:szCs w:val="20"/>
    </w:rPr>
  </w:style>
  <w:style w:type="paragraph" w:customStyle="1" w:styleId="480">
    <w:name w:val="表文"/>
    <w:basedOn w:val="1"/>
    <w:qFormat/>
    <w:uiPriority w:val="99"/>
    <w:pPr>
      <w:ind w:firstLine="0" w:firstLineChars="0"/>
      <w:jc w:val="center"/>
    </w:pPr>
    <w:rPr>
      <w:rFonts w:eastAsia="华文细黑" w:cs="Times New Roman"/>
      <w:sz w:val="24"/>
      <w:szCs w:val="24"/>
    </w:rPr>
  </w:style>
  <w:style w:type="paragraph" w:customStyle="1" w:styleId="481">
    <w:name w:val="表个人"/>
    <w:basedOn w:val="1"/>
    <w:qFormat/>
    <w:uiPriority w:val="99"/>
    <w:pPr>
      <w:ind w:firstLine="440"/>
      <w:jc w:val="right"/>
    </w:pPr>
    <w:rPr>
      <w:rFonts w:eastAsia="华文细黑" w:cs="Times New Roman"/>
      <w:color w:val="000000"/>
      <w:sz w:val="22"/>
      <w:szCs w:val="22"/>
    </w:rPr>
  </w:style>
  <w:style w:type="character" w:customStyle="1" w:styleId="482">
    <w:name w:val="正文文本 3 字符"/>
    <w:basedOn w:val="80"/>
    <w:link w:val="25"/>
    <w:qFormat/>
    <w:uiPriority w:val="99"/>
    <w:rPr>
      <w:rFonts w:ascii="Times New Roman" w:hAnsi="Times New Roman" w:eastAsia="华文细黑" w:cs="Times New Roman"/>
      <w:sz w:val="16"/>
      <w:szCs w:val="16"/>
    </w:rPr>
  </w:style>
  <w:style w:type="paragraph" w:customStyle="1" w:styleId="483">
    <w:name w:val="参考文献"/>
    <w:basedOn w:val="1"/>
    <w:qFormat/>
    <w:uiPriority w:val="99"/>
    <w:pPr>
      <w:tabs>
        <w:tab w:val="left" w:pos="0"/>
        <w:tab w:val="center" w:pos="4423"/>
        <w:tab w:val="right" w:pos="8845"/>
      </w:tabs>
      <w:adjustRightInd w:val="0"/>
      <w:snapToGrid w:val="0"/>
      <w:spacing w:line="288" w:lineRule="auto"/>
      <w:ind w:left="300" w:hanging="300" w:hangingChars="300"/>
    </w:pPr>
    <w:rPr>
      <w:rFonts w:hAnsi="宋体" w:eastAsia="华文细黑" w:cs="Times New Roman"/>
      <w:color w:val="000000"/>
      <w:sz w:val="18"/>
      <w:szCs w:val="24"/>
    </w:rPr>
  </w:style>
  <w:style w:type="paragraph" w:customStyle="1" w:styleId="484">
    <w:name w:val="biaoge"/>
    <w:basedOn w:val="113"/>
    <w:qFormat/>
    <w:uiPriority w:val="99"/>
    <w:pPr>
      <w:widowControl/>
      <w:spacing w:line="360" w:lineRule="auto"/>
      <w:ind w:firstLine="562"/>
    </w:pPr>
    <w:rPr>
      <w:rFonts w:ascii="仿宋_GB2312" w:hAnsi="宋体" w:eastAsia="华文细黑" w:cs="宋体"/>
      <w:b/>
      <w:szCs w:val="18"/>
    </w:rPr>
  </w:style>
  <w:style w:type="paragraph" w:customStyle="1" w:styleId="485">
    <w:name w:val="注"/>
    <w:basedOn w:val="1"/>
    <w:qFormat/>
    <w:uiPriority w:val="99"/>
    <w:pPr>
      <w:adjustRightInd w:val="0"/>
      <w:snapToGrid w:val="0"/>
    </w:pPr>
    <w:rPr>
      <w:rFonts w:eastAsia="宋体" w:cs="Times New Roman"/>
      <w:sz w:val="18"/>
      <w:szCs w:val="20"/>
    </w:rPr>
  </w:style>
  <w:style w:type="character" w:customStyle="1" w:styleId="486">
    <w:name w:val="电子邮件签名 字符"/>
    <w:basedOn w:val="80"/>
    <w:link w:val="16"/>
    <w:qFormat/>
    <w:uiPriority w:val="99"/>
    <w:rPr>
      <w:rFonts w:ascii="Times New Roman" w:hAnsi="Times New Roman" w:eastAsia="华文细黑" w:cs="Times New Roman"/>
      <w:sz w:val="24"/>
      <w:szCs w:val="20"/>
    </w:rPr>
  </w:style>
  <w:style w:type="paragraph" w:customStyle="1" w:styleId="487">
    <w:name w:val="6 Char"/>
    <w:basedOn w:val="1"/>
    <w:qFormat/>
    <w:uiPriority w:val="99"/>
    <w:pPr>
      <w:widowControl/>
      <w:spacing w:before="312" w:beforeLines="100" w:after="160" w:line="240" w:lineRule="exact"/>
      <w:jc w:val="left"/>
    </w:pPr>
    <w:rPr>
      <w:rFonts w:eastAsia="仿宋_GB2312" w:cs="Times New Roman"/>
      <w:sz w:val="32"/>
      <w:szCs w:val="32"/>
    </w:rPr>
  </w:style>
  <w:style w:type="paragraph" w:customStyle="1" w:styleId="488">
    <w:name w:val="样式 参考文献 + 首行缩进:  2 字符"/>
    <w:basedOn w:val="483"/>
    <w:qFormat/>
    <w:uiPriority w:val="99"/>
    <w:pPr>
      <w:ind w:left="200" w:hanging="200" w:hangingChars="200"/>
    </w:pPr>
    <w:rPr>
      <w:szCs w:val="20"/>
    </w:rPr>
  </w:style>
  <w:style w:type="paragraph" w:customStyle="1" w:styleId="489">
    <w:name w:val="CM55"/>
    <w:basedOn w:val="179"/>
    <w:next w:val="179"/>
    <w:qFormat/>
    <w:uiPriority w:val="99"/>
    <w:pPr>
      <w:spacing w:after="110"/>
    </w:pPr>
    <w:rPr>
      <w:rFonts w:hAnsi="Times New Roman" w:cs="Times New Roman"/>
      <w:color w:val="auto"/>
      <w:szCs w:val="20"/>
    </w:rPr>
  </w:style>
  <w:style w:type="paragraph" w:customStyle="1" w:styleId="490">
    <w:name w:val="Char3"/>
    <w:basedOn w:val="1"/>
    <w:qFormat/>
    <w:uiPriority w:val="99"/>
    <w:pPr>
      <w:keepNext/>
      <w:widowControl/>
      <w:tabs>
        <w:tab w:val="left" w:pos="425"/>
      </w:tabs>
      <w:autoSpaceDE w:val="0"/>
      <w:autoSpaceDN w:val="0"/>
      <w:adjustRightInd w:val="0"/>
      <w:spacing w:before="80" w:after="80"/>
      <w:ind w:hanging="425" w:firstLineChars="0"/>
    </w:pPr>
    <w:rPr>
      <w:rFonts w:ascii="Arial" w:hAnsi="Arial" w:eastAsia="宋体" w:cs="Arial"/>
      <w:sz w:val="20"/>
      <w:szCs w:val="20"/>
    </w:rPr>
  </w:style>
  <w:style w:type="paragraph" w:customStyle="1" w:styleId="491">
    <w:name w:val="表头、图明"/>
    <w:basedOn w:val="1"/>
    <w:qFormat/>
    <w:uiPriority w:val="99"/>
    <w:pPr>
      <w:spacing w:before="156" w:beforeLines="50" w:after="156" w:afterLines="50" w:line="400" w:lineRule="atLeast"/>
      <w:ind w:firstLine="0" w:firstLineChars="0"/>
      <w:jc w:val="center"/>
    </w:pPr>
    <w:rPr>
      <w:rFonts w:ascii="Arial" w:hAnsi="Arial" w:eastAsia="幼圆" w:cs="Times New Roman"/>
      <w:b/>
      <w:color w:val="993366"/>
      <w:sz w:val="24"/>
    </w:rPr>
  </w:style>
  <w:style w:type="paragraph" w:customStyle="1" w:styleId="492">
    <w:name w:val="样式 标题 1 + 左侧:  1 厘米 悬挂缩进: 19.24 字符 行距: 1.5 倍行距"/>
    <w:basedOn w:val="2"/>
    <w:qFormat/>
    <w:uiPriority w:val="99"/>
    <w:pPr>
      <w:keepNext w:val="0"/>
      <w:keepLines w:val="0"/>
      <w:pageBreakBefore w:val="0"/>
      <w:numPr>
        <w:numId w:val="0"/>
      </w:numPr>
      <w:tabs>
        <w:tab w:val="left" w:pos="1337"/>
        <w:tab w:val="left" w:pos="2552"/>
        <w:tab w:val="left" w:pos="2694"/>
      </w:tabs>
      <w:autoSpaceDE w:val="0"/>
      <w:autoSpaceDN w:val="0"/>
      <w:snapToGrid/>
      <w:spacing w:before="260" w:after="260"/>
      <w:ind w:left="2490" w:hanging="1720"/>
    </w:pPr>
    <w:rPr>
      <w:rFonts w:ascii="华文细黑" w:cs="宋体"/>
      <w:bCs w:val="0"/>
      <w:color w:val="000000"/>
      <w:kern w:val="2"/>
      <w:sz w:val="36"/>
      <w:szCs w:val="30"/>
      <w:lang w:val="zh-CN"/>
    </w:rPr>
  </w:style>
  <w:style w:type="paragraph" w:customStyle="1" w:styleId="493">
    <w:name w:val="正正文"/>
    <w:basedOn w:val="1"/>
    <w:qFormat/>
    <w:uiPriority w:val="99"/>
    <w:pPr>
      <w:ind w:firstLine="420"/>
    </w:pPr>
    <w:rPr>
      <w:rFonts w:eastAsia="华文细黑" w:cs="Times New Roman"/>
      <w:sz w:val="24"/>
      <w:szCs w:val="20"/>
    </w:rPr>
  </w:style>
  <w:style w:type="paragraph" w:customStyle="1" w:styleId="494">
    <w:name w:val="比阿婆个"/>
    <w:basedOn w:val="1"/>
    <w:qFormat/>
    <w:uiPriority w:val="99"/>
    <w:pPr>
      <w:ind w:firstLine="440"/>
      <w:jc w:val="right"/>
    </w:pPr>
    <w:rPr>
      <w:rFonts w:eastAsia="华文细黑" w:cs="Times New Roman"/>
      <w:color w:val="000000"/>
      <w:sz w:val="22"/>
      <w:szCs w:val="22"/>
    </w:rPr>
  </w:style>
  <w:style w:type="paragraph" w:customStyle="1" w:styleId="495">
    <w:name w:val="xl118"/>
    <w:basedOn w:val="1"/>
    <w:qFormat/>
    <w:uiPriority w:val="99"/>
    <w:pPr>
      <w:widowControl/>
      <w:spacing w:before="100" w:beforeAutospacing="1" w:after="100" w:afterAutospacing="1"/>
      <w:ind w:firstLine="0" w:firstLineChars="0"/>
      <w:jc w:val="center"/>
    </w:pPr>
    <w:rPr>
      <w:rFonts w:ascii="宋体" w:hAnsi="宋体" w:eastAsia="宋体" w:cs="宋体"/>
      <w:color w:val="000000"/>
      <w:kern w:val="0"/>
      <w:sz w:val="20"/>
      <w:szCs w:val="20"/>
    </w:rPr>
  </w:style>
  <w:style w:type="paragraph" w:customStyle="1" w:styleId="496">
    <w:name w:val="xl12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pPr>
    <w:rPr>
      <w:rFonts w:ascii="宋体" w:hAnsi="宋体" w:eastAsia="宋体" w:cs="宋体"/>
      <w:color w:val="FF0000"/>
      <w:kern w:val="0"/>
      <w:sz w:val="24"/>
      <w:szCs w:val="24"/>
    </w:rPr>
  </w:style>
  <w:style w:type="paragraph" w:customStyle="1" w:styleId="497">
    <w:name w:val="xl12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left"/>
    </w:pPr>
    <w:rPr>
      <w:rFonts w:hAnsi="宋体" w:eastAsia="华文细黑" w:cs="宋体"/>
      <w:color w:val="000000"/>
      <w:kern w:val="0"/>
      <w:sz w:val="20"/>
      <w:szCs w:val="20"/>
    </w:rPr>
  </w:style>
  <w:style w:type="character" w:customStyle="1" w:styleId="498">
    <w:name w:val="注释标题 字符"/>
    <w:basedOn w:val="80"/>
    <w:link w:val="14"/>
    <w:qFormat/>
    <w:uiPriority w:val="99"/>
    <w:rPr>
      <w:rFonts w:ascii="Times New Roman" w:hAnsi="Times New Roman" w:eastAsia="华文细黑" w:cs="Times New Roman"/>
      <w:sz w:val="24"/>
      <w:szCs w:val="20"/>
    </w:rPr>
  </w:style>
  <w:style w:type="character" w:customStyle="1" w:styleId="499">
    <w:name w:val="信息标题 字符"/>
    <w:basedOn w:val="80"/>
    <w:link w:val="68"/>
    <w:qFormat/>
    <w:uiPriority w:val="99"/>
    <w:rPr>
      <w:rFonts w:ascii="Arial" w:hAnsi="Arial" w:eastAsia="华文细黑" w:cs="Arial"/>
      <w:sz w:val="24"/>
      <w:szCs w:val="24"/>
      <w:shd w:val="pct20" w:color="auto" w:fill="auto"/>
    </w:rPr>
  </w:style>
  <w:style w:type="paragraph" w:customStyle="1" w:styleId="500">
    <w:name w:val="xl2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华文细黑" w:cs="Times New Roman"/>
      <w:color w:val="000000"/>
      <w:kern w:val="0"/>
      <w:sz w:val="24"/>
      <w:szCs w:val="24"/>
    </w:rPr>
  </w:style>
  <w:style w:type="character" w:customStyle="1" w:styleId="501">
    <w:name w:val="称呼 字符"/>
    <w:basedOn w:val="80"/>
    <w:link w:val="24"/>
    <w:qFormat/>
    <w:uiPriority w:val="99"/>
    <w:rPr>
      <w:rFonts w:ascii="Times New Roman" w:hAnsi="Times New Roman" w:eastAsia="华文细黑" w:cs="Times New Roman"/>
      <w:sz w:val="24"/>
      <w:szCs w:val="20"/>
    </w:rPr>
  </w:style>
  <w:style w:type="character" w:customStyle="1" w:styleId="502">
    <w:name w:val="签名 字符"/>
    <w:basedOn w:val="80"/>
    <w:link w:val="50"/>
    <w:qFormat/>
    <w:uiPriority w:val="99"/>
    <w:rPr>
      <w:rFonts w:ascii="Times New Roman" w:hAnsi="Times New Roman" w:eastAsia="华文细黑" w:cs="Times New Roman"/>
      <w:sz w:val="24"/>
      <w:szCs w:val="20"/>
    </w:rPr>
  </w:style>
  <w:style w:type="character" w:customStyle="1" w:styleId="503">
    <w:name w:val="结束语 字符"/>
    <w:basedOn w:val="80"/>
    <w:link w:val="26"/>
    <w:qFormat/>
    <w:uiPriority w:val="99"/>
    <w:rPr>
      <w:rFonts w:ascii="Times New Roman" w:hAnsi="Times New Roman" w:eastAsia="华文细黑" w:cs="Times New Roman"/>
      <w:sz w:val="24"/>
      <w:szCs w:val="20"/>
    </w:rPr>
  </w:style>
  <w:style w:type="character" w:customStyle="1" w:styleId="504">
    <w:name w:val="副标题 字符"/>
    <w:basedOn w:val="80"/>
    <w:link w:val="54"/>
    <w:qFormat/>
    <w:uiPriority w:val="99"/>
    <w:rPr>
      <w:rFonts w:ascii="Arial" w:hAnsi="Arial" w:eastAsia="宋体" w:cs="Arial"/>
      <w:b/>
      <w:bCs/>
      <w:kern w:val="28"/>
      <w:sz w:val="32"/>
      <w:szCs w:val="32"/>
    </w:rPr>
  </w:style>
  <w:style w:type="paragraph" w:customStyle="1" w:styleId="505">
    <w:name w:val="Char1 Char Char Char"/>
    <w:basedOn w:val="22"/>
    <w:qFormat/>
    <w:uiPriority w:val="99"/>
    <w:pPr>
      <w:shd w:val="clear" w:color="auto" w:fill="000080"/>
      <w:adjustRightInd w:val="0"/>
      <w:snapToGrid w:val="0"/>
      <w:ind w:firstLine="200"/>
    </w:pPr>
    <w:rPr>
      <w:rFonts w:ascii="Tahoma" w:hAnsi="Tahoma" w:eastAsia="华文细黑" w:cs="Tahoma"/>
      <w:kern w:val="0"/>
      <w:sz w:val="18"/>
    </w:rPr>
  </w:style>
  <w:style w:type="paragraph" w:customStyle="1" w:styleId="506">
    <w:name w:val="xl25"/>
    <w:basedOn w:val="1"/>
    <w:qFormat/>
    <w:uiPriority w:val="99"/>
    <w:pPr>
      <w:widowControl/>
      <w:pBdr>
        <w:bottom w:val="single" w:color="auto" w:sz="4" w:space="0"/>
        <w:right w:val="single" w:color="auto" w:sz="4" w:space="0"/>
      </w:pBdr>
      <w:spacing w:before="100" w:beforeAutospacing="1" w:after="100" w:afterAutospacing="1"/>
      <w:jc w:val="center"/>
      <w:textAlignment w:val="center"/>
    </w:pPr>
    <w:rPr>
      <w:rFonts w:eastAsia="华文细黑" w:cs="Times New Roman"/>
      <w:kern w:val="0"/>
      <w:sz w:val="24"/>
    </w:rPr>
  </w:style>
  <w:style w:type="paragraph" w:customStyle="1" w:styleId="507">
    <w:name w:val="Char2"/>
    <w:basedOn w:val="1"/>
    <w:qFormat/>
    <w:uiPriority w:val="99"/>
    <w:pPr>
      <w:ind w:firstLine="0" w:firstLineChars="0"/>
    </w:pPr>
    <w:rPr>
      <w:rFonts w:eastAsia="华文细黑" w:cs="Arial"/>
      <w:sz w:val="21"/>
      <w:szCs w:val="72"/>
    </w:rPr>
  </w:style>
  <w:style w:type="paragraph" w:customStyle="1" w:styleId="508">
    <w:name w:val="表噶"/>
    <w:basedOn w:val="113"/>
    <w:qFormat/>
    <w:uiPriority w:val="99"/>
    <w:pPr>
      <w:widowControl/>
      <w:spacing w:line="360" w:lineRule="auto"/>
    </w:pPr>
    <w:rPr>
      <w:rFonts w:ascii="仿宋_GB2312" w:hAnsi="宋体" w:eastAsia="华文细黑" w:cs="宋体"/>
      <w:szCs w:val="18"/>
    </w:rPr>
  </w:style>
  <w:style w:type="paragraph" w:customStyle="1" w:styleId="509">
    <w:name w:val="Char Char Char Char Char Char"/>
    <w:basedOn w:val="1"/>
    <w:qFormat/>
    <w:uiPriority w:val="99"/>
    <w:pPr>
      <w:ind w:firstLine="0" w:firstLineChars="0"/>
    </w:pPr>
    <w:rPr>
      <w:rFonts w:eastAsia="华文细黑" w:cs="Arial"/>
      <w:sz w:val="21"/>
      <w:szCs w:val="72"/>
    </w:rPr>
  </w:style>
  <w:style w:type="paragraph" w:customStyle="1" w:styleId="510">
    <w:name w:val="扁头"/>
    <w:basedOn w:val="6"/>
    <w:qFormat/>
    <w:uiPriority w:val="99"/>
    <w:pPr>
      <w:keepLines w:val="0"/>
      <w:numPr>
        <w:ilvl w:val="0"/>
        <w:numId w:val="0"/>
      </w:numPr>
      <w:tabs>
        <w:tab w:val="left" w:pos="735"/>
      </w:tabs>
      <w:adjustRightInd w:val="0"/>
      <w:snapToGrid w:val="0"/>
      <w:spacing w:before="240" w:after="0" w:line="360" w:lineRule="auto"/>
      <w:ind w:firstLine="562" w:firstLineChars="200"/>
    </w:pPr>
    <w:rPr>
      <w:rFonts w:hAnsi="宋体" w:eastAsia="华文细黑" w:cs="Times New Roman"/>
      <w:color w:val="000000"/>
      <w:sz w:val="24"/>
      <w:szCs w:val="21"/>
    </w:rPr>
  </w:style>
  <w:style w:type="character" w:customStyle="1" w:styleId="511">
    <w:name w:val="正文文本首行缩进 字符"/>
    <w:basedOn w:val="177"/>
    <w:link w:val="74"/>
    <w:qFormat/>
    <w:uiPriority w:val="99"/>
    <w:rPr>
      <w:rFonts w:ascii="Times New Roman" w:hAnsi="Times New Roman" w:eastAsia="仿宋_GB2312" w:cs="Arial"/>
      <w:sz w:val="28"/>
      <w:szCs w:val="72"/>
    </w:rPr>
  </w:style>
  <w:style w:type="paragraph" w:customStyle="1" w:styleId="512">
    <w:name w:val="xl24"/>
    <w:basedOn w:val="1"/>
    <w:qFormat/>
    <w:uiPriority w:val="99"/>
    <w:pPr>
      <w:widowControl/>
      <w:pBdr>
        <w:top w:val="single" w:color="auto" w:sz="4" w:space="0"/>
        <w:left w:val="single" w:color="auto" w:sz="4" w:space="0"/>
        <w:bottom w:val="single" w:color="auto" w:sz="4" w:space="0"/>
        <w:right w:val="single" w:color="auto" w:sz="4" w:space="0"/>
      </w:pBdr>
      <w:shd w:val="clear" w:color="auto" w:fill="CCFFCC"/>
      <w:spacing w:before="100" w:beforeAutospacing="1" w:after="100" w:afterAutospacing="1"/>
      <w:jc w:val="center"/>
      <w:textAlignment w:val="center"/>
    </w:pPr>
    <w:rPr>
      <w:rFonts w:ascii="宋体" w:hAnsi="宋体" w:eastAsia="华文细黑" w:cs="Times New Roman"/>
      <w:kern w:val="0"/>
      <w:sz w:val="24"/>
      <w:szCs w:val="24"/>
    </w:rPr>
  </w:style>
  <w:style w:type="paragraph" w:customStyle="1" w:styleId="513">
    <w:name w:val="_正文 Char"/>
    <w:basedOn w:val="1"/>
    <w:qFormat/>
    <w:uiPriority w:val="99"/>
    <w:pPr>
      <w:spacing w:before="120" w:line="520" w:lineRule="exact"/>
      <w:ind w:firstLine="560"/>
      <w:textAlignment w:val="baseline"/>
    </w:pPr>
    <w:rPr>
      <w:rFonts w:ascii="华文细黑" w:hAnsi="华文细黑" w:eastAsia="华文细黑" w:cs="Times New Roman"/>
      <w:sz w:val="24"/>
      <w:szCs w:val="20"/>
    </w:rPr>
  </w:style>
  <w:style w:type="paragraph" w:customStyle="1" w:styleId="514">
    <w:name w:val="Char Char Char Char Char Char Char"/>
    <w:basedOn w:val="1"/>
    <w:qFormat/>
    <w:uiPriority w:val="99"/>
    <w:pPr>
      <w:ind w:firstLine="0" w:firstLineChars="0"/>
    </w:pPr>
    <w:rPr>
      <w:rFonts w:eastAsia="宋体" w:cs="Times New Roman"/>
      <w:sz w:val="21"/>
      <w:szCs w:val="24"/>
    </w:rPr>
  </w:style>
  <w:style w:type="character" w:customStyle="1" w:styleId="515">
    <w:name w:val="表格文字 Char"/>
    <w:qFormat/>
    <w:uiPriority w:val="0"/>
    <w:rPr>
      <w:rFonts w:ascii="Times New Roman" w:hAnsi="Times New Roman" w:eastAsia="宋体" w:cs="宋体"/>
      <w:kern w:val="0"/>
      <w:sz w:val="18"/>
      <w:szCs w:val="18"/>
    </w:rPr>
  </w:style>
  <w:style w:type="paragraph" w:customStyle="1" w:styleId="516">
    <w:name w:val="Char Char Char Char Char Char Char Char Char Char Char Char Char"/>
    <w:basedOn w:val="22"/>
    <w:qFormat/>
    <w:uiPriority w:val="99"/>
    <w:pPr>
      <w:shd w:val="clear" w:color="auto" w:fill="000080"/>
      <w:spacing w:line="240" w:lineRule="auto"/>
      <w:ind w:firstLine="0" w:firstLineChars="0"/>
    </w:pPr>
    <w:rPr>
      <w:rFonts w:ascii="Times New Roman" w:cs="Times New Roman"/>
      <w:sz w:val="21"/>
      <w:szCs w:val="20"/>
    </w:rPr>
  </w:style>
  <w:style w:type="paragraph" w:customStyle="1" w:styleId="517">
    <w:name w:val="样式 目录 1 + 首行缩进:  2 字符"/>
    <w:basedOn w:val="51"/>
    <w:qFormat/>
    <w:uiPriority w:val="99"/>
    <w:pPr>
      <w:tabs>
        <w:tab w:val="clear" w:pos="8296"/>
      </w:tabs>
      <w:spacing w:before="120" w:after="120"/>
      <w:jc w:val="left"/>
    </w:pPr>
    <w:rPr>
      <w:rFonts w:ascii="华文细黑" w:hAnsi="Calibri" w:cs="宋体" w:eastAsiaTheme="minorEastAsia"/>
      <w:bCs/>
      <w:caps/>
      <w:sz w:val="20"/>
      <w:szCs w:val="20"/>
    </w:rPr>
  </w:style>
  <w:style w:type="paragraph" w:customStyle="1" w:styleId="518">
    <w:name w:val="样式 目录 1 + 首行缩进:  2 字符1"/>
    <w:basedOn w:val="51"/>
    <w:qFormat/>
    <w:uiPriority w:val="99"/>
    <w:pPr>
      <w:tabs>
        <w:tab w:val="clear" w:pos="8296"/>
      </w:tabs>
      <w:spacing w:before="120" w:after="120" w:line="360" w:lineRule="auto"/>
      <w:ind w:firstLine="200" w:firstLineChars="200"/>
      <w:jc w:val="left"/>
    </w:pPr>
    <w:rPr>
      <w:rFonts w:ascii="华文细黑" w:hAnsi="Calibri" w:cs="宋体" w:eastAsiaTheme="minorEastAsia"/>
      <w:b w:val="0"/>
      <w:bCs/>
      <w:caps/>
      <w:sz w:val="21"/>
      <w:szCs w:val="20"/>
    </w:rPr>
  </w:style>
  <w:style w:type="paragraph" w:customStyle="1" w:styleId="519">
    <w:name w:val="样式 目录 1 + 首行缩进:  2 字符2"/>
    <w:basedOn w:val="51"/>
    <w:qFormat/>
    <w:uiPriority w:val="99"/>
    <w:pPr>
      <w:tabs>
        <w:tab w:val="clear" w:pos="8296"/>
      </w:tabs>
      <w:spacing w:before="120" w:after="120" w:line="360" w:lineRule="auto"/>
      <w:ind w:firstLine="420" w:firstLineChars="200"/>
      <w:jc w:val="left"/>
    </w:pPr>
    <w:rPr>
      <w:rFonts w:ascii="华文细黑" w:hAnsi="Calibri" w:cs="宋体" w:eastAsiaTheme="minorEastAsia"/>
      <w:b w:val="0"/>
      <w:bCs/>
      <w:caps/>
      <w:sz w:val="21"/>
      <w:szCs w:val="20"/>
    </w:rPr>
  </w:style>
  <w:style w:type="paragraph" w:customStyle="1" w:styleId="520">
    <w:name w:val="样式4"/>
    <w:basedOn w:val="1"/>
    <w:link w:val="521"/>
    <w:qFormat/>
    <w:uiPriority w:val="0"/>
    <w:pPr>
      <w:snapToGrid w:val="0"/>
      <w:ind w:firstLine="0" w:firstLineChars="0"/>
      <w:jc w:val="left"/>
      <w:outlineLvl w:val="4"/>
    </w:pPr>
    <w:rPr>
      <w:rFonts w:ascii="华文细黑" w:hAnsi="华文细黑" w:eastAsia="华文细黑" w:cs="Times New Roman"/>
      <w:b/>
      <w:sz w:val="24"/>
      <w:szCs w:val="22"/>
      <w:lang w:val="zh-CN"/>
    </w:rPr>
  </w:style>
  <w:style w:type="character" w:customStyle="1" w:styleId="521">
    <w:name w:val="样式4 Char"/>
    <w:link w:val="520"/>
    <w:qFormat/>
    <w:uiPriority w:val="0"/>
    <w:rPr>
      <w:rFonts w:ascii="华文细黑" w:hAnsi="华文细黑" w:eastAsia="华文细黑" w:cs="Times New Roman"/>
      <w:b/>
      <w:sz w:val="24"/>
      <w:lang w:val="zh-CN" w:eastAsia="zh-CN"/>
    </w:rPr>
  </w:style>
  <w:style w:type="paragraph" w:customStyle="1" w:styleId="522">
    <w:name w:val="样式7"/>
    <w:basedOn w:val="18"/>
    <w:link w:val="523"/>
    <w:qFormat/>
    <w:uiPriority w:val="0"/>
    <w:pPr>
      <w:snapToGrid w:val="0"/>
      <w:spacing w:line="360" w:lineRule="auto"/>
      <w:ind w:right="-120" w:rightChars="-57" w:firstLine="480" w:firstLineChars="200"/>
    </w:pPr>
    <w:rPr>
      <w:rFonts w:ascii="华文细黑" w:hAnsi="华文细黑" w:eastAsia="仿宋_GB2312" w:cs="Arial"/>
      <w:sz w:val="24"/>
      <w:szCs w:val="24"/>
      <w:lang w:val="zh-CN"/>
    </w:rPr>
  </w:style>
  <w:style w:type="character" w:customStyle="1" w:styleId="523">
    <w:name w:val="样式7 Char"/>
    <w:link w:val="522"/>
    <w:qFormat/>
    <w:uiPriority w:val="0"/>
    <w:rPr>
      <w:rFonts w:ascii="华文细黑" w:hAnsi="华文细黑" w:eastAsia="仿宋_GB2312" w:cs="Arial"/>
      <w:sz w:val="24"/>
      <w:szCs w:val="24"/>
      <w:lang w:val="zh-CN" w:eastAsia="zh-CN"/>
    </w:rPr>
  </w:style>
  <w:style w:type="paragraph" w:customStyle="1" w:styleId="524">
    <w:name w:val="样式10"/>
    <w:basedOn w:val="4"/>
    <w:link w:val="525"/>
    <w:qFormat/>
    <w:uiPriority w:val="0"/>
    <w:pPr>
      <w:numPr>
        <w:ilvl w:val="0"/>
        <w:numId w:val="0"/>
      </w:numPr>
      <w:tabs>
        <w:tab w:val="left" w:pos="3240"/>
      </w:tabs>
      <w:spacing w:before="120" w:after="120"/>
    </w:pPr>
    <w:rPr>
      <w:rFonts w:ascii="华文细黑" w:hAnsi="华文细黑"/>
      <w:bCs/>
      <w:sz w:val="28"/>
      <w:szCs w:val="24"/>
      <w:lang w:val="zh-CN"/>
    </w:rPr>
  </w:style>
  <w:style w:type="character" w:customStyle="1" w:styleId="525">
    <w:name w:val="样式10 Char"/>
    <w:link w:val="524"/>
    <w:qFormat/>
    <w:uiPriority w:val="0"/>
    <w:rPr>
      <w:rFonts w:ascii="华文细黑" w:hAnsi="华文细黑" w:eastAsia="仿宋" w:cs="Times New Roman"/>
      <w:b/>
      <w:bCs/>
      <w:color w:val="000000"/>
      <w:sz w:val="28"/>
      <w:szCs w:val="24"/>
      <w:lang w:val="zh-CN" w:eastAsia="zh-CN"/>
    </w:rPr>
  </w:style>
  <w:style w:type="character" w:customStyle="1" w:styleId="526">
    <w:name w:val="样式3 Char"/>
    <w:link w:val="186"/>
    <w:qFormat/>
    <w:uiPriority w:val="0"/>
    <w:rPr>
      <w:rFonts w:ascii="Cambria" w:hAnsi="Cambria" w:eastAsia="宋体" w:cs="Times New Roman"/>
      <w:b/>
      <w:bCs/>
      <w:kern w:val="0"/>
      <w:sz w:val="28"/>
      <w:szCs w:val="28"/>
      <w:lang w:val="zh-CN" w:eastAsia="zh-CN"/>
    </w:rPr>
  </w:style>
  <w:style w:type="paragraph" w:customStyle="1" w:styleId="527">
    <w:name w:val="样式8"/>
    <w:basedOn w:val="18"/>
    <w:qFormat/>
    <w:uiPriority w:val="99"/>
    <w:pPr>
      <w:keepLines/>
      <w:pageBreakBefore/>
      <w:snapToGrid w:val="0"/>
      <w:spacing w:before="260" w:after="260" w:line="360" w:lineRule="auto"/>
      <w:ind w:firstLine="0"/>
      <w:jc w:val="center"/>
      <w:outlineLvl w:val="0"/>
    </w:pPr>
    <w:rPr>
      <w:rFonts w:ascii="华文细黑" w:hAnsi="华文细黑" w:eastAsia="仿宋_GB2312" w:cs="Arial"/>
      <w:b/>
      <w:kern w:val="0"/>
      <w:sz w:val="44"/>
      <w:szCs w:val="44"/>
      <w:lang w:val="zh-CN"/>
    </w:rPr>
  </w:style>
  <w:style w:type="paragraph" w:customStyle="1" w:styleId="528">
    <w:name w:val="样式9"/>
    <w:basedOn w:val="18"/>
    <w:qFormat/>
    <w:uiPriority w:val="99"/>
    <w:pPr>
      <w:snapToGrid w:val="0"/>
      <w:spacing w:before="160" w:after="160" w:line="360" w:lineRule="auto"/>
      <w:ind w:firstLine="0"/>
      <w:jc w:val="left"/>
      <w:outlineLvl w:val="1"/>
    </w:pPr>
    <w:rPr>
      <w:rFonts w:ascii="华文细黑" w:hAnsi="华文细黑" w:eastAsia="仿宋_GB2312" w:cs="Arial"/>
      <w:b/>
      <w:kern w:val="0"/>
      <w:sz w:val="30"/>
      <w:szCs w:val="30"/>
      <w:lang w:val="zh-CN"/>
    </w:rPr>
  </w:style>
  <w:style w:type="paragraph" w:customStyle="1" w:styleId="529">
    <w:name w:val="Char Char Char Char1 Char Char Char Char Char Char"/>
    <w:basedOn w:val="1"/>
    <w:qFormat/>
    <w:uiPriority w:val="99"/>
    <w:rPr>
      <w:rFonts w:eastAsia="宋体" w:cs="Times New Roman"/>
      <w:sz w:val="24"/>
      <w:szCs w:val="24"/>
    </w:rPr>
  </w:style>
  <w:style w:type="paragraph" w:customStyle="1" w:styleId="530">
    <w:name w:val="xl23"/>
    <w:basedOn w:val="1"/>
    <w:qFormat/>
    <w:uiPriority w:val="99"/>
    <w:pPr>
      <w:widowControl/>
      <w:pBdr>
        <w:right w:val="single" w:color="auto" w:sz="4" w:space="0"/>
      </w:pBdr>
      <w:spacing w:before="100" w:beforeAutospacing="1" w:after="100" w:afterAutospacing="1"/>
      <w:jc w:val="center"/>
      <w:textAlignment w:val="center"/>
    </w:pPr>
    <w:rPr>
      <w:rFonts w:hint="eastAsia" w:ascii="楷体_GB2312" w:hAnsi="宋体" w:eastAsia="楷体_GB2312" w:cs="Times New Roman"/>
      <w:kern w:val="0"/>
      <w:sz w:val="20"/>
      <w:szCs w:val="20"/>
    </w:rPr>
  </w:style>
  <w:style w:type="paragraph" w:customStyle="1" w:styleId="531">
    <w:name w:val="z-窗体底端1"/>
    <w:basedOn w:val="1"/>
    <w:next w:val="1"/>
    <w:link w:val="532"/>
    <w:qFormat/>
    <w:uiPriority w:val="0"/>
    <w:pPr>
      <w:widowControl/>
      <w:pBdr>
        <w:top w:val="single" w:color="auto" w:sz="6" w:space="1"/>
      </w:pBdr>
      <w:jc w:val="center"/>
    </w:pPr>
    <w:rPr>
      <w:rFonts w:ascii="Arial" w:hAnsi="Arial" w:eastAsia="宋体" w:cs="Arial"/>
      <w:vanish/>
      <w:kern w:val="0"/>
      <w:sz w:val="16"/>
      <w:szCs w:val="16"/>
    </w:rPr>
  </w:style>
  <w:style w:type="character" w:customStyle="1" w:styleId="532">
    <w:name w:val="z-窗体底端 字符"/>
    <w:basedOn w:val="80"/>
    <w:link w:val="531"/>
    <w:qFormat/>
    <w:uiPriority w:val="0"/>
    <w:rPr>
      <w:rFonts w:ascii="Arial" w:hAnsi="Arial" w:eastAsia="宋体" w:cs="Arial"/>
      <w:vanish/>
      <w:kern w:val="0"/>
      <w:sz w:val="16"/>
      <w:szCs w:val="16"/>
    </w:rPr>
  </w:style>
  <w:style w:type="character" w:customStyle="1" w:styleId="533">
    <w:name w:val="9pttext21"/>
    <w:qFormat/>
    <w:uiPriority w:val="0"/>
    <w:rPr>
      <w:sz w:val="24"/>
      <w:szCs w:val="24"/>
    </w:rPr>
  </w:style>
  <w:style w:type="paragraph" w:customStyle="1" w:styleId="534">
    <w:name w:val="z-窗体顶端1"/>
    <w:basedOn w:val="1"/>
    <w:next w:val="1"/>
    <w:link w:val="535"/>
    <w:qFormat/>
    <w:uiPriority w:val="0"/>
    <w:pPr>
      <w:widowControl/>
      <w:pBdr>
        <w:bottom w:val="single" w:color="auto" w:sz="6" w:space="1"/>
      </w:pBdr>
      <w:jc w:val="center"/>
    </w:pPr>
    <w:rPr>
      <w:rFonts w:ascii="Arial" w:hAnsi="Arial" w:eastAsia="宋体" w:cs="Arial"/>
      <w:vanish/>
      <w:kern w:val="0"/>
      <w:sz w:val="16"/>
      <w:szCs w:val="16"/>
    </w:rPr>
  </w:style>
  <w:style w:type="character" w:customStyle="1" w:styleId="535">
    <w:name w:val="z-窗体顶端 字符"/>
    <w:basedOn w:val="80"/>
    <w:link w:val="534"/>
    <w:qFormat/>
    <w:uiPriority w:val="0"/>
    <w:rPr>
      <w:rFonts w:ascii="Arial" w:hAnsi="Arial" w:eastAsia="宋体" w:cs="Arial"/>
      <w:vanish/>
      <w:kern w:val="0"/>
      <w:sz w:val="16"/>
      <w:szCs w:val="16"/>
    </w:rPr>
  </w:style>
  <w:style w:type="paragraph" w:customStyle="1" w:styleId="536">
    <w:name w:val="Char Char1 Char Char Char Char Char Char"/>
    <w:basedOn w:val="1"/>
    <w:qFormat/>
    <w:uiPriority w:val="99"/>
    <w:pPr>
      <w:widowControl/>
      <w:spacing w:after="160" w:line="240" w:lineRule="exact"/>
      <w:jc w:val="left"/>
    </w:pPr>
    <w:rPr>
      <w:rFonts w:ascii="Verdana" w:hAnsi="Verdana" w:eastAsia="仿宋_GB2312" w:cs="Times New Roman"/>
      <w:kern w:val="0"/>
      <w:sz w:val="24"/>
      <w:szCs w:val="20"/>
      <w:lang w:eastAsia="en-US"/>
    </w:rPr>
  </w:style>
  <w:style w:type="character" w:customStyle="1" w:styleId="537">
    <w:name w:val="font_black1"/>
    <w:qFormat/>
    <w:uiPriority w:val="0"/>
    <w:rPr>
      <w:rFonts w:hint="eastAsia" w:ascii="宋体" w:hAnsi="宋体" w:eastAsia="宋体"/>
      <w:color w:val="000000"/>
      <w:sz w:val="15"/>
      <w:szCs w:val="15"/>
    </w:rPr>
  </w:style>
  <w:style w:type="character" w:customStyle="1" w:styleId="538">
    <w:name w:val="Char Char1"/>
    <w:qFormat/>
    <w:uiPriority w:val="0"/>
    <w:rPr>
      <w:rFonts w:ascii="宋体" w:hAnsi="Courier New" w:cs="Courier New"/>
      <w:kern w:val="2"/>
      <w:sz w:val="21"/>
      <w:szCs w:val="21"/>
    </w:rPr>
  </w:style>
  <w:style w:type="paragraph" w:customStyle="1" w:styleId="539">
    <w:name w:val="Char1 Char Char Char Char Char Char"/>
    <w:basedOn w:val="1"/>
    <w:qFormat/>
    <w:uiPriority w:val="99"/>
    <w:rPr>
      <w:rFonts w:ascii="宋体" w:hAnsi="宋体" w:eastAsia="宋体" w:cs="宋体"/>
      <w:sz w:val="24"/>
      <w:szCs w:val="24"/>
    </w:rPr>
  </w:style>
  <w:style w:type="paragraph" w:customStyle="1" w:styleId="540">
    <w:name w:val="标题2+段前6磅  段后6磅"/>
    <w:basedOn w:val="1"/>
    <w:qFormat/>
    <w:uiPriority w:val="99"/>
    <w:pPr>
      <w:outlineLvl w:val="5"/>
    </w:pPr>
    <w:rPr>
      <w:rFonts w:eastAsia="宋体" w:cs="Times New Roman"/>
      <w:sz w:val="24"/>
      <w:szCs w:val="20"/>
    </w:rPr>
  </w:style>
  <w:style w:type="paragraph" w:customStyle="1" w:styleId="541">
    <w:name w:val="标题 1 + 黑体"/>
    <w:basedOn w:val="2"/>
    <w:qFormat/>
    <w:uiPriority w:val="99"/>
    <w:pPr>
      <w:pageBreakBefore w:val="0"/>
      <w:numPr>
        <w:numId w:val="0"/>
      </w:numPr>
      <w:adjustRightInd/>
      <w:snapToGrid/>
      <w:spacing w:before="0" w:after="0"/>
      <w:jc w:val="both"/>
    </w:pPr>
    <w:rPr>
      <w:rFonts w:ascii="仿宋_GB2312" w:eastAsia="仿宋_GB2312" w:cs="Times New Roman"/>
      <w:kern w:val="0"/>
      <w:sz w:val="32"/>
      <w:szCs w:val="24"/>
    </w:rPr>
  </w:style>
  <w:style w:type="paragraph" w:customStyle="1" w:styleId="542">
    <w:name w:val="图名称-"/>
    <w:basedOn w:val="1"/>
    <w:link w:val="543"/>
    <w:qFormat/>
    <w:uiPriority w:val="0"/>
    <w:pPr>
      <w:keepLines/>
      <w:tabs>
        <w:tab w:val="left" w:pos="360"/>
      </w:tabs>
      <w:ind w:firstLine="0" w:firstLineChars="0"/>
      <w:jc w:val="center"/>
      <w:outlineLvl w:val="6"/>
    </w:pPr>
    <w:rPr>
      <w:rFonts w:eastAsia="宋体" w:cs="宋体"/>
      <w:sz w:val="21"/>
      <w:szCs w:val="20"/>
    </w:rPr>
  </w:style>
  <w:style w:type="character" w:customStyle="1" w:styleId="543">
    <w:name w:val="图名称- Char"/>
    <w:link w:val="542"/>
    <w:qFormat/>
    <w:uiPriority w:val="0"/>
    <w:rPr>
      <w:rFonts w:ascii="Times New Roman" w:hAnsi="Times New Roman" w:eastAsia="宋体" w:cs="宋体"/>
      <w:szCs w:val="20"/>
    </w:rPr>
  </w:style>
  <w:style w:type="paragraph" w:customStyle="1" w:styleId="544">
    <w:name w:val="Char Char Char Char1 Char Char Char Char Char Char3"/>
    <w:basedOn w:val="1"/>
    <w:qFormat/>
    <w:uiPriority w:val="99"/>
    <w:rPr>
      <w:rFonts w:eastAsia="宋体" w:cs="Times New Roman"/>
      <w:sz w:val="24"/>
      <w:szCs w:val="24"/>
    </w:rPr>
  </w:style>
  <w:style w:type="paragraph" w:customStyle="1" w:styleId="545">
    <w:name w:val="Char Char Char Char1"/>
    <w:basedOn w:val="1"/>
    <w:qFormat/>
    <w:uiPriority w:val="99"/>
    <w:rPr>
      <w:rFonts w:eastAsia="宋体" w:cs="Times New Roman"/>
      <w:sz w:val="24"/>
      <w:szCs w:val="20"/>
    </w:rPr>
  </w:style>
  <w:style w:type="paragraph" w:customStyle="1" w:styleId="546">
    <w:name w:val="Char Char1 Char Char Char Char Char Char1"/>
    <w:basedOn w:val="1"/>
    <w:qFormat/>
    <w:uiPriority w:val="99"/>
    <w:pPr>
      <w:widowControl/>
      <w:spacing w:after="160" w:line="240" w:lineRule="exact"/>
      <w:jc w:val="left"/>
    </w:pPr>
    <w:rPr>
      <w:rFonts w:ascii="Verdana" w:hAnsi="Verdana" w:eastAsia="仿宋_GB2312" w:cs="Times New Roman"/>
      <w:kern w:val="0"/>
      <w:sz w:val="24"/>
      <w:szCs w:val="20"/>
      <w:lang w:eastAsia="en-US"/>
    </w:rPr>
  </w:style>
  <w:style w:type="character" w:customStyle="1" w:styleId="547">
    <w:name w:val="Char Char11"/>
    <w:qFormat/>
    <w:uiPriority w:val="0"/>
    <w:rPr>
      <w:rFonts w:ascii="宋体" w:hAnsi="Courier New" w:cs="Courier New"/>
      <w:kern w:val="2"/>
      <w:sz w:val="21"/>
      <w:szCs w:val="21"/>
    </w:rPr>
  </w:style>
  <w:style w:type="paragraph" w:customStyle="1" w:styleId="548">
    <w:name w:val="Char Char Char Char1 Char Char Char Char Char Char2"/>
    <w:basedOn w:val="1"/>
    <w:qFormat/>
    <w:uiPriority w:val="99"/>
    <w:pPr>
      <w:ind w:firstLine="0" w:firstLineChars="0"/>
    </w:pPr>
    <w:rPr>
      <w:rFonts w:eastAsia="宋体" w:cs="Times New Roman"/>
      <w:sz w:val="21"/>
      <w:szCs w:val="24"/>
    </w:rPr>
  </w:style>
  <w:style w:type="paragraph" w:customStyle="1" w:styleId="549">
    <w:name w:val="Char Char Char Char1 Char Char Char Char Char Char1"/>
    <w:basedOn w:val="1"/>
    <w:qFormat/>
    <w:uiPriority w:val="99"/>
    <w:pPr>
      <w:ind w:firstLine="0" w:firstLineChars="0"/>
    </w:pPr>
    <w:rPr>
      <w:rFonts w:eastAsia="宋体" w:cs="Times New Roman"/>
      <w:sz w:val="21"/>
      <w:szCs w:val="24"/>
    </w:rPr>
  </w:style>
  <w:style w:type="paragraph" w:customStyle="1" w:styleId="550">
    <w:name w:val="Char Char Char1 Char"/>
    <w:basedOn w:val="1"/>
    <w:qFormat/>
    <w:uiPriority w:val="99"/>
    <w:pPr>
      <w:keepNext/>
      <w:widowControl/>
      <w:tabs>
        <w:tab w:val="left" w:pos="425"/>
      </w:tabs>
      <w:autoSpaceDE w:val="0"/>
      <w:autoSpaceDN w:val="0"/>
      <w:adjustRightInd w:val="0"/>
      <w:spacing w:before="80" w:after="80"/>
      <w:ind w:hanging="425" w:firstLineChars="0"/>
    </w:pPr>
    <w:rPr>
      <w:rFonts w:eastAsia="仿宋_GB2312" w:cs="Times New Roman"/>
      <w:sz w:val="21"/>
      <w:szCs w:val="20"/>
    </w:rPr>
  </w:style>
  <w:style w:type="paragraph" w:customStyle="1" w:styleId="551">
    <w:name w:val="|图片"/>
    <w:basedOn w:val="1"/>
    <w:link w:val="552"/>
    <w:qFormat/>
    <w:uiPriority w:val="0"/>
    <w:pPr>
      <w:ind w:firstLine="0" w:firstLineChars="0"/>
      <w:jc w:val="center"/>
    </w:pPr>
    <w:rPr>
      <w:rFonts w:ascii="Calibri" w:hAnsi="Calibri" w:eastAsia="宋体" w:cs="Times New Roman"/>
      <w:sz w:val="21"/>
      <w:szCs w:val="22"/>
    </w:rPr>
  </w:style>
  <w:style w:type="character" w:customStyle="1" w:styleId="552">
    <w:name w:val="|图片 Char"/>
    <w:link w:val="551"/>
    <w:qFormat/>
    <w:uiPriority w:val="0"/>
    <w:rPr>
      <w:rFonts w:ascii="Calibri" w:hAnsi="Calibri" w:eastAsia="宋体" w:cs="Times New Roman"/>
    </w:rPr>
  </w:style>
  <w:style w:type="paragraph" w:customStyle="1" w:styleId="553">
    <w:name w:val="|正文样式"/>
    <w:basedOn w:val="1"/>
    <w:link w:val="554"/>
    <w:qFormat/>
    <w:uiPriority w:val="0"/>
    <w:pPr>
      <w:widowControl/>
      <w:spacing w:before="260" w:after="260"/>
      <w:ind w:firstLine="480"/>
    </w:pPr>
    <w:rPr>
      <w:rFonts w:eastAsia="宋体" w:cs="Times New Roman"/>
      <w:sz w:val="24"/>
      <w:szCs w:val="24"/>
      <w:lang w:val="zh-CN"/>
    </w:rPr>
  </w:style>
  <w:style w:type="character" w:customStyle="1" w:styleId="554">
    <w:name w:val="|正文样式 Char"/>
    <w:link w:val="553"/>
    <w:qFormat/>
    <w:uiPriority w:val="0"/>
    <w:rPr>
      <w:rFonts w:ascii="Times New Roman" w:hAnsi="Times New Roman" w:eastAsia="宋体" w:cs="Times New Roman"/>
      <w:sz w:val="24"/>
      <w:szCs w:val="24"/>
      <w:lang w:val="zh-CN" w:eastAsia="zh-CN"/>
    </w:rPr>
  </w:style>
  <w:style w:type="character" w:customStyle="1" w:styleId="555">
    <w:name w:val="样式2 Char"/>
    <w:qFormat/>
    <w:uiPriority w:val="0"/>
    <w:rPr>
      <w:rFonts w:ascii="华文细黑" w:hAnsi="华文细黑" w:eastAsia="华文细黑"/>
      <w:b/>
      <w:sz w:val="30"/>
      <w:szCs w:val="30"/>
      <w:lang w:val="zh-CN" w:eastAsia="zh-CN"/>
    </w:rPr>
  </w:style>
  <w:style w:type="character" w:customStyle="1" w:styleId="556">
    <w:name w:val="普通(网站) 字符"/>
    <w:link w:val="70"/>
    <w:qFormat/>
    <w:uiPriority w:val="99"/>
    <w:rPr>
      <w:rFonts w:eastAsia="仿宋" w:cs="Times New Roman"/>
      <w:kern w:val="0"/>
      <w:sz w:val="24"/>
      <w:szCs w:val="24"/>
    </w:rPr>
  </w:style>
  <w:style w:type="character" w:customStyle="1" w:styleId="557">
    <w:name w:val="题注 Char2"/>
    <w:qFormat/>
    <w:uiPriority w:val="0"/>
    <w:rPr>
      <w:rFonts w:ascii="华文细黑" w:hAnsi="华文细黑" w:eastAsia="华文细黑"/>
      <w:b/>
      <w:kern w:val="2"/>
      <w:sz w:val="21"/>
      <w:szCs w:val="21"/>
      <w:lang w:val="zh-CN" w:eastAsia="zh-CN"/>
    </w:rPr>
  </w:style>
  <w:style w:type="character" w:customStyle="1" w:styleId="558">
    <w:name w:val="样式 首行缩进:  2 字符 Char"/>
    <w:link w:val="369"/>
    <w:qFormat/>
    <w:uiPriority w:val="0"/>
    <w:rPr>
      <w:rFonts w:ascii="Times New Roman" w:hAnsi="Times New Roman" w:eastAsia="仿宋_GB2312" w:cs="宋体"/>
      <w:sz w:val="28"/>
      <w:szCs w:val="28"/>
    </w:rPr>
  </w:style>
  <w:style w:type="paragraph" w:customStyle="1" w:styleId="559">
    <w:name w:val="Char4"/>
    <w:basedOn w:val="1"/>
    <w:qFormat/>
    <w:uiPriority w:val="99"/>
    <w:pPr>
      <w:keepNext/>
      <w:widowControl/>
      <w:tabs>
        <w:tab w:val="left" w:pos="425"/>
      </w:tabs>
      <w:autoSpaceDE w:val="0"/>
      <w:autoSpaceDN w:val="0"/>
      <w:adjustRightInd w:val="0"/>
      <w:spacing w:before="80" w:after="80"/>
      <w:ind w:hanging="425" w:firstLineChars="0"/>
    </w:pPr>
    <w:rPr>
      <w:rFonts w:ascii="Arial" w:hAnsi="Arial" w:eastAsia="宋体" w:cs="Arial"/>
      <w:sz w:val="20"/>
      <w:szCs w:val="20"/>
    </w:rPr>
  </w:style>
  <w:style w:type="paragraph" w:customStyle="1" w:styleId="560">
    <w:name w:val="样式 标题 4款标题1.1.1.1L4h44th levelH44[三级节名]条 2[三级节名]1[三级节名..."/>
    <w:basedOn w:val="5"/>
    <w:qFormat/>
    <w:uiPriority w:val="99"/>
    <w:pPr>
      <w:numPr>
        <w:ilvl w:val="0"/>
        <w:numId w:val="0"/>
      </w:numPr>
      <w:tabs>
        <w:tab w:val="left" w:pos="0"/>
        <w:tab w:val="center" w:pos="4423"/>
        <w:tab w:val="right" w:pos="8845"/>
      </w:tabs>
      <w:adjustRightInd w:val="0"/>
      <w:ind w:left="1984" w:hanging="1984"/>
      <w:jc w:val="both"/>
    </w:pPr>
    <w:rPr>
      <w:rFonts w:ascii="华文细黑" w:hAnsi="Arial" w:cs="宋体"/>
      <w:bCs w:val="0"/>
      <w:szCs w:val="20"/>
    </w:rPr>
  </w:style>
  <w:style w:type="paragraph" w:customStyle="1" w:styleId="561">
    <w:name w:val="Char1 Char Char Char Char Char Char Char Char Char Char Char"/>
    <w:basedOn w:val="1"/>
    <w:qFormat/>
    <w:uiPriority w:val="99"/>
    <w:pPr>
      <w:pageBreakBefore/>
      <w:tabs>
        <w:tab w:val="left" w:pos="432"/>
      </w:tabs>
      <w:ind w:left="432" w:hanging="432" w:firstLineChars="0"/>
    </w:pPr>
    <w:rPr>
      <w:rFonts w:eastAsia="宋体" w:cs="Times New Roman"/>
      <w:sz w:val="21"/>
      <w:szCs w:val="20"/>
    </w:rPr>
  </w:style>
  <w:style w:type="paragraph" w:customStyle="1" w:styleId="562">
    <w:name w:val="Char Char Char Char Char Char1 Char Char Char Char Char Char Char Char Char Char1 Char Char Char Char Char Char"/>
    <w:basedOn w:val="1"/>
    <w:qFormat/>
    <w:uiPriority w:val="99"/>
    <w:pPr>
      <w:spacing w:line="580" w:lineRule="exact"/>
    </w:pPr>
    <w:rPr>
      <w:rFonts w:eastAsia="宋体" w:cs="Times New Roman"/>
      <w:sz w:val="21"/>
      <w:szCs w:val="20"/>
    </w:rPr>
  </w:style>
  <w:style w:type="table" w:customStyle="1" w:styleId="563">
    <w:name w:val="Table Normal"/>
    <w:semiHidden/>
    <w:unhideWhenUsed/>
    <w:qFormat/>
    <w:uiPriority w:val="2"/>
    <w:pPr>
      <w:widowControl w:val="0"/>
      <w:autoSpaceDE w:val="0"/>
      <w:autoSpaceDN w:val="0"/>
    </w:pPr>
    <w:rPr>
      <w:sz w:val="22"/>
      <w:lang w:eastAsia="en-US"/>
    </w:rPr>
    <w:tblPr>
      <w:tblCellMar>
        <w:top w:w="0" w:type="dxa"/>
        <w:left w:w="0" w:type="dxa"/>
        <w:bottom w:w="0" w:type="dxa"/>
        <w:right w:w="0" w:type="dxa"/>
      </w:tblCellMar>
    </w:tblPr>
  </w:style>
  <w:style w:type="paragraph" w:customStyle="1" w:styleId="564">
    <w:name w:val="Table Paragraph"/>
    <w:basedOn w:val="1"/>
    <w:qFormat/>
    <w:uiPriority w:val="1"/>
    <w:pPr>
      <w:autoSpaceDE w:val="0"/>
      <w:autoSpaceDN w:val="0"/>
      <w:spacing w:line="240" w:lineRule="auto"/>
      <w:ind w:firstLine="0" w:firstLineChars="0"/>
      <w:jc w:val="center"/>
    </w:pPr>
    <w:rPr>
      <w:rFonts w:ascii="宋体" w:hAnsi="宋体" w:eastAsia="宋体" w:cs="宋体"/>
      <w:kern w:val="0"/>
      <w:sz w:val="22"/>
      <w:szCs w:val="22"/>
      <w:lang w:eastAsia="en-US"/>
    </w:rPr>
  </w:style>
  <w:style w:type="character" w:customStyle="1" w:styleId="565">
    <w:name w:val="表格标题 Char"/>
    <w:link w:val="130"/>
    <w:qFormat/>
    <w:uiPriority w:val="0"/>
    <w:rPr>
      <w:rFonts w:ascii="Times New Roman" w:hAnsi="Times New Roman" w:eastAsia="仿宋" w:cs="Times New Roman"/>
      <w:sz w:val="24"/>
      <w:szCs w:val="24"/>
    </w:rPr>
  </w:style>
  <w:style w:type="paragraph" w:customStyle="1" w:styleId="566">
    <w:name w:val="正文11"/>
    <w:basedOn w:val="1"/>
    <w:link w:val="567"/>
    <w:qFormat/>
    <w:uiPriority w:val="0"/>
    <w:pPr>
      <w:adjustRightInd w:val="0"/>
      <w:snapToGrid w:val="0"/>
    </w:pPr>
    <w:rPr>
      <w:rFonts w:eastAsia="仿宋_GB2312" w:cs="Times New Roman"/>
      <w:szCs w:val="20"/>
      <w:lang w:val="zh-CN"/>
    </w:rPr>
  </w:style>
  <w:style w:type="character" w:customStyle="1" w:styleId="567">
    <w:name w:val="正文11 Char"/>
    <w:link w:val="566"/>
    <w:qFormat/>
    <w:uiPriority w:val="0"/>
    <w:rPr>
      <w:rFonts w:ascii="Times New Roman" w:hAnsi="Times New Roman" w:eastAsia="仿宋_GB2312" w:cs="Times New Roman"/>
      <w:sz w:val="28"/>
      <w:szCs w:val="20"/>
      <w:lang w:val="zh-CN" w:eastAsia="zh-CN"/>
    </w:rPr>
  </w:style>
  <w:style w:type="character" w:customStyle="1" w:styleId="568">
    <w:name w:val="朱表头 Char"/>
    <w:link w:val="569"/>
    <w:qFormat/>
    <w:uiPriority w:val="0"/>
    <w:rPr>
      <w:rFonts w:ascii="EU-F1" w:eastAsia="黑体"/>
      <w:snapToGrid w:val="0"/>
    </w:rPr>
  </w:style>
  <w:style w:type="paragraph" w:customStyle="1" w:styleId="569">
    <w:name w:val="朱表头"/>
    <w:basedOn w:val="144"/>
    <w:link w:val="568"/>
    <w:qFormat/>
    <w:uiPriority w:val="0"/>
    <w:pPr>
      <w:topLinePunct/>
      <w:spacing w:before="160" w:after="60" w:line="312" w:lineRule="exact"/>
    </w:pPr>
    <w:rPr>
      <w:rFonts w:ascii="EU-F1" w:eastAsia="黑体" w:hAnsiTheme="minorHAnsi"/>
      <w:b w:val="0"/>
      <w:snapToGrid w:val="0"/>
    </w:rPr>
  </w:style>
  <w:style w:type="paragraph" w:customStyle="1" w:styleId="570">
    <w:name w:val="自1"/>
    <w:basedOn w:val="1"/>
    <w:qFormat/>
    <w:uiPriority w:val="99"/>
    <w:pPr>
      <w:topLinePunct/>
      <w:adjustRightInd w:val="0"/>
      <w:spacing w:line="240" w:lineRule="auto"/>
      <w:ind w:left="850" w:hanging="425" w:firstLineChars="0"/>
    </w:pPr>
    <w:rPr>
      <w:rFonts w:eastAsia="宋体" w:cs="Times New Roman"/>
      <w:kern w:val="0"/>
      <w:sz w:val="21"/>
      <w:szCs w:val="20"/>
    </w:rPr>
  </w:style>
  <w:style w:type="paragraph" w:customStyle="1" w:styleId="571">
    <w:name w:val="图表居中"/>
    <w:qFormat/>
    <w:uiPriority w:val="99"/>
    <w:pPr>
      <w:adjustRightInd w:val="0"/>
      <w:snapToGrid w:val="0"/>
      <w:spacing w:line="240" w:lineRule="atLeast"/>
      <w:jc w:val="center"/>
    </w:pPr>
    <w:rPr>
      <w:rFonts w:ascii="Times New Roman" w:hAnsi="Times New Roman" w:eastAsia="仿宋_GB2312" w:cs="Times New Roman"/>
      <w:kern w:val="2"/>
      <w:sz w:val="28"/>
      <w:lang w:val="en-US" w:eastAsia="zh-CN" w:bidi="ar-SA"/>
    </w:rPr>
  </w:style>
  <w:style w:type="paragraph" w:customStyle="1" w:styleId="572">
    <w:name w:val="txt-indent"/>
    <w:basedOn w:val="1"/>
    <w:qFormat/>
    <w:uiPriority w:val="99"/>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styleId="573">
    <w:name w:val="Quote"/>
    <w:basedOn w:val="1"/>
    <w:next w:val="1"/>
    <w:link w:val="574"/>
    <w:qFormat/>
    <w:uiPriority w:val="29"/>
    <w:pPr>
      <w:spacing w:before="200" w:after="160" w:line="240" w:lineRule="auto"/>
      <w:ind w:left="864" w:right="864" w:firstLine="0" w:firstLineChars="0"/>
      <w:jc w:val="center"/>
    </w:pPr>
    <w:rPr>
      <w:rFonts w:asciiTheme="minorHAnsi" w:hAnsiTheme="minorHAnsi" w:eastAsiaTheme="minorEastAsia"/>
      <w:i/>
      <w:iCs/>
      <w:color w:val="404040" w:themeColor="text1" w:themeTint="BF"/>
      <w:sz w:val="21"/>
      <w:szCs w:val="22"/>
      <w14:textFill>
        <w14:solidFill>
          <w14:schemeClr w14:val="tx1">
            <w14:lumMod w14:val="75000"/>
            <w14:lumOff w14:val="25000"/>
          </w14:schemeClr>
        </w14:solidFill>
      </w14:textFill>
    </w:rPr>
  </w:style>
  <w:style w:type="character" w:customStyle="1" w:styleId="574">
    <w:name w:val="引用 字符"/>
    <w:basedOn w:val="80"/>
    <w:link w:val="573"/>
    <w:qFormat/>
    <w:uiPriority w:val="29"/>
    <w:rPr>
      <w:i/>
      <w:iCs/>
      <w:color w:val="404040" w:themeColor="text1" w:themeTint="BF"/>
      <w14:textFill>
        <w14:solidFill>
          <w14:schemeClr w14:val="tx1">
            <w14:lumMod w14:val="75000"/>
            <w14:lumOff w14:val="25000"/>
          </w14:schemeClr>
        </w14:solidFill>
      </w14:textFill>
    </w:rPr>
  </w:style>
  <w:style w:type="character" w:customStyle="1" w:styleId="575">
    <w:name w:val="表头 Char Char"/>
    <w:qFormat/>
    <w:uiPriority w:val="0"/>
    <w:rPr>
      <w:rFonts w:eastAsia="仿宋"/>
      <w:b/>
      <w:sz w:val="24"/>
    </w:rPr>
  </w:style>
  <w:style w:type="paragraph" w:customStyle="1" w:styleId="576">
    <w:name w:val="p"/>
    <w:basedOn w:val="1"/>
    <w:qFormat/>
    <w:uiPriority w:val="99"/>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577">
    <w:name w:val="result-item"/>
    <w:basedOn w:val="1"/>
    <w:qFormat/>
    <w:uiPriority w:val="99"/>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character" w:customStyle="1" w:styleId="578">
    <w:name w:val="result-num"/>
    <w:basedOn w:val="80"/>
    <w:qFormat/>
    <w:uiPriority w:val="0"/>
  </w:style>
  <w:style w:type="paragraph" w:customStyle="1" w:styleId="579">
    <w:name w:val="font13"/>
    <w:basedOn w:val="1"/>
    <w:qFormat/>
    <w:uiPriority w:val="99"/>
    <w:pPr>
      <w:widowControl/>
      <w:spacing w:before="100" w:beforeAutospacing="1" w:after="100" w:afterAutospacing="1" w:line="240" w:lineRule="auto"/>
      <w:ind w:firstLine="0" w:firstLineChars="0"/>
      <w:jc w:val="left"/>
    </w:pPr>
    <w:rPr>
      <w:rFonts w:eastAsia="宋体" w:cs="Times New Roman"/>
      <w:color w:val="394043"/>
      <w:kern w:val="0"/>
      <w:sz w:val="18"/>
      <w:szCs w:val="18"/>
    </w:rPr>
  </w:style>
  <w:style w:type="paragraph" w:customStyle="1" w:styleId="580">
    <w:name w:val="font14"/>
    <w:basedOn w:val="1"/>
    <w:qFormat/>
    <w:uiPriority w:val="99"/>
    <w:pPr>
      <w:widowControl/>
      <w:spacing w:before="100" w:beforeAutospacing="1" w:after="100" w:afterAutospacing="1" w:line="240" w:lineRule="auto"/>
      <w:ind w:firstLine="0" w:firstLineChars="0"/>
      <w:jc w:val="left"/>
    </w:pPr>
    <w:rPr>
      <w:rFonts w:ascii="仿宋" w:hAnsi="仿宋" w:cs="宋体"/>
      <w:color w:val="394043"/>
      <w:kern w:val="0"/>
      <w:sz w:val="18"/>
      <w:szCs w:val="18"/>
    </w:rPr>
  </w:style>
  <w:style w:type="paragraph" w:customStyle="1" w:styleId="581">
    <w:name w:val="00正文"/>
    <w:link w:val="582"/>
    <w:qFormat/>
    <w:uiPriority w:val="0"/>
    <w:pPr>
      <w:adjustRightInd w:val="0"/>
      <w:snapToGrid w:val="0"/>
      <w:spacing w:line="360" w:lineRule="auto"/>
      <w:ind w:firstLine="200" w:firstLineChars="200"/>
      <w:jc w:val="both"/>
    </w:pPr>
    <w:rPr>
      <w:rFonts w:ascii="Times New Roman" w:hAnsi="Times New Roman" w:eastAsia="华文仿宋" w:cs="Times New Roman"/>
      <w:kern w:val="2"/>
      <w:sz w:val="28"/>
      <w:szCs w:val="28"/>
      <w:lang w:val="en-US" w:eastAsia="zh-CN" w:bidi="ar-SA"/>
    </w:rPr>
  </w:style>
  <w:style w:type="character" w:customStyle="1" w:styleId="582">
    <w:name w:val="00正文 字符"/>
    <w:link w:val="581"/>
    <w:qFormat/>
    <w:uiPriority w:val="0"/>
    <w:rPr>
      <w:rFonts w:ascii="Times New Roman" w:hAnsi="Times New Roman" w:eastAsia="华文仿宋" w:cs="Times New Roman"/>
      <w:sz w:val="28"/>
      <w:szCs w:val="28"/>
    </w:rPr>
  </w:style>
  <w:style w:type="paragraph" w:customStyle="1" w:styleId="583">
    <w:name w:val="A正文"/>
    <w:link w:val="584"/>
    <w:qFormat/>
    <w:uiPriority w:val="0"/>
    <w:pPr>
      <w:adjustRightInd w:val="0"/>
      <w:snapToGrid w:val="0"/>
      <w:spacing w:line="360" w:lineRule="auto"/>
      <w:ind w:firstLine="200" w:firstLineChars="200"/>
      <w:jc w:val="both"/>
    </w:pPr>
    <w:rPr>
      <w:rFonts w:ascii="Times New Roman" w:hAnsi="Times New Roman" w:eastAsia="华文仿宋" w:cs="Times New Roman"/>
      <w:kern w:val="2"/>
      <w:sz w:val="28"/>
      <w:szCs w:val="28"/>
      <w:lang w:val="en-US" w:eastAsia="zh-CN" w:bidi="ar-SA"/>
    </w:rPr>
  </w:style>
  <w:style w:type="character" w:customStyle="1" w:styleId="584">
    <w:name w:val="A正文 Char"/>
    <w:basedOn w:val="80"/>
    <w:link w:val="583"/>
    <w:qFormat/>
    <w:uiPriority w:val="0"/>
    <w:rPr>
      <w:rFonts w:ascii="Times New Roman" w:hAnsi="Times New Roman" w:eastAsia="华文仿宋" w:cs="Times New Roman"/>
      <w:sz w:val="28"/>
      <w:szCs w:val="28"/>
    </w:rPr>
  </w:style>
  <w:style w:type="paragraph" w:customStyle="1" w:styleId="585">
    <w:name w:val="A标题1"/>
    <w:next w:val="583"/>
    <w:qFormat/>
    <w:uiPriority w:val="99"/>
    <w:pPr>
      <w:keepNext/>
      <w:pageBreakBefore/>
      <w:tabs>
        <w:tab w:val="left" w:pos="425"/>
      </w:tabs>
      <w:spacing w:before="156" w:beforeLines="50" w:after="312" w:afterLines="100"/>
      <w:jc w:val="center"/>
      <w:outlineLvl w:val="0"/>
    </w:pPr>
    <w:rPr>
      <w:rFonts w:ascii="Times New Roman" w:hAnsi="Times New Roman" w:eastAsia="华文仿宋" w:cs="Times New Roman"/>
      <w:b/>
      <w:bCs/>
      <w:kern w:val="44"/>
      <w:sz w:val="36"/>
      <w:szCs w:val="36"/>
      <w:lang w:val="en-US" w:eastAsia="zh-CN" w:bidi="ar-SA"/>
    </w:rPr>
  </w:style>
  <w:style w:type="paragraph" w:customStyle="1" w:styleId="586">
    <w:name w:val="A标题2"/>
    <w:next w:val="583"/>
    <w:qFormat/>
    <w:uiPriority w:val="99"/>
    <w:pPr>
      <w:keepNext/>
      <w:tabs>
        <w:tab w:val="left" w:pos="425"/>
      </w:tabs>
      <w:spacing w:line="360" w:lineRule="auto"/>
      <w:outlineLvl w:val="1"/>
    </w:pPr>
    <w:rPr>
      <w:rFonts w:ascii="Times New Roman" w:hAnsi="Times New Roman" w:eastAsia="宋体" w:cs="Times New Roman"/>
      <w:b/>
      <w:kern w:val="2"/>
      <w:sz w:val="30"/>
      <w:szCs w:val="36"/>
      <w:lang w:val="en-US" w:eastAsia="zh-CN" w:bidi="ar-SA"/>
    </w:rPr>
  </w:style>
  <w:style w:type="paragraph" w:customStyle="1" w:styleId="587">
    <w:name w:val="A标题3"/>
    <w:next w:val="581"/>
    <w:qFormat/>
    <w:uiPriority w:val="99"/>
    <w:pPr>
      <w:keepNext/>
      <w:spacing w:line="360" w:lineRule="auto"/>
      <w:outlineLvl w:val="2"/>
    </w:pPr>
    <w:rPr>
      <w:rFonts w:ascii="Times New Roman" w:hAnsi="Times New Roman" w:eastAsia="华文仿宋" w:cs="Times New Roman"/>
      <w:b/>
      <w:sz w:val="30"/>
      <w:szCs w:val="28"/>
      <w:lang w:val="en-US" w:eastAsia="zh-CN" w:bidi="ar-SA"/>
    </w:rPr>
  </w:style>
  <w:style w:type="paragraph" w:customStyle="1" w:styleId="588">
    <w:name w:val="A标题4"/>
    <w:next w:val="583"/>
    <w:qFormat/>
    <w:uiPriority w:val="99"/>
    <w:pPr>
      <w:keepNext/>
      <w:outlineLvl w:val="3"/>
    </w:pPr>
    <w:rPr>
      <w:rFonts w:ascii="Times New Roman" w:hAnsi="Times New Roman" w:eastAsia="宋体" w:cs="Times New Roman"/>
      <w:b/>
      <w:sz w:val="28"/>
      <w:szCs w:val="24"/>
      <w:lang w:val="en-US" w:eastAsia="zh-CN" w:bidi="ar-SA"/>
    </w:rPr>
  </w:style>
  <w:style w:type="character" w:customStyle="1" w:styleId="589">
    <w:name w:val="表格标题 Char2"/>
    <w:qFormat/>
    <w:uiPriority w:val="0"/>
    <w:rPr>
      <w:rFonts w:ascii="Times New Roman" w:hAnsi="Times New Roman" w:eastAsia="华文仿宋"/>
      <w:kern w:val="2"/>
      <w:szCs w:val="28"/>
    </w:rPr>
  </w:style>
  <w:style w:type="paragraph" w:customStyle="1" w:styleId="590">
    <w:name w:val="图名"/>
    <w:next w:val="1"/>
    <w:qFormat/>
    <w:uiPriority w:val="99"/>
    <w:pPr>
      <w:widowControl w:val="0"/>
      <w:jc w:val="center"/>
      <w:outlineLvl w:val="5"/>
    </w:pPr>
    <w:rPr>
      <w:rFonts w:ascii="Times New Roman" w:hAnsi="Times New Roman" w:eastAsia="华文仿宋" w:cs="Times New Roman"/>
      <w:kern w:val="2"/>
      <w:szCs w:val="21"/>
      <w:lang w:val="en-US" w:eastAsia="zh-CN" w:bidi="ar-SA"/>
    </w:rPr>
  </w:style>
  <w:style w:type="character" w:customStyle="1" w:styleId="591">
    <w:name w:val="未处理的提及4"/>
    <w:basedOn w:val="80"/>
    <w:semiHidden/>
    <w:unhideWhenUsed/>
    <w:qFormat/>
    <w:uiPriority w:val="99"/>
    <w:rPr>
      <w:color w:val="605E5C"/>
      <w:shd w:val="clear" w:color="auto" w:fill="E1DFDD"/>
    </w:rPr>
  </w:style>
  <w:style w:type="paragraph" w:customStyle="1" w:styleId="592">
    <w:name w:val="TOC 标题11"/>
    <w:basedOn w:val="2"/>
    <w:next w:val="1"/>
    <w:unhideWhenUsed/>
    <w:qFormat/>
    <w:uiPriority w:val="39"/>
    <w:pPr>
      <w:pageBreakBefore w:val="0"/>
      <w:widowControl/>
      <w:numPr>
        <w:numId w:val="0"/>
      </w:numPr>
      <w:spacing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593">
    <w:name w:val="不明显强调11"/>
    <w:qFormat/>
    <w:uiPriority w:val="19"/>
    <w:rPr>
      <w:i/>
      <w:iCs/>
      <w:color w:val="808080"/>
    </w:rPr>
  </w:style>
  <w:style w:type="paragraph" w:customStyle="1" w:styleId="594">
    <w:name w:val="修订11"/>
    <w:hidden/>
    <w:semiHidden/>
    <w:qFormat/>
    <w:uiPriority w:val="99"/>
    <w:rPr>
      <w:rFonts w:ascii="Times New Roman" w:hAnsi="Times New Roman" w:eastAsia="仿宋" w:cstheme="minorBidi"/>
      <w:kern w:val="2"/>
      <w:sz w:val="24"/>
      <w:szCs w:val="21"/>
      <w:lang w:val="en-US" w:eastAsia="zh-CN" w:bidi="ar-SA"/>
    </w:rPr>
  </w:style>
  <w:style w:type="paragraph" w:customStyle="1" w:styleId="595">
    <w:name w:val="z-窗体底端11"/>
    <w:basedOn w:val="1"/>
    <w:next w:val="1"/>
    <w:qFormat/>
    <w:uiPriority w:val="99"/>
    <w:pPr>
      <w:widowControl/>
      <w:pBdr>
        <w:top w:val="single" w:color="auto" w:sz="6" w:space="1"/>
      </w:pBdr>
      <w:jc w:val="center"/>
    </w:pPr>
    <w:rPr>
      <w:rFonts w:ascii="Arial" w:hAnsi="Arial" w:eastAsia="宋体" w:cs="Arial"/>
      <w:vanish/>
      <w:kern w:val="0"/>
      <w:sz w:val="16"/>
      <w:szCs w:val="16"/>
    </w:rPr>
  </w:style>
  <w:style w:type="paragraph" w:customStyle="1" w:styleId="596">
    <w:name w:val="z-窗体顶端11"/>
    <w:basedOn w:val="1"/>
    <w:next w:val="1"/>
    <w:qFormat/>
    <w:uiPriority w:val="99"/>
    <w:pPr>
      <w:widowControl/>
      <w:pBdr>
        <w:bottom w:val="single" w:color="auto" w:sz="6" w:space="1"/>
      </w:pBdr>
      <w:jc w:val="center"/>
    </w:pPr>
    <w:rPr>
      <w:rFonts w:ascii="Arial" w:hAnsi="Arial" w:eastAsia="宋体" w:cs="Arial"/>
      <w:vanish/>
      <w:kern w:val="0"/>
      <w:sz w:val="16"/>
      <w:szCs w:val="16"/>
    </w:rPr>
  </w:style>
  <w:style w:type="character" w:customStyle="1" w:styleId="597">
    <w:name w:val="未处理的提及41"/>
    <w:basedOn w:val="80"/>
    <w:semiHidden/>
    <w:unhideWhenUsed/>
    <w:qFormat/>
    <w:uiPriority w:val="99"/>
    <w:rPr>
      <w:color w:val="605E5C"/>
      <w:shd w:val="clear" w:color="auto" w:fill="E1DFDD"/>
    </w:rPr>
  </w:style>
  <w:style w:type="character" w:customStyle="1" w:styleId="598">
    <w:name w:val="未处理的提及5"/>
    <w:basedOn w:val="80"/>
    <w:semiHidden/>
    <w:unhideWhenUsed/>
    <w:qFormat/>
    <w:uiPriority w:val="99"/>
    <w:rPr>
      <w:color w:val="605E5C"/>
      <w:shd w:val="clear" w:color="auto" w:fill="E1DFDD"/>
    </w:rPr>
  </w:style>
  <w:style w:type="character" w:customStyle="1" w:styleId="599">
    <w:name w:val="未处理的提及6"/>
    <w:basedOn w:val="80"/>
    <w:semiHidden/>
    <w:unhideWhenUsed/>
    <w:qFormat/>
    <w:uiPriority w:val="99"/>
    <w:rPr>
      <w:color w:val="605E5C"/>
      <w:shd w:val="clear" w:color="auto" w:fill="E1DFDD"/>
    </w:rPr>
  </w:style>
  <w:style w:type="character" w:customStyle="1" w:styleId="600">
    <w:name w:val="未处理的提及7"/>
    <w:basedOn w:val="80"/>
    <w:semiHidden/>
    <w:unhideWhenUsed/>
    <w:qFormat/>
    <w:uiPriority w:val="99"/>
    <w:rPr>
      <w:color w:val="605E5C"/>
      <w:shd w:val="clear" w:color="auto" w:fill="E1DFDD"/>
    </w:rPr>
  </w:style>
  <w:style w:type="character" w:customStyle="1" w:styleId="601">
    <w:name w:val="未处理的提及8"/>
    <w:basedOn w:val="80"/>
    <w:semiHidden/>
    <w:unhideWhenUsed/>
    <w:qFormat/>
    <w:uiPriority w:val="99"/>
    <w:rPr>
      <w:color w:val="605E5C"/>
      <w:shd w:val="clear" w:color="auto" w:fill="E1DFDD"/>
    </w:rPr>
  </w:style>
  <w:style w:type="character" w:customStyle="1" w:styleId="602">
    <w:name w:val="Unresolved Mention"/>
    <w:basedOn w:val="80"/>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80.jpeg"/><Relationship Id="rId98" Type="http://schemas.openxmlformats.org/officeDocument/2006/relationships/image" Target="media/image79.jpeg"/><Relationship Id="rId97" Type="http://schemas.openxmlformats.org/officeDocument/2006/relationships/image" Target="media/image78.jpeg"/><Relationship Id="rId96" Type="http://schemas.openxmlformats.org/officeDocument/2006/relationships/image" Target="media/image77.jpeg"/><Relationship Id="rId95" Type="http://schemas.openxmlformats.org/officeDocument/2006/relationships/image" Target="media/image76.jpeg"/><Relationship Id="rId94" Type="http://schemas.openxmlformats.org/officeDocument/2006/relationships/image" Target="media/image75.jpeg"/><Relationship Id="rId93" Type="http://schemas.openxmlformats.org/officeDocument/2006/relationships/image" Target="media/image74.jpeg"/><Relationship Id="rId92" Type="http://schemas.openxmlformats.org/officeDocument/2006/relationships/image" Target="media/image73.jpeg"/><Relationship Id="rId91" Type="http://schemas.openxmlformats.org/officeDocument/2006/relationships/image" Target="media/image72.jpeg"/><Relationship Id="rId90" Type="http://schemas.openxmlformats.org/officeDocument/2006/relationships/image" Target="media/image71.jpeg"/><Relationship Id="rId9" Type="http://schemas.openxmlformats.org/officeDocument/2006/relationships/footer" Target="footer2.xml"/><Relationship Id="rId89" Type="http://schemas.openxmlformats.org/officeDocument/2006/relationships/image" Target="media/image70.jpeg"/><Relationship Id="rId88" Type="http://schemas.openxmlformats.org/officeDocument/2006/relationships/image" Target="media/image69.jpeg"/><Relationship Id="rId87" Type="http://schemas.openxmlformats.org/officeDocument/2006/relationships/image" Target="media/image68.jpeg"/><Relationship Id="rId86" Type="http://schemas.openxmlformats.org/officeDocument/2006/relationships/image" Target="media/image67.jpeg"/><Relationship Id="rId85" Type="http://schemas.openxmlformats.org/officeDocument/2006/relationships/image" Target="media/image66.jpeg"/><Relationship Id="rId84" Type="http://schemas.openxmlformats.org/officeDocument/2006/relationships/image" Target="media/image65.jpeg"/><Relationship Id="rId83" Type="http://schemas.openxmlformats.org/officeDocument/2006/relationships/image" Target="media/image64.jpeg"/><Relationship Id="rId82" Type="http://schemas.openxmlformats.org/officeDocument/2006/relationships/image" Target="media/image63.jpeg"/><Relationship Id="rId81" Type="http://schemas.openxmlformats.org/officeDocument/2006/relationships/image" Target="media/image62.jpeg"/><Relationship Id="rId80" Type="http://schemas.openxmlformats.org/officeDocument/2006/relationships/image" Target="media/image61.jpeg"/><Relationship Id="rId8" Type="http://schemas.openxmlformats.org/officeDocument/2006/relationships/footer" Target="footer1.xml"/><Relationship Id="rId79" Type="http://schemas.openxmlformats.org/officeDocument/2006/relationships/image" Target="media/image60.jpeg"/><Relationship Id="rId78" Type="http://schemas.openxmlformats.org/officeDocument/2006/relationships/image" Target="media/image59.jpeg"/><Relationship Id="rId77" Type="http://schemas.openxmlformats.org/officeDocument/2006/relationships/image" Target="media/image58.jpeg"/><Relationship Id="rId76" Type="http://schemas.openxmlformats.org/officeDocument/2006/relationships/image" Target="media/image57.png"/><Relationship Id="rId75" Type="http://schemas.openxmlformats.org/officeDocument/2006/relationships/image" Target="media/image56.jpeg"/><Relationship Id="rId74" Type="http://schemas.openxmlformats.org/officeDocument/2006/relationships/image" Target="media/image55.jpeg"/><Relationship Id="rId73" Type="http://schemas.openxmlformats.org/officeDocument/2006/relationships/image" Target="media/image54.png"/><Relationship Id="rId72" Type="http://schemas.openxmlformats.org/officeDocument/2006/relationships/image" Target="media/image53.jpeg"/><Relationship Id="rId71" Type="http://schemas.openxmlformats.org/officeDocument/2006/relationships/image" Target="media/image52.jpeg"/><Relationship Id="rId70" Type="http://schemas.openxmlformats.org/officeDocument/2006/relationships/image" Target="media/image51.jpeg"/><Relationship Id="rId7" Type="http://schemas.openxmlformats.org/officeDocument/2006/relationships/header" Target="header3.xml"/><Relationship Id="rId69" Type="http://schemas.openxmlformats.org/officeDocument/2006/relationships/image" Target="media/image50.jpeg"/><Relationship Id="rId68" Type="http://schemas.openxmlformats.org/officeDocument/2006/relationships/image" Target="media/image49.jpeg"/><Relationship Id="rId67" Type="http://schemas.openxmlformats.org/officeDocument/2006/relationships/image" Target="media/image48.jpeg"/><Relationship Id="rId66" Type="http://schemas.openxmlformats.org/officeDocument/2006/relationships/image" Target="media/image47.png"/><Relationship Id="rId65" Type="http://schemas.openxmlformats.org/officeDocument/2006/relationships/image" Target="media/image46.jpeg"/><Relationship Id="rId64" Type="http://schemas.openxmlformats.org/officeDocument/2006/relationships/image" Target="media/image45.jpeg"/><Relationship Id="rId63" Type="http://schemas.openxmlformats.org/officeDocument/2006/relationships/image" Target="media/image44.jpeg"/><Relationship Id="rId62" Type="http://schemas.openxmlformats.org/officeDocument/2006/relationships/image" Target="media/image43.jpeg"/><Relationship Id="rId61" Type="http://schemas.openxmlformats.org/officeDocument/2006/relationships/image" Target="media/image42.jpeg"/><Relationship Id="rId60" Type="http://schemas.openxmlformats.org/officeDocument/2006/relationships/image" Target="media/image41.jpeg"/><Relationship Id="rId6" Type="http://schemas.openxmlformats.org/officeDocument/2006/relationships/header" Target="header2.xml"/><Relationship Id="rId59" Type="http://schemas.openxmlformats.org/officeDocument/2006/relationships/image" Target="media/image40.jpeg"/><Relationship Id="rId58" Type="http://schemas.openxmlformats.org/officeDocument/2006/relationships/image" Target="media/image39.jpeg"/><Relationship Id="rId57" Type="http://schemas.openxmlformats.org/officeDocument/2006/relationships/image" Target="media/image38.jpeg"/><Relationship Id="rId56" Type="http://schemas.openxmlformats.org/officeDocument/2006/relationships/image" Target="media/image37.jpeg"/><Relationship Id="rId55" Type="http://schemas.openxmlformats.org/officeDocument/2006/relationships/image" Target="media/image36.jpeg"/><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chart" Target="charts/chart2.xml"/><Relationship Id="rId50" Type="http://schemas.openxmlformats.org/officeDocument/2006/relationships/image" Target="media/image32.png"/><Relationship Id="rId5" Type="http://schemas.openxmlformats.org/officeDocument/2006/relationships/header" Target="header1.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jpeg"/><Relationship Id="rId4" Type="http://schemas.openxmlformats.org/officeDocument/2006/relationships/endnotes" Target="endnotes.xml"/><Relationship Id="rId39" Type="http://schemas.openxmlformats.org/officeDocument/2006/relationships/image" Target="media/image21.jpeg"/><Relationship Id="rId38" Type="http://schemas.openxmlformats.org/officeDocument/2006/relationships/image" Target="media/image20.jpeg"/><Relationship Id="rId37" Type="http://schemas.openxmlformats.org/officeDocument/2006/relationships/image" Target="media/image19.jpeg"/><Relationship Id="rId36" Type="http://schemas.openxmlformats.org/officeDocument/2006/relationships/image" Target="media/image18.jpeg"/><Relationship Id="rId35" Type="http://schemas.openxmlformats.org/officeDocument/2006/relationships/image" Target="media/image17.jpeg"/><Relationship Id="rId34" Type="http://schemas.openxmlformats.org/officeDocument/2006/relationships/image" Target="media/image16.jpeg"/><Relationship Id="rId33" Type="http://schemas.openxmlformats.org/officeDocument/2006/relationships/image" Target="media/image15.jpeg"/><Relationship Id="rId32" Type="http://schemas.openxmlformats.org/officeDocument/2006/relationships/image" Target="media/image14.jpeg"/><Relationship Id="rId31" Type="http://schemas.openxmlformats.org/officeDocument/2006/relationships/image" Target="media/image13.jpeg"/><Relationship Id="rId30" Type="http://schemas.openxmlformats.org/officeDocument/2006/relationships/image" Target="media/image12.jpeg"/><Relationship Id="rId3" Type="http://schemas.openxmlformats.org/officeDocument/2006/relationships/footnotes" Target="footnotes.xml"/><Relationship Id="rId29" Type="http://schemas.openxmlformats.org/officeDocument/2006/relationships/image" Target="media/image11.jpeg"/><Relationship Id="rId28" Type="http://schemas.openxmlformats.org/officeDocument/2006/relationships/image" Target="media/image10.jpeg"/><Relationship Id="rId27" Type="http://schemas.openxmlformats.org/officeDocument/2006/relationships/image" Target="media/image9.jpeg"/><Relationship Id="rId26" Type="http://schemas.openxmlformats.org/officeDocument/2006/relationships/image" Target="media/image8.jpeg"/><Relationship Id="rId259" Type="http://schemas.openxmlformats.org/officeDocument/2006/relationships/fontTable" Target="fontTable.xml"/><Relationship Id="rId258" Type="http://schemas.openxmlformats.org/officeDocument/2006/relationships/numbering" Target="numbering.xml"/><Relationship Id="rId257" Type="http://schemas.openxmlformats.org/officeDocument/2006/relationships/customXml" Target="../customXml/item1.xml"/><Relationship Id="rId256" Type="http://schemas.openxmlformats.org/officeDocument/2006/relationships/image" Target="media/image236.png"/><Relationship Id="rId255" Type="http://schemas.openxmlformats.org/officeDocument/2006/relationships/image" Target="media/image235.png"/><Relationship Id="rId254" Type="http://schemas.openxmlformats.org/officeDocument/2006/relationships/image" Target="media/image234.png"/><Relationship Id="rId253" Type="http://schemas.openxmlformats.org/officeDocument/2006/relationships/image" Target="media/image233.png"/><Relationship Id="rId252" Type="http://schemas.openxmlformats.org/officeDocument/2006/relationships/image" Target="media/image232.png"/><Relationship Id="rId251" Type="http://schemas.openxmlformats.org/officeDocument/2006/relationships/image" Target="media/image231.png"/><Relationship Id="rId250" Type="http://schemas.openxmlformats.org/officeDocument/2006/relationships/image" Target="media/image230.png"/><Relationship Id="rId25" Type="http://schemas.openxmlformats.org/officeDocument/2006/relationships/image" Target="media/image7.jpeg"/><Relationship Id="rId249" Type="http://schemas.openxmlformats.org/officeDocument/2006/relationships/image" Target="media/image229.png"/><Relationship Id="rId248" Type="http://schemas.openxmlformats.org/officeDocument/2006/relationships/image" Target="media/image228.png"/><Relationship Id="rId247" Type="http://schemas.openxmlformats.org/officeDocument/2006/relationships/image" Target="media/image227.png"/><Relationship Id="rId246" Type="http://schemas.openxmlformats.org/officeDocument/2006/relationships/chart" Target="charts/chart3.xml"/><Relationship Id="rId245" Type="http://schemas.openxmlformats.org/officeDocument/2006/relationships/image" Target="media/image226.png"/><Relationship Id="rId244" Type="http://schemas.openxmlformats.org/officeDocument/2006/relationships/image" Target="media/image225.png"/><Relationship Id="rId243" Type="http://schemas.openxmlformats.org/officeDocument/2006/relationships/image" Target="media/image224.png"/><Relationship Id="rId242" Type="http://schemas.openxmlformats.org/officeDocument/2006/relationships/image" Target="media/image223.png"/><Relationship Id="rId241" Type="http://schemas.openxmlformats.org/officeDocument/2006/relationships/image" Target="media/image222.png"/><Relationship Id="rId240" Type="http://schemas.openxmlformats.org/officeDocument/2006/relationships/image" Target="media/image221.png"/><Relationship Id="rId24" Type="http://schemas.openxmlformats.org/officeDocument/2006/relationships/image" Target="media/image6.jpeg"/><Relationship Id="rId239" Type="http://schemas.openxmlformats.org/officeDocument/2006/relationships/image" Target="media/image220.png"/><Relationship Id="rId238" Type="http://schemas.openxmlformats.org/officeDocument/2006/relationships/image" Target="media/image219.png"/><Relationship Id="rId237" Type="http://schemas.openxmlformats.org/officeDocument/2006/relationships/image" Target="media/image218.png"/><Relationship Id="rId236" Type="http://schemas.openxmlformats.org/officeDocument/2006/relationships/image" Target="media/image217.png"/><Relationship Id="rId235" Type="http://schemas.openxmlformats.org/officeDocument/2006/relationships/image" Target="media/image216.png"/><Relationship Id="rId234" Type="http://schemas.openxmlformats.org/officeDocument/2006/relationships/image" Target="media/image215.png"/><Relationship Id="rId233" Type="http://schemas.openxmlformats.org/officeDocument/2006/relationships/image" Target="media/image214.jpeg"/><Relationship Id="rId232" Type="http://schemas.openxmlformats.org/officeDocument/2006/relationships/image" Target="media/image213.jpeg"/><Relationship Id="rId231" Type="http://schemas.openxmlformats.org/officeDocument/2006/relationships/image" Target="media/image212.jpeg"/><Relationship Id="rId230" Type="http://schemas.openxmlformats.org/officeDocument/2006/relationships/image" Target="media/image211.jpeg"/><Relationship Id="rId23" Type="http://schemas.openxmlformats.org/officeDocument/2006/relationships/image" Target="media/image5.jpeg"/><Relationship Id="rId229" Type="http://schemas.openxmlformats.org/officeDocument/2006/relationships/image" Target="media/image210.jpeg"/><Relationship Id="rId228" Type="http://schemas.openxmlformats.org/officeDocument/2006/relationships/image" Target="media/image209.jpeg"/><Relationship Id="rId227" Type="http://schemas.openxmlformats.org/officeDocument/2006/relationships/image" Target="media/image208.png"/><Relationship Id="rId226" Type="http://schemas.openxmlformats.org/officeDocument/2006/relationships/image" Target="media/image207.jpeg"/><Relationship Id="rId225" Type="http://schemas.openxmlformats.org/officeDocument/2006/relationships/image" Target="media/image206.jpeg"/><Relationship Id="rId224" Type="http://schemas.openxmlformats.org/officeDocument/2006/relationships/image" Target="media/image205.png"/><Relationship Id="rId223" Type="http://schemas.openxmlformats.org/officeDocument/2006/relationships/image" Target="media/image204.png"/><Relationship Id="rId222" Type="http://schemas.openxmlformats.org/officeDocument/2006/relationships/image" Target="media/image203.png"/><Relationship Id="rId221" Type="http://schemas.openxmlformats.org/officeDocument/2006/relationships/image" Target="media/image202.jpeg"/><Relationship Id="rId220" Type="http://schemas.openxmlformats.org/officeDocument/2006/relationships/image" Target="media/image201.jpeg"/><Relationship Id="rId22" Type="http://schemas.openxmlformats.org/officeDocument/2006/relationships/image" Target="media/image4.jpeg"/><Relationship Id="rId219" Type="http://schemas.openxmlformats.org/officeDocument/2006/relationships/image" Target="media/image200.jpeg"/><Relationship Id="rId218" Type="http://schemas.openxmlformats.org/officeDocument/2006/relationships/image" Target="media/image199.jpeg"/><Relationship Id="rId217" Type="http://schemas.openxmlformats.org/officeDocument/2006/relationships/image" Target="media/image198.jpeg"/><Relationship Id="rId216" Type="http://schemas.openxmlformats.org/officeDocument/2006/relationships/image" Target="media/image197.jpeg"/><Relationship Id="rId215" Type="http://schemas.openxmlformats.org/officeDocument/2006/relationships/image" Target="media/image196.jpeg"/><Relationship Id="rId214" Type="http://schemas.openxmlformats.org/officeDocument/2006/relationships/image" Target="media/image195.jpeg"/><Relationship Id="rId213" Type="http://schemas.openxmlformats.org/officeDocument/2006/relationships/image" Target="media/image194.png"/><Relationship Id="rId212" Type="http://schemas.openxmlformats.org/officeDocument/2006/relationships/image" Target="media/image193.png"/><Relationship Id="rId211" Type="http://schemas.openxmlformats.org/officeDocument/2006/relationships/image" Target="media/image192.png"/><Relationship Id="rId210" Type="http://schemas.openxmlformats.org/officeDocument/2006/relationships/image" Target="media/image191.png"/><Relationship Id="rId21" Type="http://schemas.openxmlformats.org/officeDocument/2006/relationships/image" Target="media/image3.jpeg"/><Relationship Id="rId209" Type="http://schemas.openxmlformats.org/officeDocument/2006/relationships/image" Target="media/image190.png"/><Relationship Id="rId208" Type="http://schemas.openxmlformats.org/officeDocument/2006/relationships/image" Target="media/image189.jpeg"/><Relationship Id="rId207" Type="http://schemas.openxmlformats.org/officeDocument/2006/relationships/image" Target="media/image188.jpeg"/><Relationship Id="rId206" Type="http://schemas.openxmlformats.org/officeDocument/2006/relationships/image" Target="media/image187.jpeg"/><Relationship Id="rId205" Type="http://schemas.openxmlformats.org/officeDocument/2006/relationships/image" Target="media/image186.jpeg"/><Relationship Id="rId204" Type="http://schemas.openxmlformats.org/officeDocument/2006/relationships/image" Target="media/image185.jpeg"/><Relationship Id="rId203" Type="http://schemas.openxmlformats.org/officeDocument/2006/relationships/image" Target="media/image184.jpeg"/><Relationship Id="rId202" Type="http://schemas.openxmlformats.org/officeDocument/2006/relationships/image" Target="media/image183.jpeg"/><Relationship Id="rId201" Type="http://schemas.openxmlformats.org/officeDocument/2006/relationships/image" Target="media/image182.jpeg"/><Relationship Id="rId200" Type="http://schemas.openxmlformats.org/officeDocument/2006/relationships/image" Target="media/image181.jpeg"/><Relationship Id="rId20" Type="http://schemas.openxmlformats.org/officeDocument/2006/relationships/chart" Target="charts/chart1.xml"/><Relationship Id="rId2" Type="http://schemas.openxmlformats.org/officeDocument/2006/relationships/settings" Target="settings.xml"/><Relationship Id="rId199" Type="http://schemas.openxmlformats.org/officeDocument/2006/relationships/image" Target="media/image180.jpeg"/><Relationship Id="rId198" Type="http://schemas.openxmlformats.org/officeDocument/2006/relationships/image" Target="media/image179.png"/><Relationship Id="rId197" Type="http://schemas.openxmlformats.org/officeDocument/2006/relationships/image" Target="media/image178.png"/><Relationship Id="rId196" Type="http://schemas.openxmlformats.org/officeDocument/2006/relationships/image" Target="media/image177.png"/><Relationship Id="rId195" Type="http://schemas.openxmlformats.org/officeDocument/2006/relationships/image" Target="media/image176.jpeg"/><Relationship Id="rId194" Type="http://schemas.openxmlformats.org/officeDocument/2006/relationships/image" Target="media/image175.jpeg"/><Relationship Id="rId193" Type="http://schemas.openxmlformats.org/officeDocument/2006/relationships/image" Target="media/image174.png"/><Relationship Id="rId192" Type="http://schemas.openxmlformats.org/officeDocument/2006/relationships/image" Target="media/image173.jpeg"/><Relationship Id="rId191" Type="http://schemas.openxmlformats.org/officeDocument/2006/relationships/image" Target="media/image172.jpeg"/><Relationship Id="rId190" Type="http://schemas.openxmlformats.org/officeDocument/2006/relationships/image" Target="media/image171.jpeg"/><Relationship Id="rId19" Type="http://schemas.openxmlformats.org/officeDocument/2006/relationships/image" Target="media/image2.jpeg"/><Relationship Id="rId189" Type="http://schemas.openxmlformats.org/officeDocument/2006/relationships/image" Target="media/image170.jpeg"/><Relationship Id="rId188" Type="http://schemas.openxmlformats.org/officeDocument/2006/relationships/image" Target="media/image169.jpeg"/><Relationship Id="rId187" Type="http://schemas.openxmlformats.org/officeDocument/2006/relationships/image" Target="media/image168.jpeg"/><Relationship Id="rId186" Type="http://schemas.openxmlformats.org/officeDocument/2006/relationships/image" Target="media/image167.jpeg"/><Relationship Id="rId185" Type="http://schemas.openxmlformats.org/officeDocument/2006/relationships/image" Target="media/image166.jpeg"/><Relationship Id="rId184" Type="http://schemas.openxmlformats.org/officeDocument/2006/relationships/image" Target="media/image165.jpeg"/><Relationship Id="rId183" Type="http://schemas.openxmlformats.org/officeDocument/2006/relationships/image" Target="media/image164.jpeg"/><Relationship Id="rId182" Type="http://schemas.openxmlformats.org/officeDocument/2006/relationships/image" Target="media/image163.png"/><Relationship Id="rId181" Type="http://schemas.openxmlformats.org/officeDocument/2006/relationships/image" Target="media/image162.png"/><Relationship Id="rId180" Type="http://schemas.openxmlformats.org/officeDocument/2006/relationships/image" Target="media/image161.png"/><Relationship Id="rId18" Type="http://schemas.openxmlformats.org/officeDocument/2006/relationships/image" Target="media/image1.png"/><Relationship Id="rId179" Type="http://schemas.openxmlformats.org/officeDocument/2006/relationships/image" Target="media/image160.jpeg"/><Relationship Id="rId178" Type="http://schemas.openxmlformats.org/officeDocument/2006/relationships/image" Target="media/image159.png"/><Relationship Id="rId177" Type="http://schemas.openxmlformats.org/officeDocument/2006/relationships/image" Target="media/image158.png"/><Relationship Id="rId176" Type="http://schemas.openxmlformats.org/officeDocument/2006/relationships/image" Target="media/image157.jpeg"/><Relationship Id="rId175" Type="http://schemas.openxmlformats.org/officeDocument/2006/relationships/image" Target="media/image156.jpeg"/><Relationship Id="rId174" Type="http://schemas.openxmlformats.org/officeDocument/2006/relationships/image" Target="media/image155.jpeg"/><Relationship Id="rId173" Type="http://schemas.openxmlformats.org/officeDocument/2006/relationships/image" Target="media/image154.jpeg"/><Relationship Id="rId172" Type="http://schemas.openxmlformats.org/officeDocument/2006/relationships/image" Target="media/image153.jpeg"/><Relationship Id="rId171" Type="http://schemas.openxmlformats.org/officeDocument/2006/relationships/image" Target="media/image152.jpeg"/><Relationship Id="rId170" Type="http://schemas.openxmlformats.org/officeDocument/2006/relationships/image" Target="media/image151.jpeg"/><Relationship Id="rId17" Type="http://schemas.openxmlformats.org/officeDocument/2006/relationships/theme" Target="theme/theme1.xml"/><Relationship Id="rId169" Type="http://schemas.openxmlformats.org/officeDocument/2006/relationships/image" Target="media/image150.jpeg"/><Relationship Id="rId168" Type="http://schemas.openxmlformats.org/officeDocument/2006/relationships/image" Target="media/image149.jpeg"/><Relationship Id="rId167" Type="http://schemas.openxmlformats.org/officeDocument/2006/relationships/image" Target="media/image148.jpeg"/><Relationship Id="rId166" Type="http://schemas.openxmlformats.org/officeDocument/2006/relationships/image" Target="media/image147.jpeg"/><Relationship Id="rId165" Type="http://schemas.openxmlformats.org/officeDocument/2006/relationships/image" Target="media/image146.jpeg"/><Relationship Id="rId164" Type="http://schemas.openxmlformats.org/officeDocument/2006/relationships/image" Target="media/image145.jpeg"/><Relationship Id="rId163" Type="http://schemas.openxmlformats.org/officeDocument/2006/relationships/image" Target="media/image144.jpeg"/><Relationship Id="rId162" Type="http://schemas.openxmlformats.org/officeDocument/2006/relationships/image" Target="media/image143.jpeg"/><Relationship Id="rId161" Type="http://schemas.openxmlformats.org/officeDocument/2006/relationships/image" Target="media/image142.jpeg"/><Relationship Id="rId160" Type="http://schemas.openxmlformats.org/officeDocument/2006/relationships/image" Target="media/image141.jpeg"/><Relationship Id="rId16" Type="http://schemas.openxmlformats.org/officeDocument/2006/relationships/footer" Target="footer9.xml"/><Relationship Id="rId159" Type="http://schemas.openxmlformats.org/officeDocument/2006/relationships/image" Target="media/image140.jpeg"/><Relationship Id="rId158" Type="http://schemas.openxmlformats.org/officeDocument/2006/relationships/image" Target="media/image139.jpeg"/><Relationship Id="rId157" Type="http://schemas.openxmlformats.org/officeDocument/2006/relationships/image" Target="media/image138.jpeg"/><Relationship Id="rId156" Type="http://schemas.openxmlformats.org/officeDocument/2006/relationships/image" Target="media/image137.jpeg"/><Relationship Id="rId155" Type="http://schemas.openxmlformats.org/officeDocument/2006/relationships/image" Target="media/image136.jpeg"/><Relationship Id="rId154" Type="http://schemas.openxmlformats.org/officeDocument/2006/relationships/image" Target="media/image135.png"/><Relationship Id="rId153" Type="http://schemas.openxmlformats.org/officeDocument/2006/relationships/image" Target="media/image134.png"/><Relationship Id="rId152" Type="http://schemas.openxmlformats.org/officeDocument/2006/relationships/image" Target="media/image133.png"/><Relationship Id="rId151" Type="http://schemas.openxmlformats.org/officeDocument/2006/relationships/image" Target="media/image132.jpeg"/><Relationship Id="rId150" Type="http://schemas.openxmlformats.org/officeDocument/2006/relationships/image" Target="media/image131.jpeg"/><Relationship Id="rId15" Type="http://schemas.openxmlformats.org/officeDocument/2006/relationships/footer" Target="footer8.xml"/><Relationship Id="rId149" Type="http://schemas.openxmlformats.org/officeDocument/2006/relationships/image" Target="media/image130.jpeg"/><Relationship Id="rId148" Type="http://schemas.openxmlformats.org/officeDocument/2006/relationships/image" Target="media/image129.jpeg"/><Relationship Id="rId147" Type="http://schemas.openxmlformats.org/officeDocument/2006/relationships/image" Target="media/image128.jpeg"/><Relationship Id="rId146" Type="http://schemas.openxmlformats.org/officeDocument/2006/relationships/image" Target="media/image127.png"/><Relationship Id="rId145" Type="http://schemas.openxmlformats.org/officeDocument/2006/relationships/image" Target="media/image126.jpeg"/><Relationship Id="rId144" Type="http://schemas.openxmlformats.org/officeDocument/2006/relationships/image" Target="media/image125.jpeg"/><Relationship Id="rId143" Type="http://schemas.openxmlformats.org/officeDocument/2006/relationships/image" Target="media/image124.jpeg"/><Relationship Id="rId142" Type="http://schemas.openxmlformats.org/officeDocument/2006/relationships/image" Target="media/image123.jpeg"/><Relationship Id="rId141" Type="http://schemas.openxmlformats.org/officeDocument/2006/relationships/image" Target="media/image122.jpeg"/><Relationship Id="rId140" Type="http://schemas.openxmlformats.org/officeDocument/2006/relationships/image" Target="media/image121.jpeg"/><Relationship Id="rId14" Type="http://schemas.openxmlformats.org/officeDocument/2006/relationships/footer" Target="footer7.xml"/><Relationship Id="rId139" Type="http://schemas.openxmlformats.org/officeDocument/2006/relationships/image" Target="media/image120.jpeg"/><Relationship Id="rId138" Type="http://schemas.openxmlformats.org/officeDocument/2006/relationships/image" Target="media/image119.jpeg"/><Relationship Id="rId137" Type="http://schemas.openxmlformats.org/officeDocument/2006/relationships/image" Target="media/image118.jpeg"/><Relationship Id="rId136" Type="http://schemas.openxmlformats.org/officeDocument/2006/relationships/image" Target="media/image117.jpeg"/><Relationship Id="rId135" Type="http://schemas.openxmlformats.org/officeDocument/2006/relationships/image" Target="media/image116.jpeg"/><Relationship Id="rId134" Type="http://schemas.openxmlformats.org/officeDocument/2006/relationships/image" Target="media/image115.jpeg"/><Relationship Id="rId133" Type="http://schemas.openxmlformats.org/officeDocument/2006/relationships/image" Target="media/image114.jpeg"/><Relationship Id="rId132" Type="http://schemas.openxmlformats.org/officeDocument/2006/relationships/image" Target="media/image113.jpeg"/><Relationship Id="rId131" Type="http://schemas.openxmlformats.org/officeDocument/2006/relationships/image" Target="media/image112.jpeg"/><Relationship Id="rId130" Type="http://schemas.openxmlformats.org/officeDocument/2006/relationships/image" Target="media/image111.jpeg"/><Relationship Id="rId13" Type="http://schemas.openxmlformats.org/officeDocument/2006/relationships/footer" Target="footer6.xml"/><Relationship Id="rId129" Type="http://schemas.openxmlformats.org/officeDocument/2006/relationships/image" Target="media/image110.jpeg"/><Relationship Id="rId128" Type="http://schemas.openxmlformats.org/officeDocument/2006/relationships/image" Target="media/image109.jpeg"/><Relationship Id="rId127" Type="http://schemas.openxmlformats.org/officeDocument/2006/relationships/image" Target="media/image108.jpeg"/><Relationship Id="rId126" Type="http://schemas.openxmlformats.org/officeDocument/2006/relationships/image" Target="media/image107.jpeg"/><Relationship Id="rId125" Type="http://schemas.openxmlformats.org/officeDocument/2006/relationships/image" Target="media/image106.jpeg"/><Relationship Id="rId124" Type="http://schemas.openxmlformats.org/officeDocument/2006/relationships/image" Target="media/image105.jpeg"/><Relationship Id="rId123" Type="http://schemas.openxmlformats.org/officeDocument/2006/relationships/image" Target="media/image104.jpeg"/><Relationship Id="rId122" Type="http://schemas.openxmlformats.org/officeDocument/2006/relationships/image" Target="media/image103.jpeg"/><Relationship Id="rId121" Type="http://schemas.openxmlformats.org/officeDocument/2006/relationships/image" Target="media/image102.jpeg"/><Relationship Id="rId120" Type="http://schemas.openxmlformats.org/officeDocument/2006/relationships/image" Target="media/image101.jpeg"/><Relationship Id="rId12" Type="http://schemas.openxmlformats.org/officeDocument/2006/relationships/footer" Target="footer5.xml"/><Relationship Id="rId119" Type="http://schemas.openxmlformats.org/officeDocument/2006/relationships/image" Target="media/image100.jpeg"/><Relationship Id="rId118" Type="http://schemas.openxmlformats.org/officeDocument/2006/relationships/image" Target="media/image99.jpeg"/><Relationship Id="rId117" Type="http://schemas.openxmlformats.org/officeDocument/2006/relationships/image" Target="media/image98.jpeg"/><Relationship Id="rId116" Type="http://schemas.openxmlformats.org/officeDocument/2006/relationships/image" Target="media/image97.jpeg"/><Relationship Id="rId115" Type="http://schemas.openxmlformats.org/officeDocument/2006/relationships/image" Target="media/image96.jpeg"/><Relationship Id="rId114" Type="http://schemas.openxmlformats.org/officeDocument/2006/relationships/image" Target="media/image95.jpeg"/><Relationship Id="rId113" Type="http://schemas.openxmlformats.org/officeDocument/2006/relationships/image" Target="media/image94.jpeg"/><Relationship Id="rId112" Type="http://schemas.openxmlformats.org/officeDocument/2006/relationships/image" Target="media/image93.jpeg"/><Relationship Id="rId111" Type="http://schemas.openxmlformats.org/officeDocument/2006/relationships/image" Target="media/image92.jpeg"/><Relationship Id="rId110" Type="http://schemas.openxmlformats.org/officeDocument/2006/relationships/image" Target="media/image91.jpeg"/><Relationship Id="rId11" Type="http://schemas.openxmlformats.org/officeDocument/2006/relationships/footer" Target="footer4.xml"/><Relationship Id="rId109" Type="http://schemas.openxmlformats.org/officeDocument/2006/relationships/image" Target="media/image90.jpeg"/><Relationship Id="rId108" Type="http://schemas.openxmlformats.org/officeDocument/2006/relationships/image" Target="media/image89.jpeg"/><Relationship Id="rId107" Type="http://schemas.openxmlformats.org/officeDocument/2006/relationships/image" Target="media/image88.jpeg"/><Relationship Id="rId106" Type="http://schemas.openxmlformats.org/officeDocument/2006/relationships/image" Target="media/image87.jpeg"/><Relationship Id="rId105" Type="http://schemas.openxmlformats.org/officeDocument/2006/relationships/image" Target="media/image86.jpeg"/><Relationship Id="rId104" Type="http://schemas.openxmlformats.org/officeDocument/2006/relationships/image" Target="media/image85.jpeg"/><Relationship Id="rId103" Type="http://schemas.openxmlformats.org/officeDocument/2006/relationships/image" Target="media/image84.jpeg"/><Relationship Id="rId102" Type="http://schemas.openxmlformats.org/officeDocument/2006/relationships/image" Target="media/image83.jpeg"/><Relationship Id="rId101" Type="http://schemas.openxmlformats.org/officeDocument/2006/relationships/image" Target="media/image82.jpeg"/><Relationship Id="rId100" Type="http://schemas.openxmlformats.org/officeDocument/2006/relationships/image" Target="media/image81.jpeg"/><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E:\&#24037;&#20316;\&#21688;&#23425;\01.&#24067;&#23616;&#35268;&#21010;&#25253;&#21578;&#34920;.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D:\&#39033;&#30446;\2022\&#21688;&#23425;&#65306;&#20805;&#30005;&#26729;&#35268;&#21010;1\05.&#21688;&#23425;&#25104;&#26524;10.14\&#39033;&#30446;&#34920;\&#39033;&#30446;&#34920;%20-%20&#26356;&#25913;&#33258;&#29992;&#26729;&#27604;&#20363;-1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true"/>
          <a:lstStyle/>
          <a:p>
            <a:pPr>
              <a:defRPr lang="zh-CN" sz="1860" b="0" i="0" u="none" strike="noStrike" kern="1200" spc="0" baseline="0">
                <a:solidFill>
                  <a:schemeClr val="tx1">
                    <a:lumMod val="65000"/>
                    <a:lumOff val="35000"/>
                  </a:schemeClr>
                </a:solidFill>
                <a:latin typeface="Times New Roman" charset="0"/>
                <a:ea typeface="仿宋_GB2312" panose="02010609030101010101" pitchFamily="3" charset="-122"/>
                <a:cs typeface="Times New Roman" charset="0"/>
              </a:defRPr>
            </a:pPr>
            <a:r>
              <a:rPr lang="en-US" altLang="zh-CN" sz="1200" b="1" dirty="0">
                <a:latin typeface="Times New Roman" charset="0"/>
                <a:ea typeface="仿宋_GB2312" panose="02010609030101010101" pitchFamily="3" charset="-122"/>
                <a:cs typeface="Times New Roman" charset="0"/>
              </a:rPr>
              <a:t>2015-2021</a:t>
            </a:r>
            <a:r>
              <a:rPr lang="zh-CN" altLang="en-US" sz="1200" b="1" dirty="0">
                <a:latin typeface="Times New Roman" charset="0"/>
                <a:ea typeface="仿宋_GB2312" panose="02010609030101010101" pitchFamily="3" charset="-122"/>
                <a:cs typeface="Times New Roman" charset="0"/>
              </a:rPr>
              <a:t>年全国充电桩建设规模</a:t>
            </a:r>
            <a:endParaRPr lang="zh-CN" altLang="en-US" sz="1200" b="1" dirty="0">
              <a:latin typeface="Times New Roman" charset="0"/>
              <a:ea typeface="仿宋_GB2312" panose="02010609030101010101" pitchFamily="3" charset="-122"/>
              <a:cs typeface="Times New Roman" charset="0"/>
            </a:endParaRPr>
          </a:p>
        </c:rich>
      </c:tx>
      <c:layout/>
      <c:overlay val="false"/>
      <c:spPr>
        <a:noFill/>
        <a:ln>
          <a:noFill/>
        </a:ln>
        <a:effectLst/>
      </c:spPr>
    </c:title>
    <c:autoTitleDeleted val="false"/>
    <c:plotArea>
      <c:layout/>
      <c:barChart>
        <c:barDir val="col"/>
        <c:grouping val="clustered"/>
        <c:varyColors val="false"/>
        <c:ser>
          <c:idx val="0"/>
          <c:order val="0"/>
          <c:tx>
            <c:strRef>
              <c:f>Sheet1!$B$1</c:f>
              <c:strCache>
                <c:ptCount val="1"/>
                <c:pt idx="0">
                  <c:v>公共充电桩（万个）</c:v>
                </c:pt>
              </c:strCache>
            </c:strRef>
          </c:tx>
          <c:spPr>
            <a:solidFill>
              <a:schemeClr val="bg1">
                <a:lumMod val="50000"/>
              </a:schemeClr>
            </a:solidFill>
            <a:ln>
              <a:noFill/>
            </a:ln>
            <a:effectLst/>
          </c:spPr>
          <c:invertIfNegative val="false"/>
          <c:dLbls>
            <c:spPr>
              <a:noFill/>
              <a:ln>
                <a:noFill/>
              </a:ln>
              <a:effectLst/>
            </c:spPr>
            <c:txPr>
              <a:bodyPr rot="0" spcFirstLastPara="1" vertOverflow="ellipsis" vert="horz" wrap="square" lIns="38100" tIns="19050" rIns="38100" bIns="19050" anchor="ctr" anchorCtr="true">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false"/>
            <c:showVal val="true"/>
            <c:showCatName val="false"/>
            <c:showSerName val="false"/>
            <c:showPercent val="false"/>
            <c:showBubbleSize val="false"/>
            <c:showLeaderLines val="false"/>
            <c:extLst>
              <c:ext xmlns:c15="http://schemas.microsoft.com/office/drawing/2012/chart" uri="{CE6537A1-D6FC-4f65-9D91-7224C49458BB}">
                <c15:layout/>
                <c15:showLeaderLines val="true"/>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2015</c:v>
                </c:pt>
                <c:pt idx="1">
                  <c:v>2016</c:v>
                </c:pt>
                <c:pt idx="2">
                  <c:v>2017</c:v>
                </c:pt>
                <c:pt idx="3">
                  <c:v>2018</c:v>
                </c:pt>
                <c:pt idx="4">
                  <c:v>2019</c:v>
                </c:pt>
                <c:pt idx="5">
                  <c:v>2020</c:v>
                </c:pt>
                <c:pt idx="6">
                  <c:v>2021</c:v>
                </c:pt>
              </c:numCache>
            </c:numRef>
          </c:cat>
          <c:val>
            <c:numRef>
              <c:f>Sheet1!$B$2:$B$8</c:f>
              <c:numCache>
                <c:formatCode>General</c:formatCode>
                <c:ptCount val="7"/>
                <c:pt idx="0">
                  <c:v>5.8</c:v>
                </c:pt>
                <c:pt idx="1">
                  <c:v>14.9</c:v>
                </c:pt>
                <c:pt idx="2">
                  <c:v>24</c:v>
                </c:pt>
                <c:pt idx="3">
                  <c:v>38.7</c:v>
                </c:pt>
                <c:pt idx="4">
                  <c:v>51.6</c:v>
                </c:pt>
                <c:pt idx="5">
                  <c:v>80.7</c:v>
                </c:pt>
                <c:pt idx="6">
                  <c:v>114.7</c:v>
                </c:pt>
              </c:numCache>
            </c:numRef>
          </c:val>
        </c:ser>
        <c:ser>
          <c:idx val="1"/>
          <c:order val="1"/>
          <c:tx>
            <c:strRef>
              <c:f>Sheet1!$C$1</c:f>
              <c:strCache>
                <c:ptCount val="1"/>
                <c:pt idx="0">
                  <c:v>私人充电桩（万个）</c:v>
                </c:pt>
              </c:strCache>
            </c:strRef>
          </c:tx>
          <c:spPr>
            <a:solidFill>
              <a:schemeClr val="accent2"/>
            </a:solidFill>
            <a:ln>
              <a:noFill/>
            </a:ln>
            <a:effectLst/>
          </c:spPr>
          <c:invertIfNegative val="false"/>
          <c:dLbls>
            <c:spPr>
              <a:noFill/>
              <a:ln>
                <a:noFill/>
              </a:ln>
              <a:effectLst/>
            </c:spPr>
            <c:txPr>
              <a:bodyPr rot="0" spcFirstLastPara="1" vertOverflow="ellipsis" vert="horz" wrap="square" lIns="38100" tIns="19050" rIns="38100" bIns="19050" anchor="ctr" anchorCtr="true">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false"/>
            <c:showVal val="true"/>
            <c:showCatName val="false"/>
            <c:showSerName val="false"/>
            <c:showPercent val="false"/>
            <c:showBubbleSize val="false"/>
            <c:showLeaderLines val="false"/>
            <c:extLst>
              <c:ext xmlns:c15="http://schemas.microsoft.com/office/drawing/2012/chart" uri="{CE6537A1-D6FC-4f65-9D91-7224C49458BB}">
                <c15:layout/>
                <c15:showLeaderLines val="true"/>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2015</c:v>
                </c:pt>
                <c:pt idx="1">
                  <c:v>2016</c:v>
                </c:pt>
                <c:pt idx="2">
                  <c:v>2017</c:v>
                </c:pt>
                <c:pt idx="3">
                  <c:v>2018</c:v>
                </c:pt>
                <c:pt idx="4">
                  <c:v>2019</c:v>
                </c:pt>
                <c:pt idx="5">
                  <c:v>2020</c:v>
                </c:pt>
                <c:pt idx="6">
                  <c:v>2021</c:v>
                </c:pt>
              </c:numCache>
            </c:numRef>
          </c:cat>
          <c:val>
            <c:numRef>
              <c:f>Sheet1!$C$2:$C$8</c:f>
              <c:numCache>
                <c:formatCode>General</c:formatCode>
                <c:ptCount val="7"/>
                <c:pt idx="0">
                  <c:v>0.8</c:v>
                </c:pt>
                <c:pt idx="1">
                  <c:v>6.3</c:v>
                </c:pt>
                <c:pt idx="2">
                  <c:v>23.2</c:v>
                </c:pt>
                <c:pt idx="3">
                  <c:v>47.7</c:v>
                </c:pt>
                <c:pt idx="4">
                  <c:v>70.3</c:v>
                </c:pt>
                <c:pt idx="5">
                  <c:v>87.4</c:v>
                </c:pt>
                <c:pt idx="6">
                  <c:v>147</c:v>
                </c:pt>
              </c:numCache>
            </c:numRef>
          </c:val>
        </c:ser>
        <c:ser>
          <c:idx val="2"/>
          <c:order val="2"/>
          <c:tx>
            <c:strRef>
              <c:f>Sheet1!$D$1</c:f>
              <c:strCache>
                <c:ptCount val="1"/>
                <c:pt idx="0">
                  <c:v>总充电桩（万个）</c:v>
                </c:pt>
              </c:strCache>
            </c:strRef>
          </c:tx>
          <c:spPr>
            <a:solidFill>
              <a:srgbClr val="279180"/>
            </a:solidFill>
            <a:ln>
              <a:noFill/>
            </a:ln>
            <a:effectLst/>
          </c:spPr>
          <c:invertIfNegative val="false"/>
          <c:dLbls>
            <c:dLbl>
              <c:idx val="6"/>
              <c:layout/>
              <c:tx>
                <c:rich>
                  <a:bodyPr rot="0" spcFirstLastPara="1" vertOverflow="ellipsis" vert="horz" wrap="square" lIns="38100" tIns="19050" rIns="38100" bIns="19050" anchor="ctr" anchorCtr="true"/>
                  <a:lstStyle/>
                  <a:p>
                    <a:pPr>
                      <a:defRPr lang="zh-CN" sz="900" b="0" i="0" u="none" strike="noStrike" kern="1200" baseline="0">
                        <a:solidFill>
                          <a:schemeClr val="tx1">
                            <a:lumMod val="75000"/>
                            <a:lumOff val="25000"/>
                          </a:schemeClr>
                        </a:solidFill>
                        <a:latin typeface="+mn-lt"/>
                        <a:ea typeface="+mn-ea"/>
                        <a:cs typeface="+mn-cs"/>
                      </a:defRPr>
                    </a:pPr>
                    <a:r>
                      <a:rPr lang="en-US" altLang="zh-CN"/>
                      <a:t>261.7</a:t>
                    </a:r>
                    <a:endParaRPr lang="en-US" altLang="zh-CN"/>
                  </a:p>
                </c:rich>
              </c:tx>
              <c:dLblPos val="outEnd"/>
              <c:showLegendKey val="false"/>
              <c:showVal val="true"/>
              <c:showCatName val="false"/>
              <c:showSerName val="false"/>
              <c:showPercent val="false"/>
              <c:showBubbleSize val="false"/>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true">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false"/>
            <c:showVal val="true"/>
            <c:showCatName val="false"/>
            <c:showSerName val="false"/>
            <c:showPercent val="false"/>
            <c:showBubbleSize val="false"/>
            <c:showLeaderLines val="false"/>
            <c:extLst>
              <c:ext xmlns:c15="http://schemas.microsoft.com/office/drawing/2012/chart" uri="{CE6537A1-D6FC-4f65-9D91-7224C49458BB}">
                <c15:layout/>
                <c15:showLeaderLines val="true"/>
                <c15:leaderLines>
                  <c:spPr>
                    <a:ln w="9525" cap="flat" cmpd="sng" algn="ctr">
                      <a:solidFill>
                        <a:schemeClr val="tx1">
                          <a:lumMod val="35000"/>
                          <a:lumOff val="65000"/>
                        </a:schemeClr>
                      </a:solidFill>
                      <a:round/>
                    </a:ln>
                    <a:effectLst/>
                  </c:spPr>
                </c15:leaderLines>
              </c:ext>
            </c:extLst>
          </c:dLbls>
          <c:trendline>
            <c:spPr>
              <a:ln w="19050" cap="rnd">
                <a:solidFill>
                  <a:schemeClr val="accent3"/>
                </a:solidFill>
                <a:prstDash val="sysDot"/>
              </a:ln>
              <a:effectLst/>
            </c:spPr>
            <c:trendlineType val="poly"/>
            <c:order val="2"/>
            <c:dispRSqr val="false"/>
            <c:dispEq val="false"/>
          </c:trendline>
          <c:cat>
            <c:numRef>
              <c:f>Sheet1!$A$2:$A$8</c:f>
              <c:numCache>
                <c:formatCode>General</c:formatCode>
                <c:ptCount val="7"/>
                <c:pt idx="0">
                  <c:v>2015</c:v>
                </c:pt>
                <c:pt idx="1">
                  <c:v>2016</c:v>
                </c:pt>
                <c:pt idx="2">
                  <c:v>2017</c:v>
                </c:pt>
                <c:pt idx="3">
                  <c:v>2018</c:v>
                </c:pt>
                <c:pt idx="4">
                  <c:v>2019</c:v>
                </c:pt>
                <c:pt idx="5">
                  <c:v>2020</c:v>
                </c:pt>
                <c:pt idx="6">
                  <c:v>2021</c:v>
                </c:pt>
              </c:numCache>
            </c:numRef>
          </c:cat>
          <c:val>
            <c:numRef>
              <c:f>Sheet1!$D$2:$D$8</c:f>
              <c:numCache>
                <c:formatCode>General</c:formatCode>
                <c:ptCount val="7"/>
                <c:pt idx="0">
                  <c:v>6.6</c:v>
                </c:pt>
                <c:pt idx="1">
                  <c:v>21.2</c:v>
                </c:pt>
                <c:pt idx="2">
                  <c:v>47.2</c:v>
                </c:pt>
                <c:pt idx="3">
                  <c:v>86.4</c:v>
                </c:pt>
                <c:pt idx="4">
                  <c:v>121.9</c:v>
                </c:pt>
                <c:pt idx="5">
                  <c:v>168.1</c:v>
                </c:pt>
                <c:pt idx="6">
                  <c:v>261.7</c:v>
                </c:pt>
              </c:numCache>
            </c:numRef>
          </c:val>
        </c:ser>
        <c:dLbls>
          <c:showLegendKey val="false"/>
          <c:showVal val="false"/>
          <c:showCatName val="false"/>
          <c:showSerName val="false"/>
          <c:showPercent val="false"/>
          <c:showBubbleSize val="false"/>
        </c:dLbls>
        <c:gapWidth val="219"/>
        <c:overlap val="-27"/>
        <c:axId val="495340176"/>
        <c:axId val="495340832"/>
      </c:barChart>
      <c:catAx>
        <c:axId val="495340176"/>
        <c:scaling>
          <c:orientation val="minMax"/>
        </c:scaling>
        <c:delete val="false"/>
        <c:axPos val="b"/>
        <c:numFmt formatCode="General" sourceLinked="tru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true"/>
          <a:lstStyle/>
          <a:p>
            <a:pPr>
              <a:defRPr lang="zh-CN" sz="1195" b="0" i="0" u="none" strike="noStrike" kern="1200" baseline="0">
                <a:solidFill>
                  <a:schemeClr val="tx1">
                    <a:lumMod val="65000"/>
                    <a:lumOff val="35000"/>
                  </a:schemeClr>
                </a:solidFill>
                <a:latin typeface="+mn-lt"/>
                <a:ea typeface="+mn-ea"/>
                <a:cs typeface="+mn-cs"/>
              </a:defRPr>
            </a:pPr>
          </a:p>
        </c:txPr>
        <c:crossAx val="495340832"/>
        <c:crosses val="autoZero"/>
        <c:auto val="true"/>
        <c:lblAlgn val="ctr"/>
        <c:lblOffset val="100"/>
        <c:noMultiLvlLbl val="false"/>
      </c:catAx>
      <c:valAx>
        <c:axId val="495340832"/>
        <c:scaling>
          <c:orientation val="minMax"/>
        </c:scaling>
        <c:delete val="false"/>
        <c:axPos val="l"/>
        <c:majorGridlines>
          <c:spPr>
            <a:ln w="9525" cap="flat" cmpd="sng" algn="ctr">
              <a:solidFill>
                <a:schemeClr val="tx1">
                  <a:lumMod val="15000"/>
                  <a:lumOff val="85000"/>
                </a:schemeClr>
              </a:solidFill>
              <a:round/>
            </a:ln>
            <a:effectLst/>
          </c:spPr>
        </c:majorGridlines>
        <c:numFmt formatCode="General" sourceLinked="true"/>
        <c:majorTickMark val="none"/>
        <c:minorTickMark val="none"/>
        <c:tickLblPos val="nextTo"/>
        <c:spPr>
          <a:noFill/>
          <a:ln>
            <a:noFill/>
          </a:ln>
          <a:effectLst/>
        </c:spPr>
        <c:txPr>
          <a:bodyPr rot="-60000000" spcFirstLastPara="1"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495340176"/>
        <c:crosses val="autoZero"/>
        <c:crossBetween val="between"/>
      </c:valAx>
      <c:spPr>
        <a:noFill/>
        <a:ln>
          <a:noFill/>
        </a:ln>
        <a:effectLst/>
      </c:spPr>
    </c:plotArea>
    <c:legend>
      <c:legendPos val="b"/>
      <c:legendEntry>
        <c:idx val="3"/>
        <c:delete val="true"/>
      </c:legendEntry>
      <c:layout/>
      <c:overlay val="false"/>
      <c:spPr>
        <a:noFill/>
        <a:ln>
          <a:noFill/>
        </a:ln>
        <a:effectLst/>
      </c:spPr>
      <c:txPr>
        <a:bodyPr rot="0" spcFirstLastPara="1"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legend>
    <c:plotVisOnly val="true"/>
    <c:dispBlanksAs val="gap"/>
    <c:showDLblsOverMax val="false"/>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false"/>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autoTitleDeleted val="true"/>
    <c:plotArea>
      <c:layout/>
      <c:lineChart>
        <c:grouping val="standard"/>
        <c:varyColors val="false"/>
        <c:ser>
          <c:idx val="0"/>
          <c:order val="0"/>
          <c:spPr>
            <a:ln w="28575" cap="rnd">
              <a:solidFill>
                <a:schemeClr val="accent1"/>
              </a:solidFill>
              <a:round/>
            </a:ln>
            <a:effectLst/>
          </c:spPr>
          <c:marker>
            <c:symbol val="none"/>
          </c:marker>
          <c:dLbls>
            <c:delete val="true"/>
          </c:dLbls>
          <c:trendline>
            <c:spPr>
              <a:ln w="19050" cap="rnd">
                <a:solidFill>
                  <a:schemeClr val="accent1"/>
                </a:solidFill>
                <a:prstDash val="sysDot"/>
              </a:ln>
              <a:effectLst/>
            </c:spPr>
            <c:trendlineType val="exp"/>
            <c:forward val="5"/>
            <c:dispRSqr val="true"/>
            <c:dispEq val="true"/>
            <c:trendlineLbl>
              <c:layout>
                <c:manualLayout>
                  <c:x val="0.078140925446523"/>
                  <c:y val="0.0446521606443086"/>
                </c:manualLayout>
              </c:layout>
              <c:numFmt formatCode="General" sourceLinked="false"/>
              <c:spPr>
                <a:noFill/>
                <a:ln>
                  <a:noFill/>
                </a:ln>
                <a:effectLst/>
              </c:spPr>
              <c:txPr>
                <a:bodyPr rot="0" spcFirstLastPara="1"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trendlineLbl>
          </c:trendline>
          <c:trendline>
            <c:spPr>
              <a:ln w="19050" cap="rnd">
                <a:solidFill>
                  <a:schemeClr val="accent1"/>
                </a:solidFill>
                <a:prstDash val="sysDot"/>
              </a:ln>
              <a:effectLst/>
            </c:spPr>
            <c:trendlineType val="linear"/>
            <c:forward val="5"/>
            <c:dispRSqr val="false"/>
            <c:dispEq val="true"/>
            <c:trendlineLbl>
              <c:layout>
                <c:manualLayout>
                  <c:x val="0.0497108446723805"/>
                  <c:y val="0.113373157857517"/>
                </c:manualLayout>
              </c:layout>
              <c:numFmt formatCode="General" sourceLinked="false"/>
              <c:spPr>
                <a:noFill/>
                <a:ln>
                  <a:noFill/>
                </a:ln>
                <a:effectLst/>
              </c:spPr>
              <c:txPr>
                <a:bodyPr rot="0" spcFirstLastPara="1"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trendlineLbl>
          </c:trendline>
          <c:trendline>
            <c:spPr>
              <a:ln w="19050" cap="rnd">
                <a:solidFill>
                  <a:schemeClr val="accent1"/>
                </a:solidFill>
                <a:prstDash val="sysDot"/>
              </a:ln>
              <a:effectLst/>
            </c:spPr>
            <c:trendlineType val="poly"/>
            <c:order val="2"/>
            <c:forward val="5"/>
            <c:dispRSqr val="false"/>
            <c:dispEq val="true"/>
            <c:trendlineLbl>
              <c:layout>
                <c:manualLayout>
                  <c:x val="0.00650572298474413"/>
                  <c:y val="-0.00827939980278748"/>
                </c:manualLayout>
              </c:layout>
              <c:numFmt formatCode="General" sourceLinked="false"/>
              <c:spPr>
                <a:noFill/>
                <a:ln>
                  <a:noFill/>
                </a:ln>
                <a:effectLst/>
              </c:spPr>
              <c:txPr>
                <a:bodyPr rot="0" spcFirstLastPara="1"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trendlineLbl>
          </c:trendline>
          <c:cat>
            <c:strRef>
              <c:f>{"2016年","2017年","2018年","2019年","2020年","2021年","2022年","2023年","2024年","2025年"}</c:f>
              <c:strCache>
                <c:ptCount val="10"/>
                <c:pt idx="0">
                  <c:v>2016年</c:v>
                </c:pt>
                <c:pt idx="1">
                  <c:v>2017年</c:v>
                </c:pt>
                <c:pt idx="2">
                  <c:v>2018年</c:v>
                </c:pt>
                <c:pt idx="3">
                  <c:v>2019年</c:v>
                </c:pt>
                <c:pt idx="4">
                  <c:v>2020年</c:v>
                </c:pt>
                <c:pt idx="5">
                  <c:v>2021年</c:v>
                </c:pt>
                <c:pt idx="6">
                  <c:v>2022年</c:v>
                </c:pt>
                <c:pt idx="7">
                  <c:v>2023年</c:v>
                </c:pt>
                <c:pt idx="8">
                  <c:v>2024年</c:v>
                </c:pt>
                <c:pt idx="9">
                  <c:v>2025年</c:v>
                </c:pt>
              </c:strCache>
            </c:strRef>
          </c:cat>
          <c:val>
            <c:numRef>
              <c:f>'C:\Users\LTF\Desktop\[01.布局规划报告表V3.xlsx]表3-1 汽车保有量及预测汇总'!$C$4:$H$4</c:f>
              <c:numCache>
                <c:formatCode>General</c:formatCode>
                <c:ptCount val="6"/>
                <c:pt idx="0">
                  <c:v>178433</c:v>
                </c:pt>
                <c:pt idx="1">
                  <c:v>206969</c:v>
                </c:pt>
                <c:pt idx="2">
                  <c:v>236134</c:v>
                </c:pt>
                <c:pt idx="3">
                  <c:v>264345</c:v>
                </c:pt>
                <c:pt idx="4">
                  <c:v>286485</c:v>
                </c:pt>
                <c:pt idx="5">
                  <c:v>308018</c:v>
                </c:pt>
              </c:numCache>
            </c:numRef>
          </c:val>
          <c:smooth val="false"/>
        </c:ser>
        <c:dLbls>
          <c:showLegendKey val="false"/>
          <c:showVal val="false"/>
          <c:showCatName val="false"/>
          <c:showSerName val="false"/>
          <c:showPercent val="false"/>
          <c:showBubbleSize val="false"/>
        </c:dLbls>
        <c:marker val="false"/>
        <c:smooth val="false"/>
        <c:axId val="230746672"/>
        <c:axId val="230745424"/>
      </c:lineChart>
      <c:catAx>
        <c:axId val="230746672"/>
        <c:scaling>
          <c:orientation val="minMax"/>
        </c:scaling>
        <c:delete val="false"/>
        <c:axPos val="b"/>
        <c:numFmt formatCode="General" sourceLinked="tru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230745424"/>
        <c:crosses val="autoZero"/>
        <c:auto val="true"/>
        <c:lblAlgn val="ctr"/>
        <c:lblOffset val="100"/>
        <c:noMultiLvlLbl val="false"/>
      </c:catAx>
      <c:valAx>
        <c:axId val="230745424"/>
        <c:scaling>
          <c:orientation val="minMax"/>
        </c:scaling>
        <c:delete val="false"/>
        <c:axPos val="l"/>
        <c:majorGridlines>
          <c:spPr>
            <a:ln w="9525" cap="flat" cmpd="sng" algn="ctr">
              <a:solidFill>
                <a:schemeClr val="tx1">
                  <a:lumMod val="15000"/>
                  <a:lumOff val="85000"/>
                </a:schemeClr>
              </a:solidFill>
              <a:round/>
            </a:ln>
            <a:effectLst/>
          </c:spPr>
        </c:majorGridlines>
        <c:numFmt formatCode="General" sourceLinked="true"/>
        <c:majorTickMark val="none"/>
        <c:minorTickMark val="none"/>
        <c:tickLblPos val="nextTo"/>
        <c:spPr>
          <a:noFill/>
          <a:ln>
            <a:noFill/>
          </a:ln>
          <a:effectLst/>
        </c:spPr>
        <c:txPr>
          <a:bodyPr rot="-60000000" spcFirstLastPara="1"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230746672"/>
        <c:crosses val="autoZero"/>
        <c:crossBetween val="between"/>
      </c:valAx>
      <c:spPr>
        <a:noFill/>
        <a:ln>
          <a:noFill/>
        </a:ln>
        <a:effectLst/>
      </c:spPr>
    </c:plotArea>
    <c:plotVisOnly val="true"/>
    <c:dispBlanksAs val="gap"/>
    <c:showDLblsOverMax val="false"/>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false"/>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true"/>
          <a:lstStyle/>
          <a:p>
            <a:pPr>
              <a:defRPr lang="zh-CN" sz="1400" b="0" i="0" u="none" strike="noStrike" kern="1200" spc="0" baseline="0">
                <a:solidFill>
                  <a:schemeClr val="tx1">
                    <a:lumMod val="65000"/>
                    <a:lumOff val="35000"/>
                  </a:schemeClr>
                </a:solidFill>
                <a:latin typeface="+mn-lt"/>
                <a:ea typeface="+mn-ea"/>
                <a:cs typeface="+mn-cs"/>
              </a:defRPr>
            </a:pPr>
            <a:r>
              <a:rPr lang="en-US" altLang="zh-CN"/>
              <a:t>2025</a:t>
            </a:r>
            <a:r>
              <a:rPr lang="zh-CN" altLang="en-US"/>
              <a:t>年典型日叠加后负荷（</a:t>
            </a:r>
            <a:r>
              <a:rPr lang="en-US" altLang="zh-CN"/>
              <a:t>MW</a:t>
            </a:r>
            <a:r>
              <a:rPr lang="zh-CN" altLang="en-US"/>
              <a:t>）</a:t>
            </a:r>
            <a:endParaRPr lang="zh-CN" altLang="en-US"/>
          </a:p>
        </c:rich>
      </c:tx>
      <c:layout>
        <c:manualLayout>
          <c:xMode val="edge"/>
          <c:yMode val="edge"/>
          <c:x val="0.17292229646576"/>
          <c:y val="0.0400522616687691"/>
        </c:manualLayout>
      </c:layout>
      <c:overlay val="false"/>
      <c:spPr>
        <a:noFill/>
        <a:ln>
          <a:noFill/>
        </a:ln>
        <a:effectLst/>
      </c:spPr>
    </c:title>
    <c:autoTitleDeleted val="false"/>
    <c:plotArea>
      <c:layout/>
      <c:barChart>
        <c:barDir val="col"/>
        <c:grouping val="stacked"/>
        <c:varyColors val="false"/>
        <c:ser>
          <c:idx val="0"/>
          <c:order val="0"/>
          <c:tx>
            <c:strRef>
              <c:f>'表7 电网影响'!$G$39</c:f>
              <c:strCache>
                <c:ptCount val="1"/>
                <c:pt idx="0">
                  <c:v>常规负荷(MW)</c:v>
                </c:pt>
              </c:strCache>
            </c:strRef>
          </c:tx>
          <c:spPr>
            <a:solidFill>
              <a:schemeClr val="accent1"/>
            </a:solidFill>
            <a:ln>
              <a:noFill/>
            </a:ln>
            <a:effectLst/>
            <a:sp3d/>
          </c:spPr>
          <c:invertIfNegative val="false"/>
          <c:dLbls>
            <c:delete val="true"/>
          </c:dLbls>
          <c:cat>
            <c:numRef>
              <c:f>'表7 电网影响'!$H$1:$AE$1</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('表7 电网影响'!$H$34:$S$34,'表7 电网影响'!$H$39:$S$39)</c:f>
              <c:numCache>
                <c:formatCode>0.00</c:formatCode>
                <c:ptCount val="24"/>
                <c:pt idx="0">
                  <c:v>2385.6013637596</c:v>
                </c:pt>
                <c:pt idx="1">
                  <c:v>2232.51464522957</c:v>
                </c:pt>
                <c:pt idx="2">
                  <c:v>2232.51464522957</c:v>
                </c:pt>
                <c:pt idx="3">
                  <c:v>2053.9134736112</c:v>
                </c:pt>
                <c:pt idx="4">
                  <c:v>2002.88456743453</c:v>
                </c:pt>
                <c:pt idx="5">
                  <c:v>1888.06952853701</c:v>
                </c:pt>
                <c:pt idx="6">
                  <c:v>1837.04062236033</c:v>
                </c:pt>
                <c:pt idx="7">
                  <c:v>1862.55507544867</c:v>
                </c:pt>
                <c:pt idx="8">
                  <c:v>1977.37011434619</c:v>
                </c:pt>
                <c:pt idx="9">
                  <c:v>2028.39902052287</c:v>
                </c:pt>
                <c:pt idx="10">
                  <c:v>2245.27187177374</c:v>
                </c:pt>
                <c:pt idx="11">
                  <c:v>2283.54355140625</c:v>
                </c:pt>
                <c:pt idx="12">
                  <c:v>2232.51464522957</c:v>
                </c:pt>
                <c:pt idx="13">
                  <c:v>2449.38749648044</c:v>
                </c:pt>
                <c:pt idx="14">
                  <c:v>2385.6013637596</c:v>
                </c:pt>
                <c:pt idx="15">
                  <c:v>2576.95976192213</c:v>
                </c:pt>
                <c:pt idx="16">
                  <c:v>2436.63026993627</c:v>
                </c:pt>
                <c:pt idx="17">
                  <c:v>2347.32968412709</c:v>
                </c:pt>
                <c:pt idx="18">
                  <c:v>2219.7574186854</c:v>
                </c:pt>
                <c:pt idx="19">
                  <c:v>2130.45683287622</c:v>
                </c:pt>
                <c:pt idx="20">
                  <c:v>2462.14472302461</c:v>
                </c:pt>
                <c:pt idx="21">
                  <c:v>2627.98866809881</c:v>
                </c:pt>
                <c:pt idx="22">
                  <c:v>2602.47421501047</c:v>
                </c:pt>
                <c:pt idx="23">
                  <c:v>2462.14472302461</c:v>
                </c:pt>
              </c:numCache>
            </c:numRef>
          </c:val>
        </c:ser>
        <c:ser>
          <c:idx val="1"/>
          <c:order val="1"/>
          <c:tx>
            <c:strRef>
              <c:f>'表7 电网影响'!$G$35</c:f>
              <c:strCache>
                <c:ptCount val="1"/>
                <c:pt idx="0">
                  <c:v>充电负荷汇总(MW)</c:v>
                </c:pt>
              </c:strCache>
            </c:strRef>
          </c:tx>
          <c:spPr>
            <a:solidFill>
              <a:schemeClr val="accent2"/>
            </a:solidFill>
            <a:ln>
              <a:noFill/>
            </a:ln>
            <a:effectLst/>
            <a:sp3d/>
          </c:spPr>
          <c:invertIfNegative val="false"/>
          <c:dLbls>
            <c:delete val="true"/>
          </c:dLbls>
          <c:cat>
            <c:numRef>
              <c:f>'表7 电网影响'!$H$1:$AE$1</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('表7 电网影响'!$H$35:$S$35,'表7 电网影响'!$H$40:$S$40)</c:f>
              <c:numCache>
                <c:formatCode>0.00</c:formatCode>
                <c:ptCount val="24"/>
                <c:pt idx="0">
                  <c:v>91.2212752380952</c:v>
                </c:pt>
                <c:pt idx="1">
                  <c:v>54.1379323809524</c:v>
                </c:pt>
                <c:pt idx="2">
                  <c:v>21.348720952381</c:v>
                </c:pt>
                <c:pt idx="3">
                  <c:v>17.4942523809524</c:v>
                </c:pt>
                <c:pt idx="4">
                  <c:v>12.3017152380952</c:v>
                </c:pt>
                <c:pt idx="5">
                  <c:v>14.3357152380952</c:v>
                </c:pt>
                <c:pt idx="6">
                  <c:v>12.3017152380952</c:v>
                </c:pt>
                <c:pt idx="7">
                  <c:v>11.6591152380952</c:v>
                </c:pt>
                <c:pt idx="8">
                  <c:v>10.3413619047619</c:v>
                </c:pt>
                <c:pt idx="9">
                  <c:v>11.2049019047619</c:v>
                </c:pt>
                <c:pt idx="10">
                  <c:v>13.6368552380952</c:v>
                </c:pt>
                <c:pt idx="11">
                  <c:v>19.3427019047619</c:v>
                </c:pt>
                <c:pt idx="12">
                  <c:v>21.7185485714286</c:v>
                </c:pt>
                <c:pt idx="13">
                  <c:v>20.0085485714286</c:v>
                </c:pt>
                <c:pt idx="14">
                  <c:v>19.5930552380952</c:v>
                </c:pt>
                <c:pt idx="15">
                  <c:v>15.0845152380952</c:v>
                </c:pt>
                <c:pt idx="16">
                  <c:v>16.7441152380952</c:v>
                </c:pt>
                <c:pt idx="17">
                  <c:v>15.0194085714286</c:v>
                </c:pt>
                <c:pt idx="18">
                  <c:v>12.6521019047619</c:v>
                </c:pt>
                <c:pt idx="19">
                  <c:v>23.0343057142857</c:v>
                </c:pt>
                <c:pt idx="20">
                  <c:v>27.8218428571429</c:v>
                </c:pt>
                <c:pt idx="21">
                  <c:v>74.2451285714286</c:v>
                </c:pt>
                <c:pt idx="22">
                  <c:v>89.1725685714286</c:v>
                </c:pt>
                <c:pt idx="23">
                  <c:v>97.2511219047619</c:v>
                </c:pt>
              </c:numCache>
            </c:numRef>
          </c:val>
        </c:ser>
        <c:dLbls>
          <c:showLegendKey val="false"/>
          <c:showVal val="false"/>
          <c:showCatName val="false"/>
          <c:showSerName val="false"/>
          <c:showPercent val="false"/>
          <c:showBubbleSize val="false"/>
        </c:dLbls>
        <c:gapWidth val="150"/>
        <c:overlap val="100"/>
        <c:axId val="897529912"/>
        <c:axId val="897530232"/>
      </c:barChart>
      <c:catAx>
        <c:axId val="897529912"/>
        <c:scaling>
          <c:orientation val="minMax"/>
        </c:scaling>
        <c:delete val="false"/>
        <c:axPos val="b"/>
        <c:numFmt formatCode="General" sourceLinked="true"/>
        <c:majorTickMark val="out"/>
        <c:minorTickMark val="none"/>
        <c:tickLblPos val="nextTo"/>
        <c:spPr>
          <a:noFill/>
          <a:ln>
            <a:noFill/>
          </a:ln>
          <a:effectLst/>
        </c:spPr>
        <c:txPr>
          <a:bodyPr rot="-60000000" spcFirstLastPara="1"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897530232"/>
        <c:crosses val="autoZero"/>
        <c:auto val="true"/>
        <c:lblAlgn val="ctr"/>
        <c:lblOffset val="100"/>
        <c:noMultiLvlLbl val="false"/>
      </c:catAx>
      <c:valAx>
        <c:axId val="897530232"/>
        <c:scaling>
          <c:orientation val="minMax"/>
        </c:scaling>
        <c:delete val="false"/>
        <c:axPos val="l"/>
        <c:majorGridlines>
          <c:spPr>
            <a:ln w="9525" cap="flat" cmpd="sng" algn="ctr">
              <a:solidFill>
                <a:schemeClr val="tx1">
                  <a:lumMod val="15000"/>
                  <a:lumOff val="85000"/>
                </a:schemeClr>
              </a:solidFill>
              <a:round/>
            </a:ln>
            <a:effectLst/>
          </c:spPr>
        </c:majorGridlines>
        <c:numFmt formatCode="0.00" sourceLinked="true"/>
        <c:majorTickMark val="out"/>
        <c:minorTickMark val="none"/>
        <c:tickLblPos val="nextTo"/>
        <c:spPr>
          <a:noFill/>
          <a:ln>
            <a:noFill/>
          </a:ln>
          <a:effectLst/>
        </c:spPr>
        <c:txPr>
          <a:bodyPr rot="-60000000" spcFirstLastPara="1"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897529912"/>
        <c:crosses val="autoZero"/>
        <c:crossBetween val="between"/>
      </c:valAx>
      <c:spPr>
        <a:noFill/>
        <a:ln>
          <a:noFill/>
        </a:ln>
        <a:effectLst/>
      </c:spPr>
    </c:plotArea>
    <c:legend>
      <c:legendPos val="b"/>
      <c:layout>
        <c:manualLayout>
          <c:xMode val="edge"/>
          <c:yMode val="edge"/>
          <c:x val="0.229342404920628"/>
          <c:y val="0.851948999819787"/>
          <c:w val="0.600543051608039"/>
          <c:h val="0.0965552351775095"/>
        </c:manualLayout>
      </c:layout>
      <c:overlay val="false"/>
      <c:spPr>
        <a:noFill/>
        <a:ln>
          <a:noFill/>
        </a:ln>
        <a:effectLst/>
      </c:spPr>
      <c:txPr>
        <a:bodyPr rot="0" spcFirstLastPara="1"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legend>
    <c:plotVisOnly val="true"/>
    <c:dispBlanksAs val="gap"/>
    <c:showDLblsOverMax val="false"/>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false"/>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5"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5"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5" kern="1200"/>
    <cs:bodyPr rot="0" spcFirstLastPara="1" vertOverflow="clip" horzOverflow="clip" vert="horz" wrap="square" lIns="36576" tIns="18288" rIns="36576" bIns="18288" anchor="ctr" anchorCtr="true">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5"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5"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5"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5"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5"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true">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true">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244</Pages>
  <Words>22792</Words>
  <Characters>129920</Characters>
  <Lines>1082</Lines>
  <Paragraphs>304</Paragraphs>
  <TotalTime>10868</TotalTime>
  <ScaleCrop>false</ScaleCrop>
  <LinksUpToDate>false</LinksUpToDate>
  <CharactersWithSpaces>152408</CharactersWithSpaces>
  <Application>WPS Office_11.8.2.10125_F1E327BC-269C-435d-A152-05C5408002CA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2020-08-13T07:20:00Z</dcterms:created>
  <dc:creator>TDDY-TYW</dc:creator>
  <cp:lastModifiedBy>邓明宗</cp:lastModifiedBy>
  <cp:lastPrinted>2022-10-25T03:24:00Z</cp:lastPrinted>
  <dcterms:modified xsi:type="dcterms:W3CDTF">2025-02-28T18:15:23Z</dcterms:modified>
  <cp:revision>1834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2052-11.8.2.10125</vt:lpwstr>
  </property>
  <property fmtid="{D5CDD505-2E9C-101B-9397-08002B2CF9AE}" pid="3" name="ICV">
    <vt:lpwstr>5AEF44B3D3174AE5AF8502175FB1D149</vt:lpwstr>
  </property>
</Properties>
</file>